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1C49705B" w14:textId="77777777" w:rsidR="00F72F37" w:rsidRPr="0082680A" w:rsidRDefault="00F72F37" w:rsidP="00F72F37">
      <w:pPr>
        <w:rPr>
          <w:lang w:val="en-GB"/>
        </w:rPr>
      </w:pPr>
      <w:r w:rsidRPr="0082680A">
        <w:rPr>
          <w:noProof/>
          <w:lang w:val="en-GB" w:eastAsia="zh-CN"/>
        </w:rPr>
        <w:drawing>
          <wp:inline distT="0" distB="0" distL="0" distR="0" wp14:anchorId="3B0EA0CB" wp14:editId="3B3B4DE9">
            <wp:extent cx="3029090" cy="1224951"/>
            <wp:effectExtent l="0" t="0" r="635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UOS_PRIMARY_LOGO_LINEAR_BLACK.eps"/>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84308" cy="1247281"/>
                    </a:xfrm>
                    <a:prstGeom prst="rect">
                      <a:avLst/>
                    </a:prstGeom>
                  </pic:spPr>
                </pic:pic>
              </a:graphicData>
            </a:graphic>
          </wp:inline>
        </w:drawing>
      </w:r>
    </w:p>
    <w:p w14:paraId="486807F5" w14:textId="77777777" w:rsidR="00F72F37" w:rsidRPr="0082680A" w:rsidRDefault="00F72F37" w:rsidP="00F72F37">
      <w:pPr>
        <w:rPr>
          <w:lang w:val="en-GB"/>
        </w:rPr>
      </w:pPr>
    </w:p>
    <w:p w14:paraId="5A0624FC" w14:textId="77777777" w:rsidR="00F72F37" w:rsidRPr="0082680A" w:rsidRDefault="00F72F37" w:rsidP="00F72F37">
      <w:pPr>
        <w:rPr>
          <w:lang w:val="en-GB"/>
        </w:rPr>
      </w:pPr>
    </w:p>
    <w:p w14:paraId="38C5AF5D" w14:textId="77777777" w:rsidR="00F72F37" w:rsidRPr="0082680A" w:rsidRDefault="00F72F37" w:rsidP="00F72F37">
      <w:pPr>
        <w:rPr>
          <w:lang w:val="en-GB"/>
        </w:rPr>
      </w:pPr>
    </w:p>
    <w:p w14:paraId="12E55822" w14:textId="77777777" w:rsidR="00F72F37" w:rsidRPr="0082680A" w:rsidRDefault="00F72F37" w:rsidP="00F72F37">
      <w:pPr>
        <w:rPr>
          <w:rFonts w:ascii="TUOS Blake" w:hAnsi="TUOS Blake"/>
          <w:lang w:val="en-GB"/>
        </w:rPr>
      </w:pPr>
      <w:r w:rsidRPr="0082680A">
        <w:rPr>
          <w:rFonts w:ascii="TUOS Pro Blake" w:hAnsi="TUOS Pro Blake"/>
          <w:b/>
          <w:sz w:val="28"/>
          <w:szCs w:val="28"/>
          <w:lang w:val="en-GB"/>
        </w:rPr>
        <w:t>A multi-omic approach for the identification of upstream drivers of shared phenotypes</w:t>
      </w:r>
    </w:p>
    <w:p w14:paraId="0372BF8F" w14:textId="77777777" w:rsidR="00F72F37" w:rsidRPr="0082680A" w:rsidRDefault="00F72F37" w:rsidP="00F72F37">
      <w:pPr>
        <w:rPr>
          <w:rFonts w:ascii="TUOS Blake" w:hAnsi="TUOS Blake"/>
          <w:b/>
          <w:sz w:val="28"/>
          <w:szCs w:val="28"/>
          <w:lang w:val="en-GB"/>
        </w:rPr>
      </w:pPr>
    </w:p>
    <w:p w14:paraId="642B950F" w14:textId="77777777" w:rsidR="00F72F37" w:rsidRPr="0082680A" w:rsidRDefault="00F72F37" w:rsidP="00F72F37">
      <w:pPr>
        <w:rPr>
          <w:rFonts w:ascii="TUOS Blake" w:hAnsi="TUOS Blake"/>
          <w:b/>
          <w:sz w:val="28"/>
          <w:szCs w:val="28"/>
          <w:lang w:val="en-GB"/>
        </w:rPr>
      </w:pPr>
    </w:p>
    <w:p w14:paraId="77023E8E" w14:textId="77777777" w:rsidR="00F72F37" w:rsidRPr="0082680A" w:rsidRDefault="00F72F37" w:rsidP="00F72F37">
      <w:pPr>
        <w:rPr>
          <w:rFonts w:ascii="TUOS Blake" w:hAnsi="TUOS Blake"/>
          <w:b/>
          <w:sz w:val="28"/>
          <w:szCs w:val="28"/>
          <w:lang w:val="en-GB"/>
        </w:rPr>
      </w:pPr>
      <w:r w:rsidRPr="0082680A">
        <w:rPr>
          <w:rFonts w:ascii="TUOS Blake" w:hAnsi="TUOS Blake"/>
          <w:b/>
          <w:sz w:val="28"/>
          <w:szCs w:val="28"/>
          <w:lang w:val="en-GB"/>
        </w:rPr>
        <w:t xml:space="preserve">By: </w:t>
      </w:r>
    </w:p>
    <w:p w14:paraId="2C26D32F" w14:textId="77777777" w:rsidR="00F72F37" w:rsidRPr="0082680A" w:rsidRDefault="00F72F37" w:rsidP="00F72F37">
      <w:pPr>
        <w:rPr>
          <w:rFonts w:ascii="TUOS Blake" w:hAnsi="TUOS Blake"/>
          <w:lang w:val="en-GB"/>
        </w:rPr>
      </w:pPr>
      <w:r w:rsidRPr="0082680A">
        <w:rPr>
          <w:rFonts w:ascii="TUOS Pro Blake" w:hAnsi="TUOS Pro Blake"/>
          <w:b/>
          <w:sz w:val="28"/>
          <w:szCs w:val="28"/>
          <w:lang w:val="en-GB"/>
        </w:rPr>
        <w:t>Claire Green</w:t>
      </w:r>
    </w:p>
    <w:p w14:paraId="688086D1" w14:textId="77777777" w:rsidR="00F72F37" w:rsidRPr="0082680A" w:rsidRDefault="00F72F37" w:rsidP="00F72F37">
      <w:pPr>
        <w:rPr>
          <w:rFonts w:ascii="TUOS Blake" w:hAnsi="TUOS Blake"/>
          <w:lang w:val="en-GB"/>
        </w:rPr>
      </w:pPr>
    </w:p>
    <w:p w14:paraId="25C0EA7A" w14:textId="77777777" w:rsidR="00F72F37" w:rsidRPr="0082680A" w:rsidRDefault="00F72F37" w:rsidP="00F72F37">
      <w:pPr>
        <w:rPr>
          <w:rFonts w:ascii="TUOS Blake" w:hAnsi="TUOS Blake"/>
          <w:lang w:val="en-GB"/>
        </w:rPr>
      </w:pPr>
    </w:p>
    <w:p w14:paraId="74F00908" w14:textId="77777777" w:rsidR="00F72F37" w:rsidRPr="0082680A" w:rsidRDefault="00F72F37" w:rsidP="00F72F37">
      <w:pPr>
        <w:rPr>
          <w:rFonts w:ascii="TUOS Blake" w:hAnsi="TUOS Blake"/>
          <w:lang w:val="en-GB"/>
        </w:rPr>
      </w:pPr>
    </w:p>
    <w:p w14:paraId="37977962" w14:textId="77777777" w:rsidR="00F72F37" w:rsidRPr="0082680A" w:rsidRDefault="00F72F37" w:rsidP="00F72F37">
      <w:pPr>
        <w:rPr>
          <w:rFonts w:ascii="TUOS Blake" w:hAnsi="TUOS Blake"/>
          <w:lang w:val="en-GB"/>
        </w:rPr>
      </w:pPr>
      <w:r w:rsidRPr="0082680A">
        <w:rPr>
          <w:rFonts w:ascii="TUOS Blake" w:hAnsi="TUOS Blake"/>
          <w:lang w:val="en-GB"/>
        </w:rPr>
        <w:t>A thesis submitted in partial fulfilment of the requirements for the degree of</w:t>
      </w:r>
    </w:p>
    <w:p w14:paraId="491879A5" w14:textId="77777777" w:rsidR="00F72F37" w:rsidRPr="0082680A" w:rsidRDefault="00F72F37" w:rsidP="00F72F37">
      <w:pPr>
        <w:rPr>
          <w:rFonts w:ascii="TUOS Blake" w:hAnsi="TUOS Blake"/>
          <w:lang w:val="en-GB"/>
        </w:rPr>
      </w:pPr>
      <w:r w:rsidRPr="0082680A">
        <w:rPr>
          <w:rFonts w:ascii="TUOS Blake" w:hAnsi="TUOS Blake"/>
          <w:lang w:val="en-GB"/>
        </w:rPr>
        <w:t>Doctor of Philosophy</w:t>
      </w:r>
    </w:p>
    <w:p w14:paraId="4AFF8F00" w14:textId="77777777" w:rsidR="00F72F37" w:rsidRPr="0082680A" w:rsidRDefault="00F72F37" w:rsidP="00F72F37">
      <w:pPr>
        <w:rPr>
          <w:rFonts w:ascii="TUOS Blake" w:hAnsi="TUOS Blake"/>
          <w:lang w:val="en-GB"/>
        </w:rPr>
      </w:pPr>
    </w:p>
    <w:p w14:paraId="491DC798" w14:textId="77777777" w:rsidR="00F72F37" w:rsidRPr="0082680A" w:rsidRDefault="00F72F37" w:rsidP="00F72F37">
      <w:pPr>
        <w:rPr>
          <w:rFonts w:ascii="TUOS Blake" w:hAnsi="TUOS Blake"/>
          <w:lang w:val="en-GB"/>
        </w:rPr>
      </w:pPr>
    </w:p>
    <w:p w14:paraId="167EEED5" w14:textId="77777777" w:rsidR="00F72F37" w:rsidRPr="0082680A" w:rsidRDefault="00F72F37" w:rsidP="00F72F37">
      <w:pPr>
        <w:rPr>
          <w:rFonts w:ascii="TUOS Blake" w:hAnsi="TUOS Blake"/>
          <w:lang w:val="en-GB"/>
        </w:rPr>
      </w:pPr>
    </w:p>
    <w:p w14:paraId="1E9D2857" w14:textId="77777777" w:rsidR="00F72F37" w:rsidRPr="0082680A" w:rsidRDefault="00F72F37" w:rsidP="00F72F37">
      <w:pPr>
        <w:rPr>
          <w:rFonts w:ascii="TUOS Blake" w:hAnsi="TUOS Blake"/>
          <w:lang w:val="en-GB"/>
        </w:rPr>
      </w:pPr>
      <w:r w:rsidRPr="0082680A">
        <w:rPr>
          <w:rFonts w:ascii="TUOS Blake" w:hAnsi="TUOS Blake"/>
          <w:lang w:val="en-GB"/>
        </w:rPr>
        <w:t>The University of Sheffield</w:t>
      </w:r>
    </w:p>
    <w:p w14:paraId="0E21459C" w14:textId="77777777" w:rsidR="00F72F37" w:rsidRPr="0082680A" w:rsidRDefault="00F72F37" w:rsidP="00F72F37">
      <w:pPr>
        <w:rPr>
          <w:rFonts w:ascii="TUOS Blake" w:hAnsi="TUOS Blake"/>
          <w:lang w:val="en-GB"/>
        </w:rPr>
      </w:pPr>
      <w:r w:rsidRPr="0082680A">
        <w:rPr>
          <w:rFonts w:ascii="TUOS Blake" w:hAnsi="TUOS Blake"/>
          <w:lang w:val="en-GB"/>
        </w:rPr>
        <w:t>Faculty of Medicine, Dentistry and Health</w:t>
      </w:r>
    </w:p>
    <w:p w14:paraId="2D782766" w14:textId="77777777" w:rsidR="00F72F37" w:rsidRPr="0082680A" w:rsidRDefault="00F72F37" w:rsidP="00F72F37">
      <w:pPr>
        <w:rPr>
          <w:rFonts w:ascii="TUOS Blake" w:hAnsi="TUOS Blake"/>
          <w:lang w:val="en-GB"/>
        </w:rPr>
      </w:pPr>
      <w:r w:rsidRPr="0082680A">
        <w:rPr>
          <w:rFonts w:ascii="TUOS Blake" w:hAnsi="TUOS Blake"/>
          <w:lang w:val="en-GB"/>
        </w:rPr>
        <w:t>Department of Neuroscience</w:t>
      </w:r>
    </w:p>
    <w:p w14:paraId="758C3098" w14:textId="77777777" w:rsidR="00F72F37" w:rsidRPr="0082680A" w:rsidRDefault="00F72F37" w:rsidP="00F72F37">
      <w:pPr>
        <w:rPr>
          <w:rFonts w:ascii="TUOS Blake" w:hAnsi="TUOS Blake"/>
          <w:lang w:val="en-GB"/>
        </w:rPr>
      </w:pPr>
    </w:p>
    <w:p w14:paraId="1E312E6F" w14:textId="77777777" w:rsidR="00F72F37" w:rsidRPr="0082680A" w:rsidRDefault="00F72F37" w:rsidP="00F72F37">
      <w:pPr>
        <w:rPr>
          <w:rFonts w:ascii="TUOS Blake" w:hAnsi="TUOS Blake"/>
          <w:lang w:val="en-GB"/>
        </w:rPr>
      </w:pPr>
    </w:p>
    <w:p w14:paraId="5FCF0B80" w14:textId="77777777" w:rsidR="00F72F37" w:rsidRPr="0082680A" w:rsidRDefault="00F72F37" w:rsidP="00F72F37">
      <w:pPr>
        <w:rPr>
          <w:rFonts w:ascii="TUOS Blake" w:hAnsi="TUOS Blake"/>
          <w:lang w:val="en-GB"/>
        </w:rPr>
      </w:pPr>
    </w:p>
    <w:p w14:paraId="24F909AA" w14:textId="77777777" w:rsidR="00F72F37" w:rsidRPr="0082680A" w:rsidRDefault="00F72F37" w:rsidP="00F72F37">
      <w:pPr>
        <w:rPr>
          <w:rFonts w:ascii="TUOS Blake" w:hAnsi="TUOS Blake"/>
          <w:lang w:val="en-GB"/>
        </w:rPr>
      </w:pPr>
      <w:r w:rsidRPr="0082680A">
        <w:rPr>
          <w:rFonts w:ascii="TUOS Blake" w:hAnsi="TUOS Blake"/>
          <w:lang w:val="en-GB"/>
        </w:rPr>
        <w:t>Submission Date: 29</w:t>
      </w:r>
      <w:r w:rsidRPr="0082680A">
        <w:rPr>
          <w:rFonts w:ascii="TUOS Blake" w:hAnsi="TUOS Blake"/>
          <w:vertAlign w:val="superscript"/>
          <w:lang w:val="en-GB"/>
        </w:rPr>
        <w:t>th</w:t>
      </w:r>
      <w:r w:rsidRPr="0082680A">
        <w:rPr>
          <w:rFonts w:ascii="TUOS Blake" w:hAnsi="TUOS Blake"/>
          <w:lang w:val="en-GB"/>
        </w:rPr>
        <w:t xml:space="preserve"> November 2018</w:t>
      </w:r>
    </w:p>
    <w:p w14:paraId="00F48246" w14:textId="77777777" w:rsidR="00F72F37" w:rsidRPr="0082680A" w:rsidRDefault="00F72F37" w:rsidP="00F72F37">
      <w:pPr>
        <w:rPr>
          <w:rFonts w:asciiTheme="majorBidi" w:hAnsiTheme="majorBidi" w:cstheme="majorBidi"/>
          <w:sz w:val="24"/>
          <w:szCs w:val="24"/>
          <w:lang w:val="en-GB"/>
        </w:rPr>
      </w:pPr>
      <w:r w:rsidRPr="0082680A">
        <w:rPr>
          <w:rFonts w:asciiTheme="majorBidi" w:hAnsiTheme="majorBidi" w:cstheme="majorBidi"/>
          <w:sz w:val="24"/>
          <w:szCs w:val="24"/>
          <w:lang w:val="en-GB"/>
        </w:rPr>
        <w:br w:type="page"/>
      </w:r>
    </w:p>
    <w:p w14:paraId="3F365DCB" w14:textId="77777777" w:rsidR="00F72F37" w:rsidRPr="0082680A" w:rsidRDefault="00F72F37" w:rsidP="00F72F37">
      <w:pPr>
        <w:rPr>
          <w:rFonts w:asciiTheme="majorBidi" w:hAnsiTheme="majorBidi" w:cstheme="majorBidi"/>
          <w:sz w:val="24"/>
          <w:szCs w:val="24"/>
          <w:lang w:val="en-GB"/>
        </w:rPr>
      </w:pPr>
      <w:r w:rsidRPr="0082680A">
        <w:rPr>
          <w:rFonts w:asciiTheme="majorBidi" w:hAnsiTheme="majorBidi" w:cstheme="majorBidi"/>
          <w:sz w:val="24"/>
          <w:szCs w:val="24"/>
          <w:lang w:val="en-GB"/>
        </w:rPr>
        <w:lastRenderedPageBreak/>
        <w:br w:type="page"/>
      </w:r>
    </w:p>
    <w:p w14:paraId="23B90E97" w14:textId="77777777" w:rsidR="00F72F37" w:rsidRPr="0082680A" w:rsidRDefault="00F72F37" w:rsidP="00F72F37">
      <w:pPr>
        <w:rPr>
          <w:rFonts w:asciiTheme="majorBidi" w:hAnsiTheme="majorBidi" w:cstheme="majorBidi"/>
          <w:sz w:val="24"/>
          <w:szCs w:val="24"/>
          <w:lang w:val="en-GB"/>
        </w:rPr>
      </w:pPr>
    </w:p>
    <w:p w14:paraId="0D716DA2" w14:textId="77777777" w:rsidR="00F72F37" w:rsidRPr="0082680A" w:rsidRDefault="00F72F37" w:rsidP="00F72F37">
      <w:pPr>
        <w:autoSpaceDE w:val="0"/>
        <w:autoSpaceDN w:val="0"/>
        <w:adjustRightInd w:val="0"/>
        <w:spacing w:after="0" w:line="240" w:lineRule="auto"/>
        <w:rPr>
          <w:rFonts w:asciiTheme="majorBidi" w:hAnsiTheme="majorBidi" w:cstheme="majorBidi"/>
          <w:sz w:val="24"/>
          <w:szCs w:val="24"/>
          <w:lang w:val="en-GB"/>
        </w:rPr>
      </w:pPr>
      <w:r w:rsidRPr="0082680A">
        <w:rPr>
          <w:rFonts w:asciiTheme="majorBidi" w:hAnsiTheme="majorBidi" w:cstheme="majorBidi"/>
          <w:noProof/>
          <w:sz w:val="24"/>
          <w:szCs w:val="24"/>
          <w:lang w:val="en-GB" w:eastAsia="zh-CN"/>
        </w:rPr>
        <w:drawing>
          <wp:anchor distT="0" distB="0" distL="114300" distR="114300" simplePos="0" relativeHeight="251696128" behindDoc="0" locked="0" layoutInCell="1" allowOverlap="1" wp14:anchorId="6D28A607" wp14:editId="4B765833">
            <wp:simplePos x="0" y="0"/>
            <wp:positionH relativeFrom="column">
              <wp:posOffset>1310652</wp:posOffset>
            </wp:positionH>
            <wp:positionV relativeFrom="paragraph">
              <wp:posOffset>-310515</wp:posOffset>
            </wp:positionV>
            <wp:extent cx="3036570" cy="1104265"/>
            <wp:effectExtent l="0" t="0" r="0" b="0"/>
            <wp:wrapNone/>
            <wp:docPr id="148" name="Picture 148"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53878ADC" w14:textId="77777777" w:rsidR="00F72F37" w:rsidRPr="0082680A" w:rsidRDefault="00F72F37" w:rsidP="00F72F37">
      <w:pPr>
        <w:autoSpaceDE w:val="0"/>
        <w:autoSpaceDN w:val="0"/>
        <w:adjustRightInd w:val="0"/>
        <w:spacing w:after="0" w:line="240" w:lineRule="auto"/>
        <w:rPr>
          <w:rFonts w:asciiTheme="majorBidi" w:hAnsiTheme="majorBidi" w:cstheme="majorBidi"/>
          <w:sz w:val="24"/>
          <w:szCs w:val="24"/>
          <w:lang w:val="en-GB"/>
        </w:rPr>
      </w:pPr>
    </w:p>
    <w:p w14:paraId="11E6FDCE" w14:textId="77777777" w:rsidR="00F72F37" w:rsidRPr="0082680A" w:rsidRDefault="00F72F37" w:rsidP="00F72F37">
      <w:pPr>
        <w:autoSpaceDE w:val="0"/>
        <w:autoSpaceDN w:val="0"/>
        <w:adjustRightInd w:val="0"/>
        <w:spacing w:after="0" w:line="240" w:lineRule="auto"/>
        <w:rPr>
          <w:rFonts w:asciiTheme="majorBidi" w:hAnsiTheme="majorBidi" w:cstheme="majorBidi"/>
          <w:sz w:val="24"/>
          <w:szCs w:val="24"/>
          <w:lang w:val="en-GB"/>
        </w:rPr>
      </w:pPr>
    </w:p>
    <w:p w14:paraId="65A3802E" w14:textId="77777777" w:rsidR="00F72F37" w:rsidRPr="0082680A" w:rsidRDefault="00F72F37" w:rsidP="00F72F37">
      <w:pPr>
        <w:autoSpaceDE w:val="0"/>
        <w:autoSpaceDN w:val="0"/>
        <w:adjustRightInd w:val="0"/>
        <w:spacing w:after="0" w:line="240" w:lineRule="auto"/>
        <w:rPr>
          <w:rFonts w:asciiTheme="majorBidi" w:hAnsiTheme="majorBidi" w:cstheme="majorBidi"/>
          <w:sz w:val="24"/>
          <w:szCs w:val="24"/>
          <w:lang w:val="en-GB"/>
        </w:rPr>
      </w:pPr>
    </w:p>
    <w:p w14:paraId="4C795554"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65CB5194"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44058158"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223FD9FF"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069ADAFD"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7DCFDD18"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2A61E2F9"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084D2AAD"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b/>
          <w:bCs/>
          <w:color w:val="222222"/>
          <w:sz w:val="28"/>
          <w:szCs w:val="28"/>
          <w:shd w:val="clear" w:color="auto" w:fill="FFFFFF"/>
          <w:lang w:val="en-GB"/>
        </w:rPr>
      </w:pPr>
      <w:r w:rsidRPr="0082680A">
        <w:rPr>
          <w:rFonts w:asciiTheme="majorBidi" w:hAnsiTheme="majorBidi" w:cstheme="majorBidi"/>
          <w:b/>
          <w:bCs/>
          <w:color w:val="222222"/>
          <w:sz w:val="28"/>
          <w:szCs w:val="28"/>
          <w:shd w:val="clear" w:color="auto" w:fill="FFFFFF"/>
          <w:lang w:val="en-GB"/>
        </w:rPr>
        <w:t>A multi-omic approach for the identification of upstream drivers of shared phenotypes</w:t>
      </w:r>
    </w:p>
    <w:p w14:paraId="136AD584" w14:textId="77777777" w:rsidR="00F72F37" w:rsidRPr="0082680A" w:rsidRDefault="00F72F37" w:rsidP="00F72F37">
      <w:pPr>
        <w:autoSpaceDE w:val="0"/>
        <w:autoSpaceDN w:val="0"/>
        <w:adjustRightInd w:val="0"/>
        <w:spacing w:after="0" w:line="240" w:lineRule="auto"/>
        <w:rPr>
          <w:rFonts w:asciiTheme="majorBidi" w:hAnsiTheme="majorBidi" w:cstheme="majorBidi"/>
          <w:sz w:val="24"/>
          <w:szCs w:val="24"/>
          <w:lang w:val="en-GB"/>
        </w:rPr>
      </w:pPr>
    </w:p>
    <w:p w14:paraId="048DD1F1"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4FBBCBBD"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7283EC8C"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b/>
          <w:bCs/>
          <w:sz w:val="24"/>
          <w:szCs w:val="24"/>
          <w:lang w:val="en-GB"/>
        </w:rPr>
      </w:pPr>
      <w:r w:rsidRPr="0082680A">
        <w:rPr>
          <w:rFonts w:asciiTheme="majorBidi" w:hAnsiTheme="majorBidi" w:cstheme="majorBidi"/>
          <w:b/>
          <w:bCs/>
          <w:sz w:val="24"/>
          <w:szCs w:val="24"/>
          <w:lang w:val="en-GB"/>
        </w:rPr>
        <w:t>By:</w:t>
      </w:r>
    </w:p>
    <w:p w14:paraId="4A169D5C"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p>
    <w:p w14:paraId="609FBED7"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8"/>
          <w:szCs w:val="28"/>
          <w:lang w:val="en-GB"/>
        </w:rPr>
      </w:pPr>
      <w:r w:rsidRPr="0082680A">
        <w:rPr>
          <w:rFonts w:asciiTheme="majorBidi" w:hAnsiTheme="majorBidi" w:cstheme="majorBidi"/>
          <w:sz w:val="28"/>
          <w:szCs w:val="28"/>
          <w:lang w:val="en-GB"/>
        </w:rPr>
        <w:t>Claire Green</w:t>
      </w:r>
    </w:p>
    <w:p w14:paraId="6B6937F0" w14:textId="77777777" w:rsidR="00F72F37" w:rsidRPr="0082680A" w:rsidRDefault="00F72F37" w:rsidP="00F72F37">
      <w:pPr>
        <w:autoSpaceDE w:val="0"/>
        <w:autoSpaceDN w:val="0"/>
        <w:adjustRightInd w:val="0"/>
        <w:spacing w:after="0" w:line="240" w:lineRule="auto"/>
        <w:rPr>
          <w:rFonts w:asciiTheme="majorBidi" w:hAnsiTheme="majorBidi" w:cstheme="majorBidi"/>
          <w:sz w:val="28"/>
          <w:szCs w:val="28"/>
          <w:lang w:val="en-GB"/>
        </w:rPr>
      </w:pPr>
    </w:p>
    <w:p w14:paraId="3E93D95D" w14:textId="77777777" w:rsidR="00F72F37" w:rsidRPr="0082680A" w:rsidRDefault="00F72F37" w:rsidP="00F72F37">
      <w:pPr>
        <w:autoSpaceDE w:val="0"/>
        <w:autoSpaceDN w:val="0"/>
        <w:adjustRightInd w:val="0"/>
        <w:spacing w:after="0" w:line="240" w:lineRule="auto"/>
        <w:rPr>
          <w:rFonts w:asciiTheme="majorBidi" w:hAnsiTheme="majorBidi" w:cstheme="majorBidi"/>
          <w:sz w:val="24"/>
          <w:szCs w:val="24"/>
          <w:lang w:val="en-GB"/>
        </w:rPr>
      </w:pPr>
    </w:p>
    <w:p w14:paraId="4906A345" w14:textId="77777777" w:rsidR="00F72F37" w:rsidRPr="0082680A" w:rsidRDefault="00F72F37" w:rsidP="00F72F37">
      <w:pPr>
        <w:autoSpaceDE w:val="0"/>
        <w:autoSpaceDN w:val="0"/>
        <w:adjustRightInd w:val="0"/>
        <w:spacing w:after="0" w:line="240" w:lineRule="auto"/>
        <w:rPr>
          <w:rFonts w:asciiTheme="majorBidi" w:hAnsiTheme="majorBidi" w:cstheme="majorBidi"/>
          <w:sz w:val="24"/>
          <w:szCs w:val="24"/>
          <w:lang w:val="en-GB"/>
        </w:rPr>
      </w:pPr>
    </w:p>
    <w:p w14:paraId="1EB269C8" w14:textId="77777777" w:rsidR="00F72F37" w:rsidRPr="0082680A" w:rsidRDefault="00F72F37" w:rsidP="00F72F37">
      <w:pPr>
        <w:autoSpaceDE w:val="0"/>
        <w:autoSpaceDN w:val="0"/>
        <w:adjustRightInd w:val="0"/>
        <w:spacing w:after="0" w:line="240" w:lineRule="auto"/>
        <w:rPr>
          <w:rFonts w:asciiTheme="majorBidi" w:hAnsiTheme="majorBidi" w:cstheme="majorBidi"/>
          <w:sz w:val="24"/>
          <w:szCs w:val="24"/>
          <w:lang w:val="en-GB"/>
        </w:rPr>
      </w:pPr>
    </w:p>
    <w:p w14:paraId="3D90DDB8"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r w:rsidRPr="0082680A">
        <w:rPr>
          <w:rFonts w:asciiTheme="majorBidi" w:hAnsiTheme="majorBidi" w:cstheme="majorBidi"/>
          <w:sz w:val="24"/>
          <w:szCs w:val="24"/>
          <w:lang w:val="en-GB"/>
        </w:rPr>
        <w:t>A thesis submitted in partial fulfilment of the requirements for the degree of</w:t>
      </w:r>
    </w:p>
    <w:p w14:paraId="7996C14B" w14:textId="77777777" w:rsidR="00F72F37" w:rsidRPr="0082680A" w:rsidRDefault="00F72F37" w:rsidP="00F72F37">
      <w:pPr>
        <w:jc w:val="center"/>
        <w:rPr>
          <w:rFonts w:asciiTheme="majorBidi" w:hAnsiTheme="majorBidi" w:cstheme="majorBidi"/>
          <w:sz w:val="24"/>
          <w:szCs w:val="24"/>
          <w:lang w:val="en-GB"/>
        </w:rPr>
      </w:pPr>
      <w:r w:rsidRPr="0082680A">
        <w:rPr>
          <w:rFonts w:asciiTheme="majorBidi" w:hAnsiTheme="majorBidi" w:cstheme="majorBidi"/>
          <w:sz w:val="24"/>
          <w:szCs w:val="24"/>
          <w:lang w:val="en-GB"/>
        </w:rPr>
        <w:t xml:space="preserve">Doctor of Philosophy </w:t>
      </w:r>
    </w:p>
    <w:p w14:paraId="27825834" w14:textId="77777777" w:rsidR="00F72F37" w:rsidRPr="0082680A" w:rsidRDefault="00F72F37" w:rsidP="00F72F37">
      <w:pPr>
        <w:jc w:val="center"/>
        <w:rPr>
          <w:rFonts w:asciiTheme="majorBidi" w:hAnsiTheme="majorBidi" w:cstheme="majorBidi"/>
          <w:sz w:val="24"/>
          <w:szCs w:val="24"/>
          <w:lang w:val="en-GB"/>
        </w:rPr>
      </w:pPr>
    </w:p>
    <w:p w14:paraId="4E7E8367" w14:textId="77777777" w:rsidR="00F72F37" w:rsidRPr="0082680A" w:rsidRDefault="00F72F37" w:rsidP="00F72F37">
      <w:pPr>
        <w:jc w:val="center"/>
        <w:rPr>
          <w:rFonts w:asciiTheme="majorBidi" w:hAnsiTheme="majorBidi" w:cstheme="majorBidi"/>
          <w:sz w:val="24"/>
          <w:szCs w:val="24"/>
          <w:lang w:val="en-GB"/>
        </w:rPr>
      </w:pPr>
    </w:p>
    <w:p w14:paraId="6683EF51" w14:textId="77777777" w:rsidR="00F72F37" w:rsidRPr="0082680A" w:rsidRDefault="00F72F37" w:rsidP="00F72F37">
      <w:pPr>
        <w:jc w:val="center"/>
        <w:rPr>
          <w:rFonts w:asciiTheme="majorBidi" w:hAnsiTheme="majorBidi" w:cstheme="majorBidi"/>
          <w:sz w:val="24"/>
          <w:szCs w:val="24"/>
          <w:lang w:val="en-GB"/>
        </w:rPr>
      </w:pPr>
    </w:p>
    <w:p w14:paraId="6E80DBA7" w14:textId="77777777" w:rsidR="00F72F37" w:rsidRPr="0082680A" w:rsidRDefault="00F72F37" w:rsidP="00F72F37">
      <w:pPr>
        <w:spacing w:after="0" w:line="240" w:lineRule="auto"/>
        <w:jc w:val="center"/>
        <w:rPr>
          <w:rFonts w:asciiTheme="majorBidi" w:hAnsiTheme="majorBidi" w:cstheme="majorBidi"/>
          <w:sz w:val="24"/>
          <w:szCs w:val="24"/>
          <w:lang w:val="en-GB"/>
        </w:rPr>
      </w:pPr>
      <w:r w:rsidRPr="0082680A">
        <w:rPr>
          <w:rFonts w:asciiTheme="majorBidi" w:hAnsiTheme="majorBidi" w:cstheme="majorBidi"/>
          <w:sz w:val="24"/>
          <w:szCs w:val="24"/>
          <w:lang w:val="en-GB"/>
        </w:rPr>
        <w:t>The University of Sheffield</w:t>
      </w:r>
    </w:p>
    <w:p w14:paraId="60777EB7" w14:textId="77777777" w:rsidR="00F72F37" w:rsidRPr="0082680A" w:rsidRDefault="00F72F37" w:rsidP="00F72F37">
      <w:pPr>
        <w:autoSpaceDE w:val="0"/>
        <w:autoSpaceDN w:val="0"/>
        <w:adjustRightInd w:val="0"/>
        <w:spacing w:after="0" w:line="240" w:lineRule="auto"/>
        <w:jc w:val="center"/>
        <w:rPr>
          <w:rFonts w:asciiTheme="majorBidi" w:hAnsiTheme="majorBidi" w:cstheme="majorBidi"/>
          <w:sz w:val="24"/>
          <w:szCs w:val="24"/>
          <w:lang w:val="en-GB"/>
        </w:rPr>
      </w:pPr>
      <w:r w:rsidRPr="0082680A">
        <w:rPr>
          <w:rFonts w:asciiTheme="majorBidi" w:hAnsiTheme="majorBidi" w:cstheme="majorBidi"/>
          <w:sz w:val="24"/>
          <w:szCs w:val="24"/>
          <w:lang w:val="en-GB"/>
        </w:rPr>
        <w:t>Faculty of Medicine, Dentistry and Health</w:t>
      </w:r>
    </w:p>
    <w:p w14:paraId="634525CB" w14:textId="77777777" w:rsidR="00F72F37" w:rsidRPr="0082680A" w:rsidRDefault="00F72F37" w:rsidP="00F72F37">
      <w:pPr>
        <w:jc w:val="center"/>
        <w:rPr>
          <w:rFonts w:asciiTheme="majorBidi" w:hAnsiTheme="majorBidi" w:cstheme="majorBidi"/>
          <w:sz w:val="24"/>
          <w:szCs w:val="24"/>
          <w:lang w:val="en-GB"/>
        </w:rPr>
      </w:pPr>
      <w:r w:rsidRPr="0082680A">
        <w:rPr>
          <w:rFonts w:asciiTheme="majorBidi" w:hAnsiTheme="majorBidi" w:cstheme="majorBidi"/>
          <w:sz w:val="24"/>
          <w:szCs w:val="24"/>
          <w:lang w:val="en-GB"/>
        </w:rPr>
        <w:t>Department of Neuroscience</w:t>
      </w:r>
    </w:p>
    <w:p w14:paraId="6EC7CB7D" w14:textId="77777777" w:rsidR="00F72F37" w:rsidRPr="0082680A" w:rsidRDefault="00F72F37" w:rsidP="00F72F37">
      <w:pPr>
        <w:jc w:val="center"/>
        <w:rPr>
          <w:rFonts w:asciiTheme="majorBidi" w:hAnsiTheme="majorBidi" w:cstheme="majorBidi"/>
          <w:sz w:val="24"/>
          <w:szCs w:val="24"/>
          <w:lang w:val="en-GB"/>
        </w:rPr>
      </w:pPr>
    </w:p>
    <w:p w14:paraId="01D66616" w14:textId="77777777" w:rsidR="00F72F37" w:rsidRPr="0082680A" w:rsidRDefault="00F72F37" w:rsidP="00F72F37">
      <w:pPr>
        <w:jc w:val="center"/>
        <w:rPr>
          <w:rFonts w:asciiTheme="majorBidi" w:hAnsiTheme="majorBidi" w:cstheme="majorBidi"/>
          <w:sz w:val="24"/>
          <w:szCs w:val="24"/>
          <w:lang w:val="en-GB"/>
        </w:rPr>
      </w:pPr>
      <w:r w:rsidRPr="0082680A">
        <w:rPr>
          <w:rFonts w:asciiTheme="majorBidi" w:hAnsiTheme="majorBidi" w:cstheme="majorBidi"/>
          <w:sz w:val="24"/>
          <w:szCs w:val="24"/>
          <w:lang w:val="en-GB"/>
        </w:rPr>
        <w:t xml:space="preserve"> </w:t>
      </w:r>
    </w:p>
    <w:p w14:paraId="19170E38" w14:textId="77777777" w:rsidR="00F72F37" w:rsidRPr="0082680A" w:rsidRDefault="00F72F37" w:rsidP="00F72F37">
      <w:pPr>
        <w:jc w:val="center"/>
        <w:rPr>
          <w:rFonts w:asciiTheme="majorBidi" w:hAnsiTheme="majorBidi" w:cstheme="majorBidi"/>
          <w:sz w:val="24"/>
          <w:szCs w:val="24"/>
          <w:lang w:val="en-GB"/>
        </w:rPr>
      </w:pPr>
    </w:p>
    <w:p w14:paraId="248944FA" w14:textId="77777777" w:rsidR="00F72F37" w:rsidRPr="0082680A" w:rsidRDefault="00F72F37" w:rsidP="00F72F37">
      <w:pPr>
        <w:jc w:val="center"/>
        <w:rPr>
          <w:rFonts w:asciiTheme="majorBidi" w:hAnsiTheme="majorBidi" w:cstheme="majorBidi"/>
          <w:sz w:val="24"/>
          <w:szCs w:val="24"/>
          <w:lang w:val="en-GB"/>
        </w:rPr>
      </w:pPr>
    </w:p>
    <w:p w14:paraId="4127F201" w14:textId="77777777" w:rsidR="00F72F37" w:rsidRPr="0082680A" w:rsidRDefault="00F72F37" w:rsidP="00F72F37">
      <w:pPr>
        <w:jc w:val="center"/>
        <w:rPr>
          <w:rFonts w:asciiTheme="majorBidi" w:hAnsiTheme="majorBidi" w:cstheme="majorBidi"/>
          <w:sz w:val="24"/>
          <w:szCs w:val="24"/>
          <w:lang w:val="en-GB"/>
        </w:rPr>
      </w:pPr>
    </w:p>
    <w:p w14:paraId="347BD945" w14:textId="77777777" w:rsidR="00F72F37" w:rsidRPr="0082680A" w:rsidRDefault="00F72F37" w:rsidP="00F72F37">
      <w:pPr>
        <w:jc w:val="center"/>
        <w:rPr>
          <w:rFonts w:asciiTheme="majorBidi" w:hAnsiTheme="majorBidi" w:cstheme="majorBidi"/>
          <w:sz w:val="24"/>
          <w:szCs w:val="24"/>
          <w:lang w:val="en-GB"/>
        </w:rPr>
      </w:pPr>
      <w:r w:rsidRPr="0082680A">
        <w:rPr>
          <w:rFonts w:asciiTheme="majorBidi" w:hAnsiTheme="majorBidi" w:cstheme="majorBidi"/>
          <w:sz w:val="24"/>
          <w:szCs w:val="24"/>
          <w:lang w:val="en-GB"/>
        </w:rPr>
        <w:t>Submission Date: 29</w:t>
      </w:r>
      <w:r w:rsidRPr="0082680A">
        <w:rPr>
          <w:rFonts w:asciiTheme="majorBidi" w:hAnsiTheme="majorBidi" w:cstheme="majorBidi"/>
          <w:sz w:val="24"/>
          <w:szCs w:val="24"/>
          <w:vertAlign w:val="superscript"/>
          <w:lang w:val="en-GB"/>
        </w:rPr>
        <w:t>th</w:t>
      </w:r>
      <w:r w:rsidRPr="0082680A">
        <w:rPr>
          <w:rFonts w:asciiTheme="majorBidi" w:hAnsiTheme="majorBidi" w:cstheme="majorBidi"/>
          <w:sz w:val="24"/>
          <w:szCs w:val="24"/>
          <w:lang w:val="en-GB"/>
        </w:rPr>
        <w:t xml:space="preserve"> November 2018</w:t>
      </w:r>
    </w:p>
    <w:p w14:paraId="006D637C" w14:textId="0E3C13F6" w:rsidR="00774535" w:rsidRPr="0082680A" w:rsidRDefault="00F72F37">
      <w:pPr>
        <w:rPr>
          <w:rFonts w:ascii="Calibri" w:hAnsi="Calibri"/>
          <w:sz w:val="48"/>
          <w:szCs w:val="48"/>
          <w:lang w:val="en-GB"/>
        </w:rPr>
      </w:pPr>
      <w:r w:rsidRPr="0082680A">
        <w:rPr>
          <w:rFonts w:ascii="Calibri" w:hAnsi="Calibri"/>
          <w:sz w:val="48"/>
          <w:szCs w:val="48"/>
          <w:lang w:val="en-GB"/>
        </w:rPr>
        <w:br w:type="page"/>
      </w:r>
    </w:p>
    <w:p w14:paraId="75910640" w14:textId="77777777" w:rsidR="00EF55D4" w:rsidRPr="0082680A" w:rsidRDefault="00EF55D4" w:rsidP="002E60FC">
      <w:pPr>
        <w:jc w:val="center"/>
        <w:rPr>
          <w:rFonts w:ascii="Arial" w:hAnsi="Arial" w:cs="Arial"/>
          <w:sz w:val="48"/>
          <w:szCs w:val="48"/>
          <w:lang w:val="en-GB"/>
        </w:rPr>
      </w:pPr>
    </w:p>
    <w:p w14:paraId="24AFFFFE" w14:textId="77777777" w:rsidR="00EF55D4" w:rsidRPr="0082680A" w:rsidRDefault="00EF55D4">
      <w:pPr>
        <w:rPr>
          <w:rFonts w:ascii="Arial" w:hAnsi="Arial" w:cs="Arial"/>
          <w:sz w:val="48"/>
          <w:szCs w:val="48"/>
          <w:lang w:val="en-GB"/>
        </w:rPr>
      </w:pPr>
      <w:r w:rsidRPr="0082680A">
        <w:rPr>
          <w:rFonts w:ascii="Arial" w:hAnsi="Arial" w:cs="Arial"/>
          <w:sz w:val="48"/>
          <w:szCs w:val="48"/>
          <w:lang w:val="en-GB"/>
        </w:rPr>
        <w:br w:type="page"/>
      </w:r>
    </w:p>
    <w:p w14:paraId="023F4EE3" w14:textId="57A9B5CB" w:rsidR="002E60FC" w:rsidRPr="0082680A" w:rsidRDefault="002E60FC" w:rsidP="002E60FC">
      <w:pPr>
        <w:jc w:val="center"/>
        <w:rPr>
          <w:rFonts w:ascii="Arial" w:hAnsi="Arial" w:cs="Arial"/>
          <w:sz w:val="48"/>
          <w:szCs w:val="48"/>
          <w:lang w:val="en-GB"/>
        </w:rPr>
      </w:pPr>
      <w:r w:rsidRPr="0082680A">
        <w:rPr>
          <w:rFonts w:ascii="Arial" w:hAnsi="Arial" w:cs="Arial"/>
          <w:sz w:val="48"/>
          <w:szCs w:val="48"/>
          <w:lang w:val="en-GB"/>
        </w:rPr>
        <w:lastRenderedPageBreak/>
        <w:t>Abstract</w:t>
      </w:r>
    </w:p>
    <w:p w14:paraId="438300E8" w14:textId="1C878DF4" w:rsidR="001200FB" w:rsidRPr="0082680A" w:rsidRDefault="00117180" w:rsidP="00327697">
      <w:pPr>
        <w:rPr>
          <w:lang w:val="en-GB"/>
        </w:rPr>
      </w:pPr>
      <w:r w:rsidRPr="0082680A">
        <w:rPr>
          <w:lang w:val="en-GB"/>
        </w:rPr>
        <w:t>Many conditions exist for which we still do not know the cause</w:t>
      </w:r>
      <w:r w:rsidR="00DF3FF9" w:rsidRPr="0082680A">
        <w:rPr>
          <w:lang w:val="en-GB"/>
        </w:rPr>
        <w:t>,</w:t>
      </w:r>
      <w:r w:rsidR="001200FB" w:rsidRPr="0082680A">
        <w:rPr>
          <w:lang w:val="en-GB"/>
        </w:rPr>
        <w:t xml:space="preserve"> often</w:t>
      </w:r>
      <w:r w:rsidRPr="0082680A">
        <w:rPr>
          <w:lang w:val="en-GB"/>
        </w:rPr>
        <w:t xml:space="preserve"> due to their complexity and rarity.</w:t>
      </w:r>
      <w:r w:rsidR="001200FB" w:rsidRPr="0082680A">
        <w:rPr>
          <w:lang w:val="en-GB"/>
        </w:rPr>
        <w:t xml:space="preserve"> </w:t>
      </w:r>
      <w:r w:rsidR="00DF3FF9" w:rsidRPr="0082680A">
        <w:rPr>
          <w:lang w:val="en-GB"/>
        </w:rPr>
        <w:t>W</w:t>
      </w:r>
      <w:r w:rsidR="001200FB" w:rsidRPr="0082680A">
        <w:rPr>
          <w:lang w:val="en-GB"/>
        </w:rPr>
        <w:t xml:space="preserve">ithout knowledge of their </w:t>
      </w:r>
      <w:r w:rsidR="00DF3FF9" w:rsidRPr="0082680A">
        <w:rPr>
          <w:lang w:val="en-GB"/>
        </w:rPr>
        <w:t xml:space="preserve">underlying </w:t>
      </w:r>
      <w:r w:rsidR="001200FB" w:rsidRPr="0082680A">
        <w:rPr>
          <w:lang w:val="en-GB"/>
        </w:rPr>
        <w:t xml:space="preserve">mechanisms, </w:t>
      </w:r>
      <w:r w:rsidR="00DF3FF9" w:rsidRPr="0082680A">
        <w:rPr>
          <w:lang w:val="en-GB"/>
        </w:rPr>
        <w:t>development of effective drugs</w:t>
      </w:r>
      <w:r w:rsidR="001200FB" w:rsidRPr="0082680A">
        <w:rPr>
          <w:lang w:val="en-GB"/>
        </w:rPr>
        <w:t xml:space="preserve"> </w:t>
      </w:r>
      <w:r w:rsidR="00076E3C" w:rsidRPr="0082680A">
        <w:rPr>
          <w:lang w:val="en-GB"/>
        </w:rPr>
        <w:t>and personalised</w:t>
      </w:r>
      <w:r w:rsidR="001200FB" w:rsidRPr="0082680A">
        <w:rPr>
          <w:lang w:val="en-GB"/>
        </w:rPr>
        <w:t xml:space="preserve"> </w:t>
      </w:r>
      <w:r w:rsidR="00DF3FF9" w:rsidRPr="0082680A">
        <w:rPr>
          <w:lang w:val="en-GB"/>
        </w:rPr>
        <w:t>approaches to</w:t>
      </w:r>
      <w:r w:rsidR="001200FB" w:rsidRPr="0082680A">
        <w:rPr>
          <w:lang w:val="en-GB"/>
        </w:rPr>
        <w:t xml:space="preserve"> </w:t>
      </w:r>
      <w:r w:rsidR="00DF3FF9" w:rsidRPr="0082680A">
        <w:rPr>
          <w:lang w:val="en-GB"/>
        </w:rPr>
        <w:t>treatment</w:t>
      </w:r>
      <w:r w:rsidR="001200FB" w:rsidRPr="0082680A">
        <w:rPr>
          <w:lang w:val="en-GB"/>
        </w:rPr>
        <w:t xml:space="preserve"> </w:t>
      </w:r>
      <w:r w:rsidR="00DF3FF9" w:rsidRPr="0082680A">
        <w:rPr>
          <w:lang w:val="en-GB"/>
        </w:rPr>
        <w:t>of these diseases will never be possible</w:t>
      </w:r>
      <w:r w:rsidR="001200FB" w:rsidRPr="0082680A">
        <w:rPr>
          <w:lang w:val="en-GB"/>
        </w:rPr>
        <w:t xml:space="preserve">. </w:t>
      </w:r>
      <w:r w:rsidR="00DF3FF9" w:rsidRPr="0082680A">
        <w:rPr>
          <w:lang w:val="en-GB"/>
        </w:rPr>
        <w:t>Consequently, we</w:t>
      </w:r>
      <w:r w:rsidR="001200FB" w:rsidRPr="0082680A">
        <w:rPr>
          <w:lang w:val="en-GB"/>
        </w:rPr>
        <w:t xml:space="preserve"> </w:t>
      </w:r>
      <w:r w:rsidR="00DF3FF9" w:rsidRPr="0082680A">
        <w:rPr>
          <w:lang w:val="en-GB"/>
        </w:rPr>
        <w:t>have a responsibility to</w:t>
      </w:r>
      <w:r w:rsidR="001200FB" w:rsidRPr="0082680A">
        <w:rPr>
          <w:lang w:val="en-GB"/>
        </w:rPr>
        <w:t xml:space="preserve"> develop</w:t>
      </w:r>
      <w:r w:rsidR="00DF3FF9" w:rsidRPr="0082680A">
        <w:rPr>
          <w:lang w:val="en-GB"/>
        </w:rPr>
        <w:t xml:space="preserve"> novel,</w:t>
      </w:r>
      <w:r w:rsidR="00327697" w:rsidRPr="0082680A">
        <w:rPr>
          <w:lang w:val="en-GB"/>
        </w:rPr>
        <w:t xml:space="preserve"> systematic</w:t>
      </w:r>
      <w:r w:rsidR="00DF3FF9" w:rsidRPr="0082680A">
        <w:rPr>
          <w:lang w:val="en-GB"/>
        </w:rPr>
        <w:t>, and objective</w:t>
      </w:r>
      <w:r w:rsidR="00327697" w:rsidRPr="0082680A">
        <w:rPr>
          <w:lang w:val="en-GB"/>
        </w:rPr>
        <w:t xml:space="preserve"> </w:t>
      </w:r>
      <w:r w:rsidR="001200FB" w:rsidRPr="0082680A">
        <w:rPr>
          <w:lang w:val="en-GB"/>
        </w:rPr>
        <w:t>analytical approaches which can produce reliable predictions of causative mechanisms as rapidly as possible. The recent trend for such analyses has been to generate extraordinarily</w:t>
      </w:r>
      <w:r w:rsidRPr="0082680A">
        <w:rPr>
          <w:lang w:val="en-GB"/>
        </w:rPr>
        <w:t xml:space="preserve"> large datasets,</w:t>
      </w:r>
      <w:r w:rsidR="001200FB" w:rsidRPr="0082680A">
        <w:rPr>
          <w:lang w:val="en-GB"/>
        </w:rPr>
        <w:t xml:space="preserve"> however these datasets are time consuming to produce, costly, and only accessible by a small percentage of the scientific community.</w:t>
      </w:r>
      <w:r w:rsidRPr="0082680A">
        <w:rPr>
          <w:lang w:val="en-GB"/>
        </w:rPr>
        <w:t xml:space="preserve"> </w:t>
      </w:r>
      <w:r w:rsidR="001200FB" w:rsidRPr="0082680A">
        <w:rPr>
          <w:lang w:val="en-GB"/>
        </w:rPr>
        <w:t>There instead exists a</w:t>
      </w:r>
      <w:r w:rsidRPr="0082680A">
        <w:rPr>
          <w:lang w:val="en-GB"/>
        </w:rPr>
        <w:t xml:space="preserve"> vast </w:t>
      </w:r>
      <w:r w:rsidR="001200FB" w:rsidRPr="0082680A">
        <w:rPr>
          <w:lang w:val="en-GB"/>
        </w:rPr>
        <w:t>quantity</w:t>
      </w:r>
      <w:r w:rsidRPr="0082680A">
        <w:rPr>
          <w:lang w:val="en-GB"/>
        </w:rPr>
        <w:t xml:space="preserve"> of publicly available</w:t>
      </w:r>
      <w:r w:rsidR="001200FB" w:rsidRPr="0082680A">
        <w:rPr>
          <w:lang w:val="en-GB"/>
        </w:rPr>
        <w:t xml:space="preserve">, modestly sized </w:t>
      </w:r>
      <w:r w:rsidRPr="0082680A">
        <w:rPr>
          <w:lang w:val="en-GB"/>
        </w:rPr>
        <w:t>datasets</w:t>
      </w:r>
      <w:r w:rsidR="00DF3FF9" w:rsidRPr="0082680A">
        <w:rPr>
          <w:lang w:val="en-GB"/>
        </w:rPr>
        <w:t>; a</w:t>
      </w:r>
      <w:r w:rsidRPr="0082680A">
        <w:rPr>
          <w:lang w:val="en-GB"/>
        </w:rPr>
        <w:t xml:space="preserve">lone, these datasets are </w:t>
      </w:r>
      <w:r w:rsidR="001200FB" w:rsidRPr="0082680A">
        <w:rPr>
          <w:lang w:val="en-GB"/>
        </w:rPr>
        <w:t>unreliable</w:t>
      </w:r>
      <w:r w:rsidRPr="0082680A">
        <w:rPr>
          <w:lang w:val="en-GB"/>
        </w:rPr>
        <w:t xml:space="preserve"> - too underpowered to sufficiently support the hypotheses they are associated with - yet the quantity of these small datasets suggests untapped potential for analysis </w:t>
      </w:r>
      <w:r w:rsidR="00956608" w:rsidRPr="0082680A">
        <w:rPr>
          <w:lang w:val="en-GB"/>
        </w:rPr>
        <w:t xml:space="preserve">when used </w:t>
      </w:r>
      <w:r w:rsidRPr="0082680A">
        <w:rPr>
          <w:lang w:val="en-GB"/>
        </w:rPr>
        <w:t xml:space="preserve">in combination. </w:t>
      </w:r>
    </w:p>
    <w:p w14:paraId="45C3DBE6" w14:textId="77777777" w:rsidR="001200FB" w:rsidRPr="0082680A" w:rsidRDefault="001200FB">
      <w:pPr>
        <w:rPr>
          <w:lang w:val="en-GB"/>
        </w:rPr>
      </w:pPr>
    </w:p>
    <w:p w14:paraId="358B876C" w14:textId="4DFAF018" w:rsidR="002E60FC" w:rsidRPr="0082680A" w:rsidRDefault="001200FB">
      <w:pPr>
        <w:rPr>
          <w:lang w:val="en-GB"/>
        </w:rPr>
      </w:pPr>
      <w:r w:rsidRPr="0082680A">
        <w:rPr>
          <w:lang w:val="en-GB"/>
        </w:rPr>
        <w:t>In this thesis w</w:t>
      </w:r>
      <w:r w:rsidR="00117180" w:rsidRPr="0082680A">
        <w:rPr>
          <w:lang w:val="en-GB"/>
        </w:rPr>
        <w:t xml:space="preserve">e present a </w:t>
      </w:r>
      <w:r w:rsidRPr="0082680A">
        <w:rPr>
          <w:lang w:val="en-GB"/>
        </w:rPr>
        <w:t xml:space="preserve">novel approach </w:t>
      </w:r>
      <w:r w:rsidR="00DF3FF9" w:rsidRPr="0082680A">
        <w:rPr>
          <w:lang w:val="en-GB"/>
        </w:rPr>
        <w:t>built</w:t>
      </w:r>
      <w:r w:rsidR="00117180" w:rsidRPr="0082680A">
        <w:rPr>
          <w:lang w:val="en-GB"/>
        </w:rPr>
        <w:t xml:space="preserve"> to harness the </w:t>
      </w:r>
      <w:r w:rsidRPr="0082680A">
        <w:rPr>
          <w:lang w:val="en-GB"/>
        </w:rPr>
        <w:t xml:space="preserve">potential of small datasets. </w:t>
      </w:r>
      <w:r w:rsidR="00DF3FF9" w:rsidRPr="0082680A">
        <w:rPr>
          <w:lang w:val="en-GB"/>
        </w:rPr>
        <w:t>We</w:t>
      </w:r>
      <w:r w:rsidRPr="0082680A">
        <w:rPr>
          <w:lang w:val="en-GB"/>
        </w:rPr>
        <w:t xml:space="preserve"> have</w:t>
      </w:r>
      <w:r w:rsidR="00DF3FF9" w:rsidRPr="0082680A">
        <w:rPr>
          <w:lang w:val="en-GB"/>
        </w:rPr>
        <w:t xml:space="preserve"> taken advantage of the</w:t>
      </w:r>
      <w:r w:rsidRPr="0082680A">
        <w:rPr>
          <w:lang w:val="en-GB"/>
        </w:rPr>
        <w:t xml:space="preserve"> </w:t>
      </w:r>
      <w:r w:rsidR="00956608" w:rsidRPr="0082680A">
        <w:rPr>
          <w:lang w:val="en-GB"/>
        </w:rPr>
        <w:t xml:space="preserve">inherent </w:t>
      </w:r>
      <w:r w:rsidRPr="0082680A">
        <w:rPr>
          <w:lang w:val="en-GB"/>
        </w:rPr>
        <w:t xml:space="preserve">variability of tissue types, platforms, and genetic backgrounds to produce gene expression signatures shared by </w:t>
      </w:r>
      <w:r w:rsidR="00DF3FF9" w:rsidRPr="0082680A">
        <w:rPr>
          <w:lang w:val="en-GB"/>
        </w:rPr>
        <w:t>groups of patients</w:t>
      </w:r>
      <w:r w:rsidRPr="0082680A">
        <w:rPr>
          <w:lang w:val="en-GB"/>
        </w:rPr>
        <w:t xml:space="preserve"> exhibiting a common phenotype. We demonstrate </w:t>
      </w:r>
      <w:r w:rsidR="00B84FEC">
        <w:rPr>
          <w:lang w:val="en-GB"/>
        </w:rPr>
        <w:t>application of the pipeline to three diseases phenotypes and show how each</w:t>
      </w:r>
      <w:r w:rsidRPr="0082680A">
        <w:rPr>
          <w:lang w:val="en-GB"/>
        </w:rPr>
        <w:t xml:space="preserve"> signature consistently enrich</w:t>
      </w:r>
      <w:r w:rsidR="00B84FEC">
        <w:rPr>
          <w:lang w:val="en-GB"/>
        </w:rPr>
        <w:t>es</w:t>
      </w:r>
      <w:r w:rsidRPr="0082680A">
        <w:rPr>
          <w:lang w:val="en-GB"/>
        </w:rPr>
        <w:t xml:space="preserve"> with genes and pathways associated with the shared phenotype</w:t>
      </w:r>
      <w:r w:rsidR="00DF3FF9" w:rsidRPr="0082680A">
        <w:rPr>
          <w:lang w:val="en-GB"/>
        </w:rPr>
        <w:t xml:space="preserve"> </w:t>
      </w:r>
      <w:r w:rsidR="00B84FEC">
        <w:rPr>
          <w:lang w:val="en-GB"/>
        </w:rPr>
        <w:t>as well as</w:t>
      </w:r>
      <w:r w:rsidRPr="0082680A">
        <w:rPr>
          <w:lang w:val="en-GB"/>
        </w:rPr>
        <w:t xml:space="preserve"> </w:t>
      </w:r>
      <w:r w:rsidR="00956608" w:rsidRPr="0082680A">
        <w:rPr>
          <w:lang w:val="en-GB"/>
        </w:rPr>
        <w:t>contain</w:t>
      </w:r>
      <w:r w:rsidR="00B84FEC">
        <w:rPr>
          <w:lang w:val="en-GB"/>
        </w:rPr>
        <w:t>ing</w:t>
      </w:r>
      <w:r w:rsidR="00956608" w:rsidRPr="0082680A">
        <w:rPr>
          <w:lang w:val="en-GB"/>
        </w:rPr>
        <w:t xml:space="preserve"> known </w:t>
      </w:r>
      <w:r w:rsidRPr="0082680A">
        <w:rPr>
          <w:lang w:val="en-GB"/>
        </w:rPr>
        <w:t>upstream drivers.</w:t>
      </w:r>
      <w:r w:rsidR="00B84FEC">
        <w:rPr>
          <w:lang w:val="en-GB"/>
        </w:rPr>
        <w:t xml:space="preserve"> We also show significant enrichment of </w:t>
      </w:r>
      <w:proofErr w:type="spellStart"/>
      <w:r w:rsidR="00B84FEC">
        <w:rPr>
          <w:lang w:val="en-GB"/>
        </w:rPr>
        <w:t>snp</w:t>
      </w:r>
      <w:proofErr w:type="spellEnd"/>
      <w:r w:rsidR="00B84FEC">
        <w:rPr>
          <w:lang w:val="en-GB"/>
        </w:rPr>
        <w:t>-associated GWAS genes in our autoimmune arthritis signature, as well as</w:t>
      </w:r>
      <w:r w:rsidRPr="0082680A">
        <w:rPr>
          <w:lang w:val="en-GB"/>
        </w:rPr>
        <w:t xml:space="preserve"> demonstrat</w:t>
      </w:r>
      <w:r w:rsidR="00B84FEC">
        <w:rPr>
          <w:lang w:val="en-GB"/>
        </w:rPr>
        <w:t>ing</w:t>
      </w:r>
      <w:r w:rsidRPr="0082680A">
        <w:rPr>
          <w:lang w:val="en-GB"/>
        </w:rPr>
        <w:t xml:space="preserve"> </w:t>
      </w:r>
      <w:r w:rsidR="00B84FEC">
        <w:rPr>
          <w:lang w:val="en-GB"/>
        </w:rPr>
        <w:t xml:space="preserve">preliminary </w:t>
      </w:r>
      <w:r w:rsidRPr="0082680A">
        <w:rPr>
          <w:i/>
          <w:lang w:val="en-GB"/>
        </w:rPr>
        <w:t>in silico</w:t>
      </w:r>
      <w:r w:rsidRPr="0082680A">
        <w:rPr>
          <w:lang w:val="en-GB"/>
        </w:rPr>
        <w:t xml:space="preserve"> </w:t>
      </w:r>
      <w:r w:rsidR="00B84FEC">
        <w:rPr>
          <w:lang w:val="en-GB"/>
        </w:rPr>
        <w:t xml:space="preserve">validation of one known and 2 novel upstream drivers of TDP-43 pathology and neurodegeneration through </w:t>
      </w:r>
      <w:r w:rsidRPr="0082680A">
        <w:rPr>
          <w:lang w:val="en-GB"/>
        </w:rPr>
        <w:t>perturbation in an iPSC model. We believe the value of our approach is not only to reveal previously u</w:t>
      </w:r>
      <w:r w:rsidR="00BA69FD" w:rsidRPr="0082680A">
        <w:rPr>
          <w:lang w:val="en-GB"/>
        </w:rPr>
        <w:t>n</w:t>
      </w:r>
      <w:r w:rsidRPr="0082680A">
        <w:rPr>
          <w:lang w:val="en-GB"/>
        </w:rPr>
        <w:t xml:space="preserve">known upstream drivers of rare and complex </w:t>
      </w:r>
      <w:proofErr w:type="gramStart"/>
      <w:r w:rsidRPr="0082680A">
        <w:rPr>
          <w:lang w:val="en-GB"/>
        </w:rPr>
        <w:t xml:space="preserve">conditions, </w:t>
      </w:r>
      <w:r w:rsidR="00956608" w:rsidRPr="0082680A">
        <w:rPr>
          <w:lang w:val="en-GB"/>
        </w:rPr>
        <w:t>but</w:t>
      </w:r>
      <w:proofErr w:type="gramEnd"/>
      <w:r w:rsidR="00956608" w:rsidRPr="0082680A">
        <w:rPr>
          <w:lang w:val="en-GB"/>
        </w:rPr>
        <w:t xml:space="preserve"> </w:t>
      </w:r>
      <w:r w:rsidRPr="0082680A">
        <w:rPr>
          <w:lang w:val="en-GB"/>
        </w:rPr>
        <w:t>do so with a fraction of the resources conventionally devoted to this process.</w:t>
      </w:r>
      <w:r w:rsidR="002E60FC" w:rsidRPr="0082680A">
        <w:rPr>
          <w:rFonts w:ascii="Calibri" w:hAnsi="Calibri"/>
          <w:sz w:val="48"/>
          <w:szCs w:val="48"/>
          <w:lang w:val="en-GB"/>
        </w:rPr>
        <w:br w:type="page"/>
      </w:r>
    </w:p>
    <w:p w14:paraId="151C9FCE" w14:textId="4DFEF637" w:rsidR="002E60FC" w:rsidRPr="0082680A" w:rsidRDefault="002E60FC" w:rsidP="002E60FC">
      <w:pPr>
        <w:jc w:val="center"/>
        <w:rPr>
          <w:rFonts w:ascii="Arial" w:hAnsi="Arial" w:cs="Arial"/>
          <w:sz w:val="48"/>
          <w:szCs w:val="48"/>
          <w:lang w:val="en-GB"/>
        </w:rPr>
      </w:pPr>
      <w:r w:rsidRPr="0082680A">
        <w:rPr>
          <w:rFonts w:ascii="Arial" w:hAnsi="Arial" w:cs="Arial"/>
          <w:sz w:val="48"/>
          <w:szCs w:val="48"/>
          <w:lang w:val="en-GB"/>
        </w:rPr>
        <w:lastRenderedPageBreak/>
        <w:t>Acknowledgements</w:t>
      </w:r>
    </w:p>
    <w:p w14:paraId="07A0E0E3" w14:textId="3D1D9730" w:rsidR="00DF3FF9" w:rsidRPr="0082680A" w:rsidRDefault="00DF3FF9" w:rsidP="00DF3FF9">
      <w:pPr>
        <w:rPr>
          <w:lang w:val="en-GB"/>
        </w:rPr>
      </w:pPr>
      <w:r w:rsidRPr="0082680A">
        <w:rPr>
          <w:lang w:val="en-GB"/>
        </w:rPr>
        <w:t>I have wanted to do a PhD since I was probably about 7 years old. I didn’t know what a PhD was, or what you needed to do to get it, all I knew is that I wanted one. You may ask how a 7-year-old girl - who still struggled to get all the vowels in the right place in the word “because”, and whose greatest scientific achievement up to this point was a poorly maintained woodlouse farm – even knew what a PhD was. I grew up with privilege I never knew I had – a mother who was a Doctor of Philosophy. Again, I probably couldn’t pronounce, let alone spell “Philosophy”, but I thought it was cool, and my Mum was cool, and I wanted to be cool just like my Mum.</w:t>
      </w:r>
    </w:p>
    <w:p w14:paraId="57B48623" w14:textId="438AC73A" w:rsidR="00DF3FF9" w:rsidRPr="0082680A" w:rsidRDefault="00DF3FF9" w:rsidP="00DF3FF9">
      <w:pPr>
        <w:rPr>
          <w:lang w:val="en-GB"/>
        </w:rPr>
      </w:pPr>
    </w:p>
    <w:p w14:paraId="3E09E618" w14:textId="1DB06241" w:rsidR="00DF3FF9" w:rsidRPr="0082680A" w:rsidRDefault="00DF3FF9" w:rsidP="00DF3FF9">
      <w:pPr>
        <w:rPr>
          <w:lang w:val="en-GB"/>
        </w:rPr>
      </w:pPr>
      <w:r w:rsidRPr="0082680A">
        <w:rPr>
          <w:lang w:val="en-GB"/>
        </w:rPr>
        <w:t xml:space="preserve">Eighteen years later, as I write these final words, I wonder perhaps if Mum should have just gone on a course in something fun like baking or circus tricks, then I could be eating cake all day or teaching hamsters how to do flips off the trapeze or something, but then I think about how proud I am to be writing these words. Very tired, but so very proud. And so, my first thanks </w:t>
      </w:r>
      <w:proofErr w:type="gramStart"/>
      <w:r w:rsidRPr="0082680A">
        <w:rPr>
          <w:lang w:val="en-GB"/>
        </w:rPr>
        <w:t>goes</w:t>
      </w:r>
      <w:proofErr w:type="gramEnd"/>
      <w:r w:rsidRPr="0082680A">
        <w:rPr>
          <w:lang w:val="en-GB"/>
        </w:rPr>
        <w:t xml:space="preserve"> to my wonderful, funny, intensely intelligent Mother who taught me that girls can do computers, and get PhDs, and be really good at crosswords (I’ll stop cheating one day Mum). I love you so much for teaching me those things. </w:t>
      </w:r>
      <w:proofErr w:type="gramStart"/>
      <w:r w:rsidRPr="0082680A">
        <w:rPr>
          <w:lang w:val="en-GB"/>
        </w:rPr>
        <w:t>Of course</w:t>
      </w:r>
      <w:proofErr w:type="gramEnd"/>
      <w:r w:rsidRPr="0082680A">
        <w:rPr>
          <w:lang w:val="en-GB"/>
        </w:rPr>
        <w:t xml:space="preserve"> I could never mention Mum without mentioning Dad – you have been a powerhouse of support since I flopped into this world, and as long as you are around I know there is always someone cheering me on (though hopefully not like Jon’s old football days eh?). Speaking of which, I must also thank my big brother Jon. Whenever I’m struggling, I always look to you for guidance. Many </w:t>
      </w:r>
      <w:proofErr w:type="gramStart"/>
      <w:r w:rsidRPr="0082680A">
        <w:rPr>
          <w:lang w:val="en-GB"/>
        </w:rPr>
        <w:t>times</w:t>
      </w:r>
      <w:proofErr w:type="gramEnd"/>
      <w:r w:rsidRPr="0082680A">
        <w:rPr>
          <w:lang w:val="en-GB"/>
        </w:rPr>
        <w:t xml:space="preserve"> during this process I have rallied myself with the knowledge that “if Jon can do it, I can do it”. You will always be my role model, and my North Star. I love you all.</w:t>
      </w:r>
    </w:p>
    <w:p w14:paraId="5A4D3D94" w14:textId="604043C9" w:rsidR="00DF3FF9" w:rsidRPr="0082680A" w:rsidRDefault="00DF3FF9" w:rsidP="00DF3FF9">
      <w:pPr>
        <w:rPr>
          <w:lang w:val="en-GB"/>
        </w:rPr>
      </w:pPr>
    </w:p>
    <w:p w14:paraId="39DDAF89" w14:textId="4706B572" w:rsidR="00DF3FF9" w:rsidRPr="0082680A" w:rsidRDefault="00DF3FF9" w:rsidP="00DF3FF9">
      <w:pPr>
        <w:rPr>
          <w:lang w:val="en-GB"/>
        </w:rPr>
      </w:pPr>
      <w:r w:rsidRPr="0082680A">
        <w:rPr>
          <w:lang w:val="en-GB"/>
        </w:rPr>
        <w:t xml:space="preserve">This thesis would not exist without my two supervisors - Professor Winston Hide and Dr Johnathan Cooper-Knock. Completing this PhD with you both has been exciting and devastating and brilliant and scary and wonderful. It’s been a bloody wild ride, but a bloody good one. I never would have found this world and this project if it weren’t for you, and I will be eternally grateful. Thank you also to the rest of the Hide Lab – David, Sandeep, Wenbin, </w:t>
      </w:r>
      <w:proofErr w:type="spellStart"/>
      <w:r w:rsidRPr="0082680A">
        <w:rPr>
          <w:lang w:val="en-GB"/>
        </w:rPr>
        <w:t>Sokratis</w:t>
      </w:r>
      <w:proofErr w:type="spellEnd"/>
      <w:r w:rsidRPr="0082680A">
        <w:rPr>
          <w:lang w:val="en-GB"/>
        </w:rPr>
        <w:t xml:space="preserve">, Viv, and by extension Gabriel and </w:t>
      </w:r>
      <w:proofErr w:type="spellStart"/>
      <w:r w:rsidRPr="0082680A">
        <w:rPr>
          <w:lang w:val="en-GB"/>
        </w:rPr>
        <w:t>Yered</w:t>
      </w:r>
      <w:proofErr w:type="spellEnd"/>
      <w:r w:rsidRPr="0082680A">
        <w:rPr>
          <w:lang w:val="en-GB"/>
        </w:rPr>
        <w:t xml:space="preserve"> - for your input and your support. Thank you to our collaborators Professor Clifford Woolf and Dr Kuchuan Chen at Harvard Children’s Hospital and Harvard Medical School, and Dr Oliver Bandmann, Dr Heather Mortiboys, Dr Paul Heath, and Dr Janine Kirby at SITraN for your contributions and your kind advice. My deepest thanks also to Sheffield Medical School for awarding me a scholarship to fund this journey.</w:t>
      </w:r>
    </w:p>
    <w:p w14:paraId="5D967C24" w14:textId="7125522F" w:rsidR="00DF3FF9" w:rsidRPr="0082680A" w:rsidRDefault="00DF3FF9" w:rsidP="00DF3FF9">
      <w:pPr>
        <w:rPr>
          <w:lang w:val="en-GB"/>
        </w:rPr>
      </w:pPr>
    </w:p>
    <w:p w14:paraId="3FCEBE80" w14:textId="6ABCA1EE" w:rsidR="00DF3FF9" w:rsidRPr="0082680A" w:rsidRDefault="00DF3FF9" w:rsidP="00DF3FF9">
      <w:pPr>
        <w:rPr>
          <w:lang w:val="en-GB"/>
        </w:rPr>
      </w:pPr>
      <w:r w:rsidRPr="0082680A">
        <w:rPr>
          <w:lang w:val="en-GB"/>
        </w:rPr>
        <w:t xml:space="preserve">There are two people who are probably wondering why I haven’t mentioned them yet – rest assured ladies, I haven’t forgotten you! The world of science is hard, but it’s pretty fun if you have two awesome women to skip through it with, Wizard of Oz style. Kat and </w:t>
      </w:r>
      <w:proofErr w:type="spellStart"/>
      <w:r w:rsidRPr="0082680A">
        <w:rPr>
          <w:lang w:val="en-GB"/>
        </w:rPr>
        <w:t>Mogs</w:t>
      </w:r>
      <w:proofErr w:type="spellEnd"/>
      <w:r w:rsidRPr="0082680A">
        <w:rPr>
          <w:lang w:val="en-GB"/>
        </w:rPr>
        <w:t xml:space="preserve"> (or Sarah or Sally or whoever you are), for every time I have been down, you guys have always found a way to make me </w:t>
      </w:r>
      <w:r w:rsidRPr="0082680A">
        <w:rPr>
          <w:lang w:val="en-GB"/>
        </w:rPr>
        <w:lastRenderedPageBreak/>
        <w:t>laugh again (usually with a cat GIF). I never expected to make such great friends during my time here, but something tells me I won’t be able to shake you off so easy! I hope we will always have Unicorn brunch, and that when we’re old ladies we’re still messaging about Drag Race Season 51.</w:t>
      </w:r>
    </w:p>
    <w:p w14:paraId="4C886D39" w14:textId="28D2FCF3" w:rsidR="00DF3FF9" w:rsidRPr="0082680A" w:rsidRDefault="00DF3FF9" w:rsidP="00DF3FF9">
      <w:pPr>
        <w:rPr>
          <w:lang w:val="en-GB"/>
        </w:rPr>
      </w:pPr>
    </w:p>
    <w:p w14:paraId="15B80F58" w14:textId="77C394EE" w:rsidR="00DF3FF9" w:rsidRPr="0082680A" w:rsidRDefault="00DF3FF9" w:rsidP="00DF3FF9">
      <w:pPr>
        <w:rPr>
          <w:lang w:val="en-GB"/>
        </w:rPr>
      </w:pPr>
      <w:r w:rsidRPr="0082680A">
        <w:rPr>
          <w:lang w:val="en-GB"/>
        </w:rPr>
        <w:t xml:space="preserve">Last but by no means least, I cannot thank my dearest Daniel enough. These past 3 years have been really </w:t>
      </w:r>
      <w:proofErr w:type="gramStart"/>
      <w:r w:rsidRPr="0082680A">
        <w:rPr>
          <w:lang w:val="en-GB"/>
        </w:rPr>
        <w:t>hard, but</w:t>
      </w:r>
      <w:proofErr w:type="gramEnd"/>
      <w:r w:rsidRPr="0082680A">
        <w:rPr>
          <w:lang w:val="en-GB"/>
        </w:rPr>
        <w:t xml:space="preserve"> coming home to you after every failed experiment or lost file always made it better again. You have supported me in every way you know how, so thank you for all the hugs and doing the washing and the hoovering and making dinner when I was too tired (we’ll gloss over the salty pancakes and the “is there cinnamon in this bolognaise?” occasions). Thank you from the bottom of my heart. As always, I love you. </w:t>
      </w:r>
    </w:p>
    <w:p w14:paraId="08CF86B1" w14:textId="0ED8189C" w:rsidR="00DF3FF9" w:rsidRPr="0082680A" w:rsidRDefault="00DF3FF9" w:rsidP="00DF3FF9">
      <w:pPr>
        <w:rPr>
          <w:lang w:val="en-GB"/>
        </w:rPr>
      </w:pPr>
    </w:p>
    <w:p w14:paraId="39A5AB9D" w14:textId="23B57995" w:rsidR="00DF3FF9" w:rsidRPr="0082680A" w:rsidRDefault="00DF3FF9" w:rsidP="00DF3FF9">
      <w:pPr>
        <w:rPr>
          <w:lang w:val="en-GB"/>
        </w:rPr>
      </w:pPr>
    </w:p>
    <w:p w14:paraId="040610EA" w14:textId="77777777" w:rsidR="00DF3FF9" w:rsidRPr="0082680A" w:rsidRDefault="00DF3FF9" w:rsidP="00DF3FF9">
      <w:pPr>
        <w:rPr>
          <w:lang w:val="en-GB"/>
        </w:rPr>
      </w:pPr>
    </w:p>
    <w:p w14:paraId="34C15B2B" w14:textId="15D454A6" w:rsidR="00DF3FF9" w:rsidRPr="0082680A" w:rsidRDefault="00DF3FF9" w:rsidP="00DF3FF9">
      <w:pPr>
        <w:jc w:val="center"/>
        <w:rPr>
          <w:lang w:val="en-GB"/>
        </w:rPr>
      </w:pPr>
      <w:r w:rsidRPr="0082680A">
        <w:rPr>
          <w:lang w:val="en-GB"/>
        </w:rPr>
        <w:t>~</w:t>
      </w:r>
    </w:p>
    <w:p w14:paraId="67092017" w14:textId="0DC01FF3" w:rsidR="00DF3FF9" w:rsidRPr="0082680A" w:rsidRDefault="00DF3FF9" w:rsidP="00DF3FF9">
      <w:pPr>
        <w:jc w:val="center"/>
        <w:rPr>
          <w:lang w:val="en-GB"/>
        </w:rPr>
      </w:pPr>
      <w:r w:rsidRPr="0082680A">
        <w:rPr>
          <w:lang w:val="en-GB"/>
        </w:rPr>
        <w:t>My sincerest gratitude to the many unnamed patients who gave the gift of data.</w:t>
      </w:r>
    </w:p>
    <w:p w14:paraId="1E96773C" w14:textId="0D68F6FE" w:rsidR="00DF3FF9" w:rsidRPr="0082680A" w:rsidRDefault="00DF3FF9" w:rsidP="00DF3FF9">
      <w:pPr>
        <w:jc w:val="center"/>
        <w:rPr>
          <w:lang w:val="en-GB"/>
        </w:rPr>
      </w:pPr>
      <w:r w:rsidRPr="0082680A">
        <w:rPr>
          <w:lang w:val="en-GB"/>
        </w:rPr>
        <w:t>~</w:t>
      </w:r>
    </w:p>
    <w:p w14:paraId="50D2F4FA" w14:textId="1B0FA468" w:rsidR="002E60FC" w:rsidRPr="0082680A" w:rsidRDefault="002E60FC" w:rsidP="008530F4">
      <w:pPr>
        <w:rPr>
          <w:rFonts w:ascii="Calibri" w:hAnsi="Calibri"/>
          <w:sz w:val="48"/>
          <w:szCs w:val="48"/>
          <w:lang w:val="en-GB"/>
        </w:rPr>
      </w:pPr>
      <w:r w:rsidRPr="0082680A">
        <w:rPr>
          <w:rFonts w:ascii="Calibri" w:hAnsi="Calibri"/>
          <w:sz w:val="48"/>
          <w:szCs w:val="48"/>
          <w:lang w:val="en-GB"/>
        </w:rPr>
        <w:br w:type="page"/>
      </w:r>
    </w:p>
    <w:bookmarkStart w:id="0" w:name="_Toc527800514" w:displacedByCustomXml="next"/>
    <w:sdt>
      <w:sdtPr>
        <w:rPr>
          <w:rFonts w:ascii="Arial" w:hAnsi="Arial" w:cs="Arial"/>
          <w:sz w:val="48"/>
          <w:szCs w:val="48"/>
          <w:lang w:val="en-GB"/>
        </w:rPr>
        <w:id w:val="2040552279"/>
        <w:docPartObj>
          <w:docPartGallery w:val="Table of Contents"/>
          <w:docPartUnique/>
        </w:docPartObj>
      </w:sdtPr>
      <w:sdtEndPr>
        <w:rPr>
          <w:rFonts w:ascii="Times New Roman" w:hAnsi="Times New Roman" w:cs="Times New Roman"/>
          <w:b/>
          <w:bCs/>
          <w:noProof/>
          <w:sz w:val="22"/>
          <w:szCs w:val="22"/>
        </w:rPr>
      </w:sdtEndPr>
      <w:sdtContent>
        <w:p w14:paraId="1C880D33" w14:textId="2C832B24" w:rsidR="00534975" w:rsidRPr="0082680A" w:rsidRDefault="00534975" w:rsidP="00534975">
          <w:pPr>
            <w:rPr>
              <w:rFonts w:ascii="Arial" w:hAnsi="Arial" w:cs="Arial"/>
              <w:sz w:val="48"/>
              <w:szCs w:val="48"/>
              <w:lang w:val="en-GB"/>
            </w:rPr>
          </w:pPr>
          <w:r w:rsidRPr="0082680A">
            <w:rPr>
              <w:rFonts w:ascii="Arial" w:hAnsi="Arial" w:cs="Arial"/>
              <w:sz w:val="48"/>
              <w:szCs w:val="48"/>
              <w:lang w:val="en-GB"/>
            </w:rPr>
            <w:t>Contents</w:t>
          </w:r>
        </w:p>
        <w:p w14:paraId="7DAB422B" w14:textId="157BEBFC" w:rsidR="0028665F" w:rsidRDefault="008530F4">
          <w:pPr>
            <w:pStyle w:val="TOC1"/>
            <w:rPr>
              <w:rFonts w:asciiTheme="minorHAnsi" w:eastAsiaTheme="minorEastAsia" w:hAnsiTheme="minorHAnsi" w:cstheme="minorBidi"/>
              <w:b w:val="0"/>
              <w:bCs w:val="0"/>
              <w:iCs w:val="0"/>
              <w:noProof/>
              <w:lang w:val="en-GB"/>
            </w:rPr>
          </w:pPr>
          <w:r w:rsidRPr="0082680A">
            <w:rPr>
              <w:lang w:val="en-GB"/>
            </w:rPr>
            <w:fldChar w:fldCharType="begin"/>
          </w:r>
          <w:r w:rsidRPr="0082680A">
            <w:rPr>
              <w:lang w:val="en-GB"/>
            </w:rPr>
            <w:instrText xml:space="preserve"> TOC \o "1-4" \h \z \u </w:instrText>
          </w:r>
          <w:r w:rsidRPr="0082680A">
            <w:rPr>
              <w:lang w:val="en-GB"/>
            </w:rPr>
            <w:fldChar w:fldCharType="separate"/>
          </w:r>
          <w:hyperlink w:anchor="_Toc3211304" w:history="1">
            <w:r w:rsidR="0028665F" w:rsidRPr="00770FE3">
              <w:rPr>
                <w:rStyle w:val="Hyperlink"/>
                <w:noProof/>
                <w:color w:val="FFFFFF" w:themeColor="background1"/>
                <w:lang w:val="en-GB"/>
                <w14:textFill>
                  <w14:noFill/>
                </w14:textFill>
              </w:rPr>
              <w:t>1</w:t>
            </w:r>
            <w:r w:rsidR="0028665F" w:rsidRPr="00770FE3">
              <w:rPr>
                <w:rStyle w:val="Hyperlink"/>
                <w:noProof/>
                <w:lang w:val="en-GB"/>
              </w:rPr>
              <w:t>Chapter 1: Introduction</w:t>
            </w:r>
            <w:r w:rsidR="0028665F">
              <w:rPr>
                <w:noProof/>
                <w:webHidden/>
              </w:rPr>
              <w:tab/>
            </w:r>
            <w:r w:rsidR="0028665F">
              <w:rPr>
                <w:noProof/>
                <w:webHidden/>
              </w:rPr>
              <w:fldChar w:fldCharType="begin"/>
            </w:r>
            <w:r w:rsidR="0028665F">
              <w:rPr>
                <w:noProof/>
                <w:webHidden/>
              </w:rPr>
              <w:instrText xml:space="preserve"> PAGEREF _Toc3211304 \h </w:instrText>
            </w:r>
            <w:r w:rsidR="0028665F">
              <w:rPr>
                <w:noProof/>
                <w:webHidden/>
              </w:rPr>
            </w:r>
            <w:r w:rsidR="0028665F">
              <w:rPr>
                <w:noProof/>
                <w:webHidden/>
              </w:rPr>
              <w:fldChar w:fldCharType="separate"/>
            </w:r>
            <w:r w:rsidR="0028665F">
              <w:rPr>
                <w:noProof/>
                <w:webHidden/>
              </w:rPr>
              <w:t>1</w:t>
            </w:r>
            <w:r w:rsidR="0028665F">
              <w:rPr>
                <w:noProof/>
                <w:webHidden/>
              </w:rPr>
              <w:fldChar w:fldCharType="end"/>
            </w:r>
          </w:hyperlink>
        </w:p>
        <w:p w14:paraId="2E16563F" w14:textId="327242C5" w:rsidR="0028665F" w:rsidRDefault="00C2072C">
          <w:pPr>
            <w:pStyle w:val="TOC2"/>
            <w:rPr>
              <w:rFonts w:asciiTheme="minorHAnsi" w:eastAsiaTheme="minorEastAsia" w:hAnsiTheme="minorHAnsi" w:cstheme="minorBidi"/>
              <w:bCs w:val="0"/>
              <w:noProof/>
              <w:sz w:val="24"/>
              <w:szCs w:val="24"/>
              <w:lang w:val="en-GB"/>
            </w:rPr>
          </w:pPr>
          <w:hyperlink w:anchor="_Toc3211305" w:history="1">
            <w:r w:rsidR="0028665F" w:rsidRPr="00770FE3">
              <w:rPr>
                <w:rStyle w:val="Hyperlink"/>
                <w:noProof/>
              </w:rPr>
              <w:t>1.1 Inadequate Treatments for Complex Diseases</w:t>
            </w:r>
            <w:r w:rsidR="0028665F">
              <w:rPr>
                <w:noProof/>
                <w:webHidden/>
              </w:rPr>
              <w:tab/>
            </w:r>
            <w:r w:rsidR="0028665F">
              <w:rPr>
                <w:noProof/>
                <w:webHidden/>
              </w:rPr>
              <w:fldChar w:fldCharType="begin"/>
            </w:r>
            <w:r w:rsidR="0028665F">
              <w:rPr>
                <w:noProof/>
                <w:webHidden/>
              </w:rPr>
              <w:instrText xml:space="preserve"> PAGEREF _Toc3211305 \h </w:instrText>
            </w:r>
            <w:r w:rsidR="0028665F">
              <w:rPr>
                <w:noProof/>
                <w:webHidden/>
              </w:rPr>
            </w:r>
            <w:r w:rsidR="0028665F">
              <w:rPr>
                <w:noProof/>
                <w:webHidden/>
              </w:rPr>
              <w:fldChar w:fldCharType="separate"/>
            </w:r>
            <w:r w:rsidR="0028665F">
              <w:rPr>
                <w:noProof/>
                <w:webHidden/>
              </w:rPr>
              <w:t>2</w:t>
            </w:r>
            <w:r w:rsidR="0028665F">
              <w:rPr>
                <w:noProof/>
                <w:webHidden/>
              </w:rPr>
              <w:fldChar w:fldCharType="end"/>
            </w:r>
          </w:hyperlink>
        </w:p>
        <w:p w14:paraId="29F774A6" w14:textId="08DD3D6B" w:rsidR="0028665F" w:rsidRDefault="00C2072C">
          <w:pPr>
            <w:pStyle w:val="TOC2"/>
            <w:rPr>
              <w:rFonts w:asciiTheme="minorHAnsi" w:eastAsiaTheme="minorEastAsia" w:hAnsiTheme="minorHAnsi" w:cstheme="minorBidi"/>
              <w:bCs w:val="0"/>
              <w:noProof/>
              <w:sz w:val="24"/>
              <w:szCs w:val="24"/>
              <w:lang w:val="en-GB"/>
            </w:rPr>
          </w:pPr>
          <w:hyperlink w:anchor="_Toc3211306" w:history="1">
            <w:r w:rsidR="0028665F" w:rsidRPr="00770FE3">
              <w:rPr>
                <w:rStyle w:val="Hyperlink"/>
                <w:noProof/>
              </w:rPr>
              <w:t>1.2 Long Journeys</w:t>
            </w:r>
            <w:r w:rsidR="0028665F">
              <w:rPr>
                <w:noProof/>
                <w:webHidden/>
              </w:rPr>
              <w:tab/>
            </w:r>
            <w:r w:rsidR="0028665F">
              <w:rPr>
                <w:noProof/>
                <w:webHidden/>
              </w:rPr>
              <w:fldChar w:fldCharType="begin"/>
            </w:r>
            <w:r w:rsidR="0028665F">
              <w:rPr>
                <w:noProof/>
                <w:webHidden/>
              </w:rPr>
              <w:instrText xml:space="preserve"> PAGEREF _Toc3211306 \h </w:instrText>
            </w:r>
            <w:r w:rsidR="0028665F">
              <w:rPr>
                <w:noProof/>
                <w:webHidden/>
              </w:rPr>
            </w:r>
            <w:r w:rsidR="0028665F">
              <w:rPr>
                <w:noProof/>
                <w:webHidden/>
              </w:rPr>
              <w:fldChar w:fldCharType="separate"/>
            </w:r>
            <w:r w:rsidR="0028665F">
              <w:rPr>
                <w:noProof/>
                <w:webHidden/>
              </w:rPr>
              <w:t>2</w:t>
            </w:r>
            <w:r w:rsidR="0028665F">
              <w:rPr>
                <w:noProof/>
                <w:webHidden/>
              </w:rPr>
              <w:fldChar w:fldCharType="end"/>
            </w:r>
          </w:hyperlink>
        </w:p>
        <w:p w14:paraId="1542BBE8" w14:textId="10903AC9" w:rsidR="0028665F" w:rsidRDefault="00C2072C">
          <w:pPr>
            <w:pStyle w:val="TOC2"/>
            <w:rPr>
              <w:rFonts w:asciiTheme="minorHAnsi" w:eastAsiaTheme="minorEastAsia" w:hAnsiTheme="minorHAnsi" w:cstheme="minorBidi"/>
              <w:bCs w:val="0"/>
              <w:noProof/>
              <w:sz w:val="24"/>
              <w:szCs w:val="24"/>
              <w:lang w:val="en-GB"/>
            </w:rPr>
          </w:pPr>
          <w:hyperlink w:anchor="_Toc3211307" w:history="1">
            <w:r w:rsidR="0028665F" w:rsidRPr="00770FE3">
              <w:rPr>
                <w:rStyle w:val="Hyperlink"/>
                <w:noProof/>
              </w:rPr>
              <w:t>1.3 Small Data</w:t>
            </w:r>
            <w:r w:rsidR="0028665F">
              <w:rPr>
                <w:noProof/>
                <w:webHidden/>
              </w:rPr>
              <w:tab/>
            </w:r>
            <w:r w:rsidR="0028665F">
              <w:rPr>
                <w:noProof/>
                <w:webHidden/>
              </w:rPr>
              <w:fldChar w:fldCharType="begin"/>
            </w:r>
            <w:r w:rsidR="0028665F">
              <w:rPr>
                <w:noProof/>
                <w:webHidden/>
              </w:rPr>
              <w:instrText xml:space="preserve"> PAGEREF _Toc3211307 \h </w:instrText>
            </w:r>
            <w:r w:rsidR="0028665F">
              <w:rPr>
                <w:noProof/>
                <w:webHidden/>
              </w:rPr>
            </w:r>
            <w:r w:rsidR="0028665F">
              <w:rPr>
                <w:noProof/>
                <w:webHidden/>
              </w:rPr>
              <w:fldChar w:fldCharType="separate"/>
            </w:r>
            <w:r w:rsidR="0028665F">
              <w:rPr>
                <w:noProof/>
                <w:webHidden/>
              </w:rPr>
              <w:t>3</w:t>
            </w:r>
            <w:r w:rsidR="0028665F">
              <w:rPr>
                <w:noProof/>
                <w:webHidden/>
              </w:rPr>
              <w:fldChar w:fldCharType="end"/>
            </w:r>
          </w:hyperlink>
        </w:p>
        <w:p w14:paraId="3C2F5E37" w14:textId="1BD4DE87" w:rsidR="0028665F" w:rsidRDefault="00C2072C">
          <w:pPr>
            <w:pStyle w:val="TOC2"/>
            <w:rPr>
              <w:rFonts w:asciiTheme="minorHAnsi" w:eastAsiaTheme="minorEastAsia" w:hAnsiTheme="minorHAnsi" w:cstheme="minorBidi"/>
              <w:bCs w:val="0"/>
              <w:noProof/>
              <w:sz w:val="24"/>
              <w:szCs w:val="24"/>
              <w:lang w:val="en-GB"/>
            </w:rPr>
          </w:pPr>
          <w:hyperlink w:anchor="_Toc3211308" w:history="1">
            <w:r w:rsidR="0028665F" w:rsidRPr="00770FE3">
              <w:rPr>
                <w:rStyle w:val="Hyperlink"/>
                <w:noProof/>
              </w:rPr>
              <w:t>1.4 Finding the Intersection</w:t>
            </w:r>
            <w:r w:rsidR="0028665F">
              <w:rPr>
                <w:noProof/>
                <w:webHidden/>
              </w:rPr>
              <w:tab/>
            </w:r>
            <w:r w:rsidR="0028665F">
              <w:rPr>
                <w:noProof/>
                <w:webHidden/>
              </w:rPr>
              <w:fldChar w:fldCharType="begin"/>
            </w:r>
            <w:r w:rsidR="0028665F">
              <w:rPr>
                <w:noProof/>
                <w:webHidden/>
              </w:rPr>
              <w:instrText xml:space="preserve"> PAGEREF _Toc3211308 \h </w:instrText>
            </w:r>
            <w:r w:rsidR="0028665F">
              <w:rPr>
                <w:noProof/>
                <w:webHidden/>
              </w:rPr>
            </w:r>
            <w:r w:rsidR="0028665F">
              <w:rPr>
                <w:noProof/>
                <w:webHidden/>
              </w:rPr>
              <w:fldChar w:fldCharType="separate"/>
            </w:r>
            <w:r w:rsidR="0028665F">
              <w:rPr>
                <w:noProof/>
                <w:webHidden/>
              </w:rPr>
              <w:t>5</w:t>
            </w:r>
            <w:r w:rsidR="0028665F">
              <w:rPr>
                <w:noProof/>
                <w:webHidden/>
              </w:rPr>
              <w:fldChar w:fldCharType="end"/>
            </w:r>
          </w:hyperlink>
        </w:p>
        <w:p w14:paraId="003E40E5" w14:textId="7D872AF3" w:rsidR="0028665F" w:rsidRDefault="00C2072C">
          <w:pPr>
            <w:pStyle w:val="TOC3"/>
            <w:rPr>
              <w:rFonts w:asciiTheme="minorHAnsi" w:eastAsiaTheme="minorEastAsia" w:hAnsiTheme="minorHAnsi" w:cstheme="minorBidi"/>
              <w:noProof/>
              <w:sz w:val="24"/>
              <w:szCs w:val="24"/>
              <w:lang w:val="en-GB"/>
            </w:rPr>
          </w:pPr>
          <w:hyperlink w:anchor="_Toc3211309" w:history="1">
            <w:r w:rsidR="0028665F" w:rsidRPr="00770FE3">
              <w:rPr>
                <w:rStyle w:val="Hyperlink"/>
                <w:noProof/>
              </w:rPr>
              <w:t>1.4.1 The Value of Signatures</w:t>
            </w:r>
            <w:r w:rsidR="0028665F">
              <w:rPr>
                <w:noProof/>
                <w:webHidden/>
              </w:rPr>
              <w:tab/>
            </w:r>
            <w:r w:rsidR="0028665F">
              <w:rPr>
                <w:noProof/>
                <w:webHidden/>
              </w:rPr>
              <w:fldChar w:fldCharType="begin"/>
            </w:r>
            <w:r w:rsidR="0028665F">
              <w:rPr>
                <w:noProof/>
                <w:webHidden/>
              </w:rPr>
              <w:instrText xml:space="preserve"> PAGEREF _Toc3211309 \h </w:instrText>
            </w:r>
            <w:r w:rsidR="0028665F">
              <w:rPr>
                <w:noProof/>
                <w:webHidden/>
              </w:rPr>
            </w:r>
            <w:r w:rsidR="0028665F">
              <w:rPr>
                <w:noProof/>
                <w:webHidden/>
              </w:rPr>
              <w:fldChar w:fldCharType="separate"/>
            </w:r>
            <w:r w:rsidR="0028665F">
              <w:rPr>
                <w:noProof/>
                <w:webHidden/>
              </w:rPr>
              <w:t>6</w:t>
            </w:r>
            <w:r w:rsidR="0028665F">
              <w:rPr>
                <w:noProof/>
                <w:webHidden/>
              </w:rPr>
              <w:fldChar w:fldCharType="end"/>
            </w:r>
          </w:hyperlink>
        </w:p>
        <w:p w14:paraId="6F4C4DA8" w14:textId="04EB5FB5" w:rsidR="0028665F" w:rsidRDefault="00C2072C">
          <w:pPr>
            <w:pStyle w:val="TOC3"/>
            <w:rPr>
              <w:rFonts w:asciiTheme="minorHAnsi" w:eastAsiaTheme="minorEastAsia" w:hAnsiTheme="minorHAnsi" w:cstheme="minorBidi"/>
              <w:noProof/>
              <w:sz w:val="24"/>
              <w:szCs w:val="24"/>
              <w:lang w:val="en-GB"/>
            </w:rPr>
          </w:pPr>
          <w:hyperlink w:anchor="_Toc3211310" w:history="1">
            <w:r w:rsidR="0028665F" w:rsidRPr="00770FE3">
              <w:rPr>
                <w:rStyle w:val="Hyperlink"/>
                <w:noProof/>
              </w:rPr>
              <w:t>1.4.2 Signatures are Imperfect</w:t>
            </w:r>
            <w:r w:rsidR="0028665F">
              <w:rPr>
                <w:noProof/>
                <w:webHidden/>
              </w:rPr>
              <w:tab/>
            </w:r>
            <w:r w:rsidR="0028665F">
              <w:rPr>
                <w:noProof/>
                <w:webHidden/>
              </w:rPr>
              <w:fldChar w:fldCharType="begin"/>
            </w:r>
            <w:r w:rsidR="0028665F">
              <w:rPr>
                <w:noProof/>
                <w:webHidden/>
              </w:rPr>
              <w:instrText xml:space="preserve"> PAGEREF _Toc3211310 \h </w:instrText>
            </w:r>
            <w:r w:rsidR="0028665F">
              <w:rPr>
                <w:noProof/>
                <w:webHidden/>
              </w:rPr>
            </w:r>
            <w:r w:rsidR="0028665F">
              <w:rPr>
                <w:noProof/>
                <w:webHidden/>
              </w:rPr>
              <w:fldChar w:fldCharType="separate"/>
            </w:r>
            <w:r w:rsidR="0028665F">
              <w:rPr>
                <w:noProof/>
                <w:webHidden/>
              </w:rPr>
              <w:t>6</w:t>
            </w:r>
            <w:r w:rsidR="0028665F">
              <w:rPr>
                <w:noProof/>
                <w:webHidden/>
              </w:rPr>
              <w:fldChar w:fldCharType="end"/>
            </w:r>
          </w:hyperlink>
        </w:p>
        <w:p w14:paraId="5D4C1646" w14:textId="69745233" w:rsidR="0028665F" w:rsidRDefault="00C2072C">
          <w:pPr>
            <w:pStyle w:val="TOC4"/>
            <w:rPr>
              <w:rFonts w:asciiTheme="minorHAnsi" w:eastAsiaTheme="minorEastAsia" w:hAnsiTheme="minorHAnsi" w:cstheme="minorBidi"/>
              <w:noProof/>
              <w:sz w:val="24"/>
              <w:szCs w:val="24"/>
              <w:lang w:val="en-GB"/>
            </w:rPr>
          </w:pPr>
          <w:hyperlink w:anchor="_Toc3211311" w:history="1">
            <w:r w:rsidR="0028665F" w:rsidRPr="00770FE3">
              <w:rPr>
                <w:rStyle w:val="Hyperlink"/>
                <w:noProof/>
                <w:lang w:val="en-GB"/>
              </w:rPr>
              <w:t>1.4.2.1</w:t>
            </w:r>
            <w:r w:rsidR="0028665F" w:rsidRPr="00770FE3">
              <w:rPr>
                <w:rStyle w:val="Hyperlink"/>
                <w:noProof/>
              </w:rPr>
              <w:t xml:space="preserve"> Bias</w:t>
            </w:r>
            <w:r w:rsidR="0028665F">
              <w:rPr>
                <w:noProof/>
                <w:webHidden/>
              </w:rPr>
              <w:tab/>
            </w:r>
            <w:r w:rsidR="0028665F">
              <w:rPr>
                <w:noProof/>
                <w:webHidden/>
              </w:rPr>
              <w:fldChar w:fldCharType="begin"/>
            </w:r>
            <w:r w:rsidR="0028665F">
              <w:rPr>
                <w:noProof/>
                <w:webHidden/>
              </w:rPr>
              <w:instrText xml:space="preserve"> PAGEREF _Toc3211311 \h </w:instrText>
            </w:r>
            <w:r w:rsidR="0028665F">
              <w:rPr>
                <w:noProof/>
                <w:webHidden/>
              </w:rPr>
            </w:r>
            <w:r w:rsidR="0028665F">
              <w:rPr>
                <w:noProof/>
                <w:webHidden/>
              </w:rPr>
              <w:fldChar w:fldCharType="separate"/>
            </w:r>
            <w:r w:rsidR="0028665F">
              <w:rPr>
                <w:noProof/>
                <w:webHidden/>
              </w:rPr>
              <w:t>7</w:t>
            </w:r>
            <w:r w:rsidR="0028665F">
              <w:rPr>
                <w:noProof/>
                <w:webHidden/>
              </w:rPr>
              <w:fldChar w:fldCharType="end"/>
            </w:r>
          </w:hyperlink>
        </w:p>
        <w:p w14:paraId="4AFF6767" w14:textId="2E1431B3" w:rsidR="0028665F" w:rsidRDefault="00C2072C">
          <w:pPr>
            <w:pStyle w:val="TOC4"/>
            <w:rPr>
              <w:rFonts w:asciiTheme="minorHAnsi" w:eastAsiaTheme="minorEastAsia" w:hAnsiTheme="minorHAnsi" w:cstheme="minorBidi"/>
              <w:noProof/>
              <w:sz w:val="24"/>
              <w:szCs w:val="24"/>
              <w:lang w:val="en-GB"/>
            </w:rPr>
          </w:pPr>
          <w:hyperlink w:anchor="_Toc3211312" w:history="1">
            <w:r w:rsidR="0028665F" w:rsidRPr="00770FE3">
              <w:rPr>
                <w:rStyle w:val="Hyperlink"/>
                <w:noProof/>
                <w:lang w:val="en-GB"/>
              </w:rPr>
              <w:t>1.4.2.2 Inadequate Controls</w:t>
            </w:r>
            <w:r w:rsidR="0028665F">
              <w:rPr>
                <w:noProof/>
                <w:webHidden/>
              </w:rPr>
              <w:tab/>
            </w:r>
            <w:r w:rsidR="0028665F">
              <w:rPr>
                <w:noProof/>
                <w:webHidden/>
              </w:rPr>
              <w:fldChar w:fldCharType="begin"/>
            </w:r>
            <w:r w:rsidR="0028665F">
              <w:rPr>
                <w:noProof/>
                <w:webHidden/>
              </w:rPr>
              <w:instrText xml:space="preserve"> PAGEREF _Toc3211312 \h </w:instrText>
            </w:r>
            <w:r w:rsidR="0028665F">
              <w:rPr>
                <w:noProof/>
                <w:webHidden/>
              </w:rPr>
            </w:r>
            <w:r w:rsidR="0028665F">
              <w:rPr>
                <w:noProof/>
                <w:webHidden/>
              </w:rPr>
              <w:fldChar w:fldCharType="separate"/>
            </w:r>
            <w:r w:rsidR="0028665F">
              <w:rPr>
                <w:noProof/>
                <w:webHidden/>
              </w:rPr>
              <w:t>8</w:t>
            </w:r>
            <w:r w:rsidR="0028665F">
              <w:rPr>
                <w:noProof/>
                <w:webHidden/>
              </w:rPr>
              <w:fldChar w:fldCharType="end"/>
            </w:r>
          </w:hyperlink>
        </w:p>
        <w:p w14:paraId="432EAA71" w14:textId="0BAAB94E" w:rsidR="0028665F" w:rsidRDefault="00C2072C">
          <w:pPr>
            <w:pStyle w:val="TOC4"/>
            <w:rPr>
              <w:rFonts w:asciiTheme="minorHAnsi" w:eastAsiaTheme="minorEastAsia" w:hAnsiTheme="minorHAnsi" w:cstheme="minorBidi"/>
              <w:noProof/>
              <w:sz w:val="24"/>
              <w:szCs w:val="24"/>
              <w:lang w:val="en-GB"/>
            </w:rPr>
          </w:pPr>
          <w:hyperlink w:anchor="_Toc3211313" w:history="1">
            <w:r w:rsidR="0028665F" w:rsidRPr="00770FE3">
              <w:rPr>
                <w:rStyle w:val="Hyperlink"/>
                <w:noProof/>
                <w:lang w:val="en-GB"/>
              </w:rPr>
              <w:t>1.4.2.3 Inconsistent Signals</w:t>
            </w:r>
            <w:r w:rsidR="0028665F">
              <w:rPr>
                <w:noProof/>
                <w:webHidden/>
              </w:rPr>
              <w:tab/>
            </w:r>
            <w:r w:rsidR="0028665F">
              <w:rPr>
                <w:noProof/>
                <w:webHidden/>
              </w:rPr>
              <w:fldChar w:fldCharType="begin"/>
            </w:r>
            <w:r w:rsidR="0028665F">
              <w:rPr>
                <w:noProof/>
                <w:webHidden/>
              </w:rPr>
              <w:instrText xml:space="preserve"> PAGEREF _Toc3211313 \h </w:instrText>
            </w:r>
            <w:r w:rsidR="0028665F">
              <w:rPr>
                <w:noProof/>
                <w:webHidden/>
              </w:rPr>
            </w:r>
            <w:r w:rsidR="0028665F">
              <w:rPr>
                <w:noProof/>
                <w:webHidden/>
              </w:rPr>
              <w:fldChar w:fldCharType="separate"/>
            </w:r>
            <w:r w:rsidR="0028665F">
              <w:rPr>
                <w:noProof/>
                <w:webHidden/>
              </w:rPr>
              <w:t>8</w:t>
            </w:r>
            <w:r w:rsidR="0028665F">
              <w:rPr>
                <w:noProof/>
                <w:webHidden/>
              </w:rPr>
              <w:fldChar w:fldCharType="end"/>
            </w:r>
          </w:hyperlink>
        </w:p>
        <w:p w14:paraId="704D8A96" w14:textId="2EA77EB6" w:rsidR="0028665F" w:rsidRDefault="00C2072C">
          <w:pPr>
            <w:pStyle w:val="TOC4"/>
            <w:rPr>
              <w:rFonts w:asciiTheme="minorHAnsi" w:eastAsiaTheme="minorEastAsia" w:hAnsiTheme="minorHAnsi" w:cstheme="minorBidi"/>
              <w:noProof/>
              <w:sz w:val="24"/>
              <w:szCs w:val="24"/>
              <w:lang w:val="en-GB"/>
            </w:rPr>
          </w:pPr>
          <w:hyperlink w:anchor="_Toc3211314" w:history="1">
            <w:r w:rsidR="0028665F" w:rsidRPr="00770FE3">
              <w:rPr>
                <w:rStyle w:val="Hyperlink"/>
                <w:noProof/>
                <w:lang w:val="en-GB"/>
              </w:rPr>
              <w:t>1.4.2.4 Lack of Validation</w:t>
            </w:r>
            <w:r w:rsidR="0028665F">
              <w:rPr>
                <w:noProof/>
                <w:webHidden/>
              </w:rPr>
              <w:tab/>
            </w:r>
            <w:r w:rsidR="0028665F">
              <w:rPr>
                <w:noProof/>
                <w:webHidden/>
              </w:rPr>
              <w:fldChar w:fldCharType="begin"/>
            </w:r>
            <w:r w:rsidR="0028665F">
              <w:rPr>
                <w:noProof/>
                <w:webHidden/>
              </w:rPr>
              <w:instrText xml:space="preserve"> PAGEREF _Toc3211314 \h </w:instrText>
            </w:r>
            <w:r w:rsidR="0028665F">
              <w:rPr>
                <w:noProof/>
                <w:webHidden/>
              </w:rPr>
            </w:r>
            <w:r w:rsidR="0028665F">
              <w:rPr>
                <w:noProof/>
                <w:webHidden/>
              </w:rPr>
              <w:fldChar w:fldCharType="separate"/>
            </w:r>
            <w:r w:rsidR="0028665F">
              <w:rPr>
                <w:noProof/>
                <w:webHidden/>
              </w:rPr>
              <w:t>9</w:t>
            </w:r>
            <w:r w:rsidR="0028665F">
              <w:rPr>
                <w:noProof/>
                <w:webHidden/>
              </w:rPr>
              <w:fldChar w:fldCharType="end"/>
            </w:r>
          </w:hyperlink>
        </w:p>
        <w:p w14:paraId="69CA9F04" w14:textId="0523B329" w:rsidR="0028665F" w:rsidRDefault="00C2072C">
          <w:pPr>
            <w:pStyle w:val="TOC2"/>
            <w:rPr>
              <w:rFonts w:asciiTheme="minorHAnsi" w:eastAsiaTheme="minorEastAsia" w:hAnsiTheme="minorHAnsi" w:cstheme="minorBidi"/>
              <w:bCs w:val="0"/>
              <w:noProof/>
              <w:sz w:val="24"/>
              <w:szCs w:val="24"/>
              <w:lang w:val="en-GB"/>
            </w:rPr>
          </w:pPr>
          <w:hyperlink w:anchor="_Toc3211315" w:history="1">
            <w:r w:rsidR="0028665F" w:rsidRPr="00770FE3">
              <w:rPr>
                <w:rStyle w:val="Hyperlink"/>
                <w:noProof/>
              </w:rPr>
              <w:t>1.5 Building a Multi-Omic Signature</w:t>
            </w:r>
            <w:r w:rsidR="0028665F">
              <w:rPr>
                <w:noProof/>
                <w:webHidden/>
              </w:rPr>
              <w:tab/>
            </w:r>
            <w:r w:rsidR="0028665F">
              <w:rPr>
                <w:noProof/>
                <w:webHidden/>
              </w:rPr>
              <w:fldChar w:fldCharType="begin"/>
            </w:r>
            <w:r w:rsidR="0028665F">
              <w:rPr>
                <w:noProof/>
                <w:webHidden/>
              </w:rPr>
              <w:instrText xml:space="preserve"> PAGEREF _Toc3211315 \h </w:instrText>
            </w:r>
            <w:r w:rsidR="0028665F">
              <w:rPr>
                <w:noProof/>
                <w:webHidden/>
              </w:rPr>
            </w:r>
            <w:r w:rsidR="0028665F">
              <w:rPr>
                <w:noProof/>
                <w:webHidden/>
              </w:rPr>
              <w:fldChar w:fldCharType="separate"/>
            </w:r>
            <w:r w:rsidR="0028665F">
              <w:rPr>
                <w:noProof/>
                <w:webHidden/>
              </w:rPr>
              <w:t>11</w:t>
            </w:r>
            <w:r w:rsidR="0028665F">
              <w:rPr>
                <w:noProof/>
                <w:webHidden/>
              </w:rPr>
              <w:fldChar w:fldCharType="end"/>
            </w:r>
          </w:hyperlink>
        </w:p>
        <w:p w14:paraId="1D43467B" w14:textId="6EE0D80A" w:rsidR="0028665F" w:rsidRDefault="00C2072C">
          <w:pPr>
            <w:pStyle w:val="TOC3"/>
            <w:rPr>
              <w:rFonts w:asciiTheme="minorHAnsi" w:eastAsiaTheme="minorEastAsia" w:hAnsiTheme="minorHAnsi" w:cstheme="minorBidi"/>
              <w:noProof/>
              <w:sz w:val="24"/>
              <w:szCs w:val="24"/>
              <w:lang w:val="en-GB"/>
            </w:rPr>
          </w:pPr>
          <w:hyperlink w:anchor="_Toc3211316" w:history="1">
            <w:r w:rsidR="0028665F" w:rsidRPr="00770FE3">
              <w:rPr>
                <w:rStyle w:val="Hyperlink"/>
                <w:noProof/>
              </w:rPr>
              <w:t>1.5.1 Gene-Level Analyses</w:t>
            </w:r>
            <w:r w:rsidR="0028665F">
              <w:rPr>
                <w:noProof/>
                <w:webHidden/>
              </w:rPr>
              <w:tab/>
            </w:r>
            <w:r w:rsidR="0028665F">
              <w:rPr>
                <w:noProof/>
                <w:webHidden/>
              </w:rPr>
              <w:fldChar w:fldCharType="begin"/>
            </w:r>
            <w:r w:rsidR="0028665F">
              <w:rPr>
                <w:noProof/>
                <w:webHidden/>
              </w:rPr>
              <w:instrText xml:space="preserve"> PAGEREF _Toc3211316 \h </w:instrText>
            </w:r>
            <w:r w:rsidR="0028665F">
              <w:rPr>
                <w:noProof/>
                <w:webHidden/>
              </w:rPr>
            </w:r>
            <w:r w:rsidR="0028665F">
              <w:rPr>
                <w:noProof/>
                <w:webHidden/>
              </w:rPr>
              <w:fldChar w:fldCharType="separate"/>
            </w:r>
            <w:r w:rsidR="0028665F">
              <w:rPr>
                <w:noProof/>
                <w:webHidden/>
              </w:rPr>
              <w:t>11</w:t>
            </w:r>
            <w:r w:rsidR="0028665F">
              <w:rPr>
                <w:noProof/>
                <w:webHidden/>
              </w:rPr>
              <w:fldChar w:fldCharType="end"/>
            </w:r>
          </w:hyperlink>
        </w:p>
        <w:p w14:paraId="38F390FC" w14:textId="40860336" w:rsidR="0028665F" w:rsidRDefault="00C2072C">
          <w:pPr>
            <w:pStyle w:val="TOC3"/>
            <w:rPr>
              <w:rFonts w:asciiTheme="minorHAnsi" w:eastAsiaTheme="minorEastAsia" w:hAnsiTheme="minorHAnsi" w:cstheme="minorBidi"/>
              <w:noProof/>
              <w:sz w:val="24"/>
              <w:szCs w:val="24"/>
              <w:lang w:val="en-GB"/>
            </w:rPr>
          </w:pPr>
          <w:hyperlink w:anchor="_Toc3211317" w:history="1">
            <w:r w:rsidR="0028665F" w:rsidRPr="00770FE3">
              <w:rPr>
                <w:rStyle w:val="Hyperlink"/>
                <w:noProof/>
              </w:rPr>
              <w:t>1.5.2 Pathway-Level Analyses</w:t>
            </w:r>
            <w:r w:rsidR="0028665F">
              <w:rPr>
                <w:noProof/>
                <w:webHidden/>
              </w:rPr>
              <w:tab/>
            </w:r>
            <w:r w:rsidR="0028665F">
              <w:rPr>
                <w:noProof/>
                <w:webHidden/>
              </w:rPr>
              <w:fldChar w:fldCharType="begin"/>
            </w:r>
            <w:r w:rsidR="0028665F">
              <w:rPr>
                <w:noProof/>
                <w:webHidden/>
              </w:rPr>
              <w:instrText xml:space="preserve"> PAGEREF _Toc3211317 \h </w:instrText>
            </w:r>
            <w:r w:rsidR="0028665F">
              <w:rPr>
                <w:noProof/>
                <w:webHidden/>
              </w:rPr>
            </w:r>
            <w:r w:rsidR="0028665F">
              <w:rPr>
                <w:noProof/>
                <w:webHidden/>
              </w:rPr>
              <w:fldChar w:fldCharType="separate"/>
            </w:r>
            <w:r w:rsidR="0028665F">
              <w:rPr>
                <w:noProof/>
                <w:webHidden/>
              </w:rPr>
              <w:t>12</w:t>
            </w:r>
            <w:r w:rsidR="0028665F">
              <w:rPr>
                <w:noProof/>
                <w:webHidden/>
              </w:rPr>
              <w:fldChar w:fldCharType="end"/>
            </w:r>
          </w:hyperlink>
        </w:p>
        <w:p w14:paraId="730DE524" w14:textId="16A38659" w:rsidR="0028665F" w:rsidRDefault="00C2072C">
          <w:pPr>
            <w:pStyle w:val="TOC3"/>
            <w:rPr>
              <w:rFonts w:asciiTheme="minorHAnsi" w:eastAsiaTheme="minorEastAsia" w:hAnsiTheme="minorHAnsi" w:cstheme="minorBidi"/>
              <w:noProof/>
              <w:sz w:val="24"/>
              <w:szCs w:val="24"/>
              <w:lang w:val="en-GB"/>
            </w:rPr>
          </w:pPr>
          <w:hyperlink w:anchor="_Toc3211318" w:history="1">
            <w:r w:rsidR="0028665F" w:rsidRPr="00770FE3">
              <w:rPr>
                <w:rStyle w:val="Hyperlink"/>
                <w:noProof/>
              </w:rPr>
              <w:t>1.5.3 Mapping Interactions across Networks</w:t>
            </w:r>
            <w:r w:rsidR="0028665F">
              <w:rPr>
                <w:noProof/>
                <w:webHidden/>
              </w:rPr>
              <w:tab/>
            </w:r>
            <w:r w:rsidR="0028665F">
              <w:rPr>
                <w:noProof/>
                <w:webHidden/>
              </w:rPr>
              <w:fldChar w:fldCharType="begin"/>
            </w:r>
            <w:r w:rsidR="0028665F">
              <w:rPr>
                <w:noProof/>
                <w:webHidden/>
              </w:rPr>
              <w:instrText xml:space="preserve"> PAGEREF _Toc3211318 \h </w:instrText>
            </w:r>
            <w:r w:rsidR="0028665F">
              <w:rPr>
                <w:noProof/>
                <w:webHidden/>
              </w:rPr>
            </w:r>
            <w:r w:rsidR="0028665F">
              <w:rPr>
                <w:noProof/>
                <w:webHidden/>
              </w:rPr>
              <w:fldChar w:fldCharType="separate"/>
            </w:r>
            <w:r w:rsidR="0028665F">
              <w:rPr>
                <w:noProof/>
                <w:webHidden/>
              </w:rPr>
              <w:t>14</w:t>
            </w:r>
            <w:r w:rsidR="0028665F">
              <w:rPr>
                <w:noProof/>
                <w:webHidden/>
              </w:rPr>
              <w:fldChar w:fldCharType="end"/>
            </w:r>
          </w:hyperlink>
        </w:p>
        <w:p w14:paraId="771C8EDC" w14:textId="36A02651" w:rsidR="0028665F" w:rsidRDefault="00C2072C">
          <w:pPr>
            <w:pStyle w:val="TOC3"/>
            <w:rPr>
              <w:rFonts w:asciiTheme="minorHAnsi" w:eastAsiaTheme="minorEastAsia" w:hAnsiTheme="minorHAnsi" w:cstheme="minorBidi"/>
              <w:noProof/>
              <w:sz w:val="24"/>
              <w:szCs w:val="24"/>
              <w:lang w:val="en-GB"/>
            </w:rPr>
          </w:pPr>
          <w:hyperlink w:anchor="_Toc3211319" w:history="1">
            <w:r w:rsidR="0028665F" w:rsidRPr="00770FE3">
              <w:rPr>
                <w:rStyle w:val="Hyperlink"/>
                <w:noProof/>
              </w:rPr>
              <w:t>1.5.4 Target Prioritisation</w:t>
            </w:r>
            <w:r w:rsidR="0028665F">
              <w:rPr>
                <w:noProof/>
                <w:webHidden/>
              </w:rPr>
              <w:tab/>
            </w:r>
            <w:r w:rsidR="0028665F">
              <w:rPr>
                <w:noProof/>
                <w:webHidden/>
              </w:rPr>
              <w:fldChar w:fldCharType="begin"/>
            </w:r>
            <w:r w:rsidR="0028665F">
              <w:rPr>
                <w:noProof/>
                <w:webHidden/>
              </w:rPr>
              <w:instrText xml:space="preserve"> PAGEREF _Toc3211319 \h </w:instrText>
            </w:r>
            <w:r w:rsidR="0028665F">
              <w:rPr>
                <w:noProof/>
                <w:webHidden/>
              </w:rPr>
            </w:r>
            <w:r w:rsidR="0028665F">
              <w:rPr>
                <w:noProof/>
                <w:webHidden/>
              </w:rPr>
              <w:fldChar w:fldCharType="separate"/>
            </w:r>
            <w:r w:rsidR="0028665F">
              <w:rPr>
                <w:noProof/>
                <w:webHidden/>
              </w:rPr>
              <w:t>16</w:t>
            </w:r>
            <w:r w:rsidR="0028665F">
              <w:rPr>
                <w:noProof/>
                <w:webHidden/>
              </w:rPr>
              <w:fldChar w:fldCharType="end"/>
            </w:r>
          </w:hyperlink>
        </w:p>
        <w:p w14:paraId="1DA186A2" w14:textId="3373604B" w:rsidR="0028665F" w:rsidRDefault="00C2072C">
          <w:pPr>
            <w:pStyle w:val="TOC3"/>
            <w:rPr>
              <w:rFonts w:asciiTheme="minorHAnsi" w:eastAsiaTheme="minorEastAsia" w:hAnsiTheme="minorHAnsi" w:cstheme="minorBidi"/>
              <w:noProof/>
              <w:sz w:val="24"/>
              <w:szCs w:val="24"/>
              <w:lang w:val="en-GB"/>
            </w:rPr>
          </w:pPr>
          <w:hyperlink w:anchor="_Toc3211320" w:history="1">
            <w:r w:rsidR="0028665F" w:rsidRPr="00770FE3">
              <w:rPr>
                <w:rStyle w:val="Hyperlink"/>
                <w:noProof/>
              </w:rPr>
              <w:t>1.5.5 Summary</w:t>
            </w:r>
            <w:r w:rsidR="0028665F">
              <w:rPr>
                <w:noProof/>
                <w:webHidden/>
              </w:rPr>
              <w:tab/>
            </w:r>
            <w:r w:rsidR="0028665F">
              <w:rPr>
                <w:noProof/>
                <w:webHidden/>
              </w:rPr>
              <w:fldChar w:fldCharType="begin"/>
            </w:r>
            <w:r w:rsidR="0028665F">
              <w:rPr>
                <w:noProof/>
                <w:webHidden/>
              </w:rPr>
              <w:instrText xml:space="preserve"> PAGEREF _Toc3211320 \h </w:instrText>
            </w:r>
            <w:r w:rsidR="0028665F">
              <w:rPr>
                <w:noProof/>
                <w:webHidden/>
              </w:rPr>
            </w:r>
            <w:r w:rsidR="0028665F">
              <w:rPr>
                <w:noProof/>
                <w:webHidden/>
              </w:rPr>
              <w:fldChar w:fldCharType="separate"/>
            </w:r>
            <w:r w:rsidR="0028665F">
              <w:rPr>
                <w:noProof/>
                <w:webHidden/>
              </w:rPr>
              <w:t>17</w:t>
            </w:r>
            <w:r w:rsidR="0028665F">
              <w:rPr>
                <w:noProof/>
                <w:webHidden/>
              </w:rPr>
              <w:fldChar w:fldCharType="end"/>
            </w:r>
          </w:hyperlink>
        </w:p>
        <w:p w14:paraId="58B6C04E" w14:textId="7FB0EE51" w:rsidR="0028665F" w:rsidRDefault="00C2072C">
          <w:pPr>
            <w:pStyle w:val="TOC2"/>
            <w:rPr>
              <w:rFonts w:asciiTheme="minorHAnsi" w:eastAsiaTheme="minorEastAsia" w:hAnsiTheme="minorHAnsi" w:cstheme="minorBidi"/>
              <w:bCs w:val="0"/>
              <w:noProof/>
              <w:sz w:val="24"/>
              <w:szCs w:val="24"/>
              <w:lang w:val="en-GB"/>
            </w:rPr>
          </w:pPr>
          <w:hyperlink w:anchor="_Toc3211321" w:history="1">
            <w:r w:rsidR="0028665F" w:rsidRPr="00770FE3">
              <w:rPr>
                <w:rStyle w:val="Hyperlink"/>
                <w:noProof/>
              </w:rPr>
              <w:t>1.6 Current Common Signature Methods</w:t>
            </w:r>
            <w:r w:rsidR="0028665F">
              <w:rPr>
                <w:noProof/>
                <w:webHidden/>
              </w:rPr>
              <w:tab/>
            </w:r>
            <w:r w:rsidR="0028665F">
              <w:rPr>
                <w:noProof/>
                <w:webHidden/>
              </w:rPr>
              <w:fldChar w:fldCharType="begin"/>
            </w:r>
            <w:r w:rsidR="0028665F">
              <w:rPr>
                <w:noProof/>
                <w:webHidden/>
              </w:rPr>
              <w:instrText xml:space="preserve"> PAGEREF _Toc3211321 \h </w:instrText>
            </w:r>
            <w:r w:rsidR="0028665F">
              <w:rPr>
                <w:noProof/>
                <w:webHidden/>
              </w:rPr>
            </w:r>
            <w:r w:rsidR="0028665F">
              <w:rPr>
                <w:noProof/>
                <w:webHidden/>
              </w:rPr>
              <w:fldChar w:fldCharType="separate"/>
            </w:r>
            <w:r w:rsidR="0028665F">
              <w:rPr>
                <w:noProof/>
                <w:webHidden/>
              </w:rPr>
              <w:t>17</w:t>
            </w:r>
            <w:r w:rsidR="0028665F">
              <w:rPr>
                <w:noProof/>
                <w:webHidden/>
              </w:rPr>
              <w:fldChar w:fldCharType="end"/>
            </w:r>
          </w:hyperlink>
        </w:p>
        <w:p w14:paraId="75FC46CD" w14:textId="221FFEF7" w:rsidR="0028665F" w:rsidRDefault="00C2072C">
          <w:pPr>
            <w:pStyle w:val="TOC2"/>
            <w:rPr>
              <w:rFonts w:asciiTheme="minorHAnsi" w:eastAsiaTheme="minorEastAsia" w:hAnsiTheme="minorHAnsi" w:cstheme="minorBidi"/>
              <w:bCs w:val="0"/>
              <w:noProof/>
              <w:sz w:val="24"/>
              <w:szCs w:val="24"/>
              <w:lang w:val="en-GB"/>
            </w:rPr>
          </w:pPr>
          <w:hyperlink w:anchor="_Toc3211322" w:history="1">
            <w:r w:rsidR="0028665F" w:rsidRPr="00770FE3">
              <w:rPr>
                <w:rStyle w:val="Hyperlink"/>
                <w:noProof/>
              </w:rPr>
              <w:t>1.7 Aims and Objectives</w:t>
            </w:r>
            <w:r w:rsidR="0028665F">
              <w:rPr>
                <w:noProof/>
                <w:webHidden/>
              </w:rPr>
              <w:tab/>
            </w:r>
            <w:r w:rsidR="0028665F">
              <w:rPr>
                <w:noProof/>
                <w:webHidden/>
              </w:rPr>
              <w:fldChar w:fldCharType="begin"/>
            </w:r>
            <w:r w:rsidR="0028665F">
              <w:rPr>
                <w:noProof/>
                <w:webHidden/>
              </w:rPr>
              <w:instrText xml:space="preserve"> PAGEREF _Toc3211322 \h </w:instrText>
            </w:r>
            <w:r w:rsidR="0028665F">
              <w:rPr>
                <w:noProof/>
                <w:webHidden/>
              </w:rPr>
            </w:r>
            <w:r w:rsidR="0028665F">
              <w:rPr>
                <w:noProof/>
                <w:webHidden/>
              </w:rPr>
              <w:fldChar w:fldCharType="separate"/>
            </w:r>
            <w:r w:rsidR="0028665F">
              <w:rPr>
                <w:noProof/>
                <w:webHidden/>
              </w:rPr>
              <w:t>21</w:t>
            </w:r>
            <w:r w:rsidR="0028665F">
              <w:rPr>
                <w:noProof/>
                <w:webHidden/>
              </w:rPr>
              <w:fldChar w:fldCharType="end"/>
            </w:r>
          </w:hyperlink>
        </w:p>
        <w:p w14:paraId="6A3517D6" w14:textId="2D49EE26" w:rsidR="0028665F" w:rsidRDefault="00C2072C">
          <w:pPr>
            <w:pStyle w:val="TOC1"/>
            <w:rPr>
              <w:rFonts w:asciiTheme="minorHAnsi" w:eastAsiaTheme="minorEastAsia" w:hAnsiTheme="minorHAnsi" w:cstheme="minorBidi"/>
              <w:b w:val="0"/>
              <w:bCs w:val="0"/>
              <w:iCs w:val="0"/>
              <w:noProof/>
              <w:lang w:val="en-GB"/>
            </w:rPr>
          </w:pPr>
          <w:hyperlink w:anchor="_Toc3211323" w:history="1">
            <w:r w:rsidR="0028665F" w:rsidRPr="00770FE3">
              <w:rPr>
                <w:rStyle w:val="Hyperlink"/>
                <w:noProof/>
              </w:rPr>
              <w:t>Chapter</w:t>
            </w:r>
            <w:r w:rsidR="0028665F" w:rsidRPr="00770FE3">
              <w:rPr>
                <w:rStyle w:val="Hyperlink"/>
                <w:noProof/>
                <w:lang w:val="en-GB"/>
              </w:rPr>
              <w:t xml:space="preserve"> 2: Pipeline Development: An Application to TDP-43 Dysfunction</w:t>
            </w:r>
            <w:r w:rsidR="0028665F">
              <w:rPr>
                <w:noProof/>
                <w:webHidden/>
              </w:rPr>
              <w:tab/>
            </w:r>
            <w:r w:rsidR="0028665F">
              <w:rPr>
                <w:noProof/>
                <w:webHidden/>
              </w:rPr>
              <w:fldChar w:fldCharType="begin"/>
            </w:r>
            <w:r w:rsidR="0028665F">
              <w:rPr>
                <w:noProof/>
                <w:webHidden/>
              </w:rPr>
              <w:instrText xml:space="preserve"> PAGEREF _Toc3211323 \h </w:instrText>
            </w:r>
            <w:r w:rsidR="0028665F">
              <w:rPr>
                <w:noProof/>
                <w:webHidden/>
              </w:rPr>
            </w:r>
            <w:r w:rsidR="0028665F">
              <w:rPr>
                <w:noProof/>
                <w:webHidden/>
              </w:rPr>
              <w:fldChar w:fldCharType="separate"/>
            </w:r>
            <w:r w:rsidR="0028665F">
              <w:rPr>
                <w:noProof/>
                <w:webHidden/>
              </w:rPr>
              <w:t>23</w:t>
            </w:r>
            <w:r w:rsidR="0028665F">
              <w:rPr>
                <w:noProof/>
                <w:webHidden/>
              </w:rPr>
              <w:fldChar w:fldCharType="end"/>
            </w:r>
          </w:hyperlink>
        </w:p>
        <w:p w14:paraId="11E06634" w14:textId="767EA5EA" w:rsidR="0028665F" w:rsidRDefault="00C2072C">
          <w:pPr>
            <w:pStyle w:val="TOC2"/>
            <w:rPr>
              <w:rFonts w:asciiTheme="minorHAnsi" w:eastAsiaTheme="minorEastAsia" w:hAnsiTheme="minorHAnsi" w:cstheme="minorBidi"/>
              <w:bCs w:val="0"/>
              <w:noProof/>
              <w:sz w:val="24"/>
              <w:szCs w:val="24"/>
              <w:lang w:val="en-GB"/>
            </w:rPr>
          </w:pPr>
          <w:hyperlink w:anchor="_Toc3211324" w:history="1">
            <w:r w:rsidR="0028665F" w:rsidRPr="00770FE3">
              <w:rPr>
                <w:rStyle w:val="Hyperlink"/>
                <w:noProof/>
              </w:rPr>
              <w:t>2.1 Introduction</w:t>
            </w:r>
            <w:r w:rsidR="0028665F">
              <w:rPr>
                <w:noProof/>
                <w:webHidden/>
              </w:rPr>
              <w:tab/>
            </w:r>
            <w:r w:rsidR="0028665F">
              <w:rPr>
                <w:noProof/>
                <w:webHidden/>
              </w:rPr>
              <w:fldChar w:fldCharType="begin"/>
            </w:r>
            <w:r w:rsidR="0028665F">
              <w:rPr>
                <w:noProof/>
                <w:webHidden/>
              </w:rPr>
              <w:instrText xml:space="preserve"> PAGEREF _Toc3211324 \h </w:instrText>
            </w:r>
            <w:r w:rsidR="0028665F">
              <w:rPr>
                <w:noProof/>
                <w:webHidden/>
              </w:rPr>
            </w:r>
            <w:r w:rsidR="0028665F">
              <w:rPr>
                <w:noProof/>
                <w:webHidden/>
              </w:rPr>
              <w:fldChar w:fldCharType="separate"/>
            </w:r>
            <w:r w:rsidR="0028665F">
              <w:rPr>
                <w:noProof/>
                <w:webHidden/>
              </w:rPr>
              <w:t>23</w:t>
            </w:r>
            <w:r w:rsidR="0028665F">
              <w:rPr>
                <w:noProof/>
                <w:webHidden/>
              </w:rPr>
              <w:fldChar w:fldCharType="end"/>
            </w:r>
          </w:hyperlink>
        </w:p>
        <w:p w14:paraId="68BD9D39" w14:textId="3BE6F11C" w:rsidR="0028665F" w:rsidRDefault="00C2072C">
          <w:pPr>
            <w:pStyle w:val="TOC3"/>
            <w:rPr>
              <w:rFonts w:asciiTheme="minorHAnsi" w:eastAsiaTheme="minorEastAsia" w:hAnsiTheme="minorHAnsi" w:cstheme="minorBidi"/>
              <w:noProof/>
              <w:sz w:val="24"/>
              <w:szCs w:val="24"/>
              <w:lang w:val="en-GB"/>
            </w:rPr>
          </w:pPr>
          <w:hyperlink w:anchor="_Toc3211325" w:history="1">
            <w:r w:rsidR="0028665F" w:rsidRPr="00770FE3">
              <w:rPr>
                <w:rStyle w:val="Hyperlink"/>
                <w:noProof/>
              </w:rPr>
              <w:t>2.1.1 Overview</w:t>
            </w:r>
            <w:r w:rsidR="0028665F">
              <w:rPr>
                <w:noProof/>
                <w:webHidden/>
              </w:rPr>
              <w:tab/>
            </w:r>
            <w:r w:rsidR="0028665F">
              <w:rPr>
                <w:noProof/>
                <w:webHidden/>
              </w:rPr>
              <w:fldChar w:fldCharType="begin"/>
            </w:r>
            <w:r w:rsidR="0028665F">
              <w:rPr>
                <w:noProof/>
                <w:webHidden/>
              </w:rPr>
              <w:instrText xml:space="preserve"> PAGEREF _Toc3211325 \h </w:instrText>
            </w:r>
            <w:r w:rsidR="0028665F">
              <w:rPr>
                <w:noProof/>
                <w:webHidden/>
              </w:rPr>
            </w:r>
            <w:r w:rsidR="0028665F">
              <w:rPr>
                <w:noProof/>
                <w:webHidden/>
              </w:rPr>
              <w:fldChar w:fldCharType="separate"/>
            </w:r>
            <w:r w:rsidR="0028665F">
              <w:rPr>
                <w:noProof/>
                <w:webHidden/>
              </w:rPr>
              <w:t>23</w:t>
            </w:r>
            <w:r w:rsidR="0028665F">
              <w:rPr>
                <w:noProof/>
                <w:webHidden/>
              </w:rPr>
              <w:fldChar w:fldCharType="end"/>
            </w:r>
          </w:hyperlink>
        </w:p>
        <w:p w14:paraId="4D4586B9" w14:textId="1D4876E2" w:rsidR="0028665F" w:rsidRDefault="00C2072C">
          <w:pPr>
            <w:pStyle w:val="TOC3"/>
            <w:rPr>
              <w:rFonts w:asciiTheme="minorHAnsi" w:eastAsiaTheme="minorEastAsia" w:hAnsiTheme="minorHAnsi" w:cstheme="minorBidi"/>
              <w:noProof/>
              <w:sz w:val="24"/>
              <w:szCs w:val="24"/>
              <w:lang w:val="en-GB"/>
            </w:rPr>
          </w:pPr>
          <w:hyperlink w:anchor="_Toc3211326" w:history="1">
            <w:r w:rsidR="0028665F" w:rsidRPr="00770FE3">
              <w:rPr>
                <w:rStyle w:val="Hyperlink"/>
                <w:noProof/>
              </w:rPr>
              <w:t>2.1.2 Case Study: TDP-43 Dysfunction</w:t>
            </w:r>
            <w:r w:rsidR="0028665F">
              <w:rPr>
                <w:noProof/>
                <w:webHidden/>
              </w:rPr>
              <w:tab/>
            </w:r>
            <w:r w:rsidR="0028665F">
              <w:rPr>
                <w:noProof/>
                <w:webHidden/>
              </w:rPr>
              <w:fldChar w:fldCharType="begin"/>
            </w:r>
            <w:r w:rsidR="0028665F">
              <w:rPr>
                <w:noProof/>
                <w:webHidden/>
              </w:rPr>
              <w:instrText xml:space="preserve"> PAGEREF _Toc3211326 \h </w:instrText>
            </w:r>
            <w:r w:rsidR="0028665F">
              <w:rPr>
                <w:noProof/>
                <w:webHidden/>
              </w:rPr>
            </w:r>
            <w:r w:rsidR="0028665F">
              <w:rPr>
                <w:noProof/>
                <w:webHidden/>
              </w:rPr>
              <w:fldChar w:fldCharType="separate"/>
            </w:r>
            <w:r w:rsidR="0028665F">
              <w:rPr>
                <w:noProof/>
                <w:webHidden/>
              </w:rPr>
              <w:t>23</w:t>
            </w:r>
            <w:r w:rsidR="0028665F">
              <w:rPr>
                <w:noProof/>
                <w:webHidden/>
              </w:rPr>
              <w:fldChar w:fldCharType="end"/>
            </w:r>
          </w:hyperlink>
        </w:p>
        <w:p w14:paraId="7F4E3A13" w14:textId="72CBEF32" w:rsidR="0028665F" w:rsidRDefault="00C2072C">
          <w:pPr>
            <w:pStyle w:val="TOC4"/>
            <w:rPr>
              <w:rFonts w:asciiTheme="minorHAnsi" w:eastAsiaTheme="minorEastAsia" w:hAnsiTheme="minorHAnsi" w:cstheme="minorBidi"/>
              <w:noProof/>
              <w:sz w:val="24"/>
              <w:szCs w:val="24"/>
              <w:lang w:val="en-GB"/>
            </w:rPr>
          </w:pPr>
          <w:hyperlink w:anchor="_Toc3211327" w:history="1">
            <w:r w:rsidR="0028665F" w:rsidRPr="00770FE3">
              <w:rPr>
                <w:rStyle w:val="Hyperlink"/>
                <w:noProof/>
                <w:lang w:val="en-GB"/>
              </w:rPr>
              <w:t>2.1.2.1 TDP-43 Structure and Function</w:t>
            </w:r>
            <w:r w:rsidR="0028665F">
              <w:rPr>
                <w:noProof/>
                <w:webHidden/>
              </w:rPr>
              <w:tab/>
            </w:r>
            <w:r w:rsidR="0028665F">
              <w:rPr>
                <w:noProof/>
                <w:webHidden/>
              </w:rPr>
              <w:fldChar w:fldCharType="begin"/>
            </w:r>
            <w:r w:rsidR="0028665F">
              <w:rPr>
                <w:noProof/>
                <w:webHidden/>
              </w:rPr>
              <w:instrText xml:space="preserve"> PAGEREF _Toc3211327 \h </w:instrText>
            </w:r>
            <w:r w:rsidR="0028665F">
              <w:rPr>
                <w:noProof/>
                <w:webHidden/>
              </w:rPr>
            </w:r>
            <w:r w:rsidR="0028665F">
              <w:rPr>
                <w:noProof/>
                <w:webHidden/>
              </w:rPr>
              <w:fldChar w:fldCharType="separate"/>
            </w:r>
            <w:r w:rsidR="0028665F">
              <w:rPr>
                <w:noProof/>
                <w:webHidden/>
              </w:rPr>
              <w:t>23</w:t>
            </w:r>
            <w:r w:rsidR="0028665F">
              <w:rPr>
                <w:noProof/>
                <w:webHidden/>
              </w:rPr>
              <w:fldChar w:fldCharType="end"/>
            </w:r>
          </w:hyperlink>
        </w:p>
        <w:p w14:paraId="7716E70E" w14:textId="2EE08925" w:rsidR="0028665F" w:rsidRDefault="00C2072C">
          <w:pPr>
            <w:pStyle w:val="TOC3"/>
            <w:rPr>
              <w:rFonts w:asciiTheme="minorHAnsi" w:eastAsiaTheme="minorEastAsia" w:hAnsiTheme="minorHAnsi" w:cstheme="minorBidi"/>
              <w:noProof/>
              <w:sz w:val="24"/>
              <w:szCs w:val="24"/>
              <w:lang w:val="en-GB"/>
            </w:rPr>
          </w:pPr>
          <w:hyperlink w:anchor="_Toc3211328" w:history="1">
            <w:r w:rsidR="0028665F" w:rsidRPr="00770FE3">
              <w:rPr>
                <w:rStyle w:val="Hyperlink"/>
                <w:noProof/>
              </w:rPr>
              <w:t>2.1.3 TDP-43 and Neurodegeneration</w:t>
            </w:r>
            <w:r w:rsidR="0028665F">
              <w:rPr>
                <w:noProof/>
                <w:webHidden/>
              </w:rPr>
              <w:tab/>
            </w:r>
            <w:r w:rsidR="0028665F">
              <w:rPr>
                <w:noProof/>
                <w:webHidden/>
              </w:rPr>
              <w:fldChar w:fldCharType="begin"/>
            </w:r>
            <w:r w:rsidR="0028665F">
              <w:rPr>
                <w:noProof/>
                <w:webHidden/>
              </w:rPr>
              <w:instrText xml:space="preserve"> PAGEREF _Toc3211328 \h </w:instrText>
            </w:r>
            <w:r w:rsidR="0028665F">
              <w:rPr>
                <w:noProof/>
                <w:webHidden/>
              </w:rPr>
            </w:r>
            <w:r w:rsidR="0028665F">
              <w:rPr>
                <w:noProof/>
                <w:webHidden/>
              </w:rPr>
              <w:fldChar w:fldCharType="separate"/>
            </w:r>
            <w:r w:rsidR="0028665F">
              <w:rPr>
                <w:noProof/>
                <w:webHidden/>
              </w:rPr>
              <w:t>25</w:t>
            </w:r>
            <w:r w:rsidR="0028665F">
              <w:rPr>
                <w:noProof/>
                <w:webHidden/>
              </w:rPr>
              <w:fldChar w:fldCharType="end"/>
            </w:r>
          </w:hyperlink>
        </w:p>
        <w:p w14:paraId="44AB038A" w14:textId="66529BCB" w:rsidR="0028665F" w:rsidRDefault="00C2072C">
          <w:pPr>
            <w:pStyle w:val="TOC4"/>
            <w:rPr>
              <w:rFonts w:asciiTheme="minorHAnsi" w:eastAsiaTheme="minorEastAsia" w:hAnsiTheme="minorHAnsi" w:cstheme="minorBidi"/>
              <w:noProof/>
              <w:sz w:val="24"/>
              <w:szCs w:val="24"/>
              <w:lang w:val="en-GB"/>
            </w:rPr>
          </w:pPr>
          <w:hyperlink w:anchor="_Toc3211329" w:history="1">
            <w:r w:rsidR="0028665F" w:rsidRPr="00770FE3">
              <w:rPr>
                <w:rStyle w:val="Hyperlink"/>
                <w:noProof/>
                <w:lang w:val="en-GB"/>
              </w:rPr>
              <w:t>2.1.3.1</w:t>
            </w:r>
            <w:r w:rsidR="0028665F" w:rsidRPr="00770FE3">
              <w:rPr>
                <w:rStyle w:val="Hyperlink"/>
                <w:noProof/>
              </w:rPr>
              <w:t xml:space="preserve"> Amyotrophic</w:t>
            </w:r>
            <w:r w:rsidR="0028665F" w:rsidRPr="00770FE3">
              <w:rPr>
                <w:rStyle w:val="Hyperlink"/>
                <w:noProof/>
                <w:lang w:val="en-GB"/>
              </w:rPr>
              <w:t xml:space="preserve"> Lateral Sclerosis</w:t>
            </w:r>
            <w:r w:rsidR="0028665F">
              <w:rPr>
                <w:noProof/>
                <w:webHidden/>
              </w:rPr>
              <w:tab/>
            </w:r>
            <w:r w:rsidR="0028665F">
              <w:rPr>
                <w:noProof/>
                <w:webHidden/>
              </w:rPr>
              <w:fldChar w:fldCharType="begin"/>
            </w:r>
            <w:r w:rsidR="0028665F">
              <w:rPr>
                <w:noProof/>
                <w:webHidden/>
              </w:rPr>
              <w:instrText xml:space="preserve"> PAGEREF _Toc3211329 \h </w:instrText>
            </w:r>
            <w:r w:rsidR="0028665F">
              <w:rPr>
                <w:noProof/>
                <w:webHidden/>
              </w:rPr>
            </w:r>
            <w:r w:rsidR="0028665F">
              <w:rPr>
                <w:noProof/>
                <w:webHidden/>
              </w:rPr>
              <w:fldChar w:fldCharType="separate"/>
            </w:r>
            <w:r w:rsidR="0028665F">
              <w:rPr>
                <w:noProof/>
                <w:webHidden/>
              </w:rPr>
              <w:t>26</w:t>
            </w:r>
            <w:r w:rsidR="0028665F">
              <w:rPr>
                <w:noProof/>
                <w:webHidden/>
              </w:rPr>
              <w:fldChar w:fldCharType="end"/>
            </w:r>
          </w:hyperlink>
        </w:p>
        <w:p w14:paraId="6FB39DEC" w14:textId="47C08E9B" w:rsidR="0028665F" w:rsidRDefault="00C2072C">
          <w:pPr>
            <w:pStyle w:val="TOC4"/>
            <w:rPr>
              <w:rFonts w:asciiTheme="minorHAnsi" w:eastAsiaTheme="minorEastAsia" w:hAnsiTheme="minorHAnsi" w:cstheme="minorBidi"/>
              <w:noProof/>
              <w:sz w:val="24"/>
              <w:szCs w:val="24"/>
              <w:lang w:val="en-GB"/>
            </w:rPr>
          </w:pPr>
          <w:hyperlink w:anchor="_Toc3211330" w:history="1">
            <w:r w:rsidR="0028665F" w:rsidRPr="00770FE3">
              <w:rPr>
                <w:rStyle w:val="Hyperlink"/>
                <w:noProof/>
                <w:lang w:val="en-GB"/>
              </w:rPr>
              <w:t>2.1.3.2 Frontotemporal Dementia</w:t>
            </w:r>
            <w:r w:rsidR="0028665F">
              <w:rPr>
                <w:noProof/>
                <w:webHidden/>
              </w:rPr>
              <w:tab/>
            </w:r>
            <w:r w:rsidR="0028665F">
              <w:rPr>
                <w:noProof/>
                <w:webHidden/>
              </w:rPr>
              <w:fldChar w:fldCharType="begin"/>
            </w:r>
            <w:r w:rsidR="0028665F">
              <w:rPr>
                <w:noProof/>
                <w:webHidden/>
              </w:rPr>
              <w:instrText xml:space="preserve"> PAGEREF _Toc3211330 \h </w:instrText>
            </w:r>
            <w:r w:rsidR="0028665F">
              <w:rPr>
                <w:noProof/>
                <w:webHidden/>
              </w:rPr>
            </w:r>
            <w:r w:rsidR="0028665F">
              <w:rPr>
                <w:noProof/>
                <w:webHidden/>
              </w:rPr>
              <w:fldChar w:fldCharType="separate"/>
            </w:r>
            <w:r w:rsidR="0028665F">
              <w:rPr>
                <w:noProof/>
                <w:webHidden/>
              </w:rPr>
              <w:t>26</w:t>
            </w:r>
            <w:r w:rsidR="0028665F">
              <w:rPr>
                <w:noProof/>
                <w:webHidden/>
              </w:rPr>
              <w:fldChar w:fldCharType="end"/>
            </w:r>
          </w:hyperlink>
        </w:p>
        <w:p w14:paraId="58BE49F0" w14:textId="1718C2C8" w:rsidR="0028665F" w:rsidRDefault="00C2072C">
          <w:pPr>
            <w:pStyle w:val="TOC4"/>
            <w:rPr>
              <w:rFonts w:asciiTheme="minorHAnsi" w:eastAsiaTheme="minorEastAsia" w:hAnsiTheme="minorHAnsi" w:cstheme="minorBidi"/>
              <w:noProof/>
              <w:sz w:val="24"/>
              <w:szCs w:val="24"/>
              <w:lang w:val="en-GB"/>
            </w:rPr>
          </w:pPr>
          <w:hyperlink w:anchor="_Toc3211331" w:history="1">
            <w:r w:rsidR="0028665F" w:rsidRPr="00770FE3">
              <w:rPr>
                <w:rStyle w:val="Hyperlink"/>
                <w:noProof/>
                <w:lang w:val="en-GB"/>
              </w:rPr>
              <w:t>2.1.3.3 Multisystem Proteinopathy</w:t>
            </w:r>
            <w:r w:rsidR="0028665F">
              <w:rPr>
                <w:noProof/>
                <w:webHidden/>
              </w:rPr>
              <w:tab/>
            </w:r>
            <w:r w:rsidR="0028665F">
              <w:rPr>
                <w:noProof/>
                <w:webHidden/>
              </w:rPr>
              <w:fldChar w:fldCharType="begin"/>
            </w:r>
            <w:r w:rsidR="0028665F">
              <w:rPr>
                <w:noProof/>
                <w:webHidden/>
              </w:rPr>
              <w:instrText xml:space="preserve"> PAGEREF _Toc3211331 \h </w:instrText>
            </w:r>
            <w:r w:rsidR="0028665F">
              <w:rPr>
                <w:noProof/>
                <w:webHidden/>
              </w:rPr>
            </w:r>
            <w:r w:rsidR="0028665F">
              <w:rPr>
                <w:noProof/>
                <w:webHidden/>
              </w:rPr>
              <w:fldChar w:fldCharType="separate"/>
            </w:r>
            <w:r w:rsidR="0028665F">
              <w:rPr>
                <w:noProof/>
                <w:webHidden/>
              </w:rPr>
              <w:t>26</w:t>
            </w:r>
            <w:r w:rsidR="0028665F">
              <w:rPr>
                <w:noProof/>
                <w:webHidden/>
              </w:rPr>
              <w:fldChar w:fldCharType="end"/>
            </w:r>
          </w:hyperlink>
        </w:p>
        <w:p w14:paraId="172768E9" w14:textId="5A0DA254" w:rsidR="0028665F" w:rsidRDefault="00C2072C">
          <w:pPr>
            <w:pStyle w:val="TOC4"/>
            <w:rPr>
              <w:rFonts w:asciiTheme="minorHAnsi" w:eastAsiaTheme="minorEastAsia" w:hAnsiTheme="minorHAnsi" w:cstheme="minorBidi"/>
              <w:noProof/>
              <w:sz w:val="24"/>
              <w:szCs w:val="24"/>
              <w:lang w:val="en-GB"/>
            </w:rPr>
          </w:pPr>
          <w:hyperlink w:anchor="_Toc3211332" w:history="1">
            <w:r w:rsidR="0028665F" w:rsidRPr="00770FE3">
              <w:rPr>
                <w:rStyle w:val="Hyperlink"/>
                <w:noProof/>
                <w:lang w:val="en-GB"/>
              </w:rPr>
              <w:t>2.1.3.4 Alexander’s Disease</w:t>
            </w:r>
            <w:r w:rsidR="0028665F">
              <w:rPr>
                <w:noProof/>
                <w:webHidden/>
              </w:rPr>
              <w:tab/>
            </w:r>
            <w:r w:rsidR="0028665F">
              <w:rPr>
                <w:noProof/>
                <w:webHidden/>
              </w:rPr>
              <w:fldChar w:fldCharType="begin"/>
            </w:r>
            <w:r w:rsidR="0028665F">
              <w:rPr>
                <w:noProof/>
                <w:webHidden/>
              </w:rPr>
              <w:instrText xml:space="preserve"> PAGEREF _Toc3211332 \h </w:instrText>
            </w:r>
            <w:r w:rsidR="0028665F">
              <w:rPr>
                <w:noProof/>
                <w:webHidden/>
              </w:rPr>
            </w:r>
            <w:r w:rsidR="0028665F">
              <w:rPr>
                <w:noProof/>
                <w:webHidden/>
              </w:rPr>
              <w:fldChar w:fldCharType="separate"/>
            </w:r>
            <w:r w:rsidR="0028665F">
              <w:rPr>
                <w:noProof/>
                <w:webHidden/>
              </w:rPr>
              <w:t>27</w:t>
            </w:r>
            <w:r w:rsidR="0028665F">
              <w:rPr>
                <w:noProof/>
                <w:webHidden/>
              </w:rPr>
              <w:fldChar w:fldCharType="end"/>
            </w:r>
          </w:hyperlink>
        </w:p>
        <w:p w14:paraId="5DF07BA0" w14:textId="609D9D3C" w:rsidR="0028665F" w:rsidRDefault="00C2072C">
          <w:pPr>
            <w:pStyle w:val="TOC4"/>
            <w:rPr>
              <w:rFonts w:asciiTheme="minorHAnsi" w:eastAsiaTheme="minorEastAsia" w:hAnsiTheme="minorHAnsi" w:cstheme="minorBidi"/>
              <w:noProof/>
              <w:sz w:val="24"/>
              <w:szCs w:val="24"/>
              <w:lang w:val="en-GB"/>
            </w:rPr>
          </w:pPr>
          <w:hyperlink w:anchor="_Toc3211333" w:history="1">
            <w:r w:rsidR="0028665F" w:rsidRPr="00770FE3">
              <w:rPr>
                <w:rStyle w:val="Hyperlink"/>
                <w:noProof/>
                <w:lang w:val="en-GB"/>
              </w:rPr>
              <w:t>2.1.3.5 Alzheimer’s Disease</w:t>
            </w:r>
            <w:r w:rsidR="0028665F">
              <w:rPr>
                <w:noProof/>
                <w:webHidden/>
              </w:rPr>
              <w:tab/>
            </w:r>
            <w:r w:rsidR="0028665F">
              <w:rPr>
                <w:noProof/>
                <w:webHidden/>
              </w:rPr>
              <w:fldChar w:fldCharType="begin"/>
            </w:r>
            <w:r w:rsidR="0028665F">
              <w:rPr>
                <w:noProof/>
                <w:webHidden/>
              </w:rPr>
              <w:instrText xml:space="preserve"> PAGEREF _Toc3211333 \h </w:instrText>
            </w:r>
            <w:r w:rsidR="0028665F">
              <w:rPr>
                <w:noProof/>
                <w:webHidden/>
              </w:rPr>
            </w:r>
            <w:r w:rsidR="0028665F">
              <w:rPr>
                <w:noProof/>
                <w:webHidden/>
              </w:rPr>
              <w:fldChar w:fldCharType="separate"/>
            </w:r>
            <w:r w:rsidR="0028665F">
              <w:rPr>
                <w:noProof/>
                <w:webHidden/>
              </w:rPr>
              <w:t>27</w:t>
            </w:r>
            <w:r w:rsidR="0028665F">
              <w:rPr>
                <w:noProof/>
                <w:webHidden/>
              </w:rPr>
              <w:fldChar w:fldCharType="end"/>
            </w:r>
          </w:hyperlink>
        </w:p>
        <w:p w14:paraId="6DC37FD1" w14:textId="388B71E6" w:rsidR="0028665F" w:rsidRDefault="00C2072C">
          <w:pPr>
            <w:pStyle w:val="TOC4"/>
            <w:rPr>
              <w:rFonts w:asciiTheme="minorHAnsi" w:eastAsiaTheme="minorEastAsia" w:hAnsiTheme="minorHAnsi" w:cstheme="minorBidi"/>
              <w:noProof/>
              <w:sz w:val="24"/>
              <w:szCs w:val="24"/>
              <w:lang w:val="en-GB"/>
            </w:rPr>
          </w:pPr>
          <w:hyperlink w:anchor="_Toc3211334" w:history="1">
            <w:r w:rsidR="0028665F" w:rsidRPr="00770FE3">
              <w:rPr>
                <w:rStyle w:val="Hyperlink"/>
                <w:noProof/>
                <w:lang w:val="en-GB"/>
              </w:rPr>
              <w:t>2.1.3.6 Parkinson’s Disease</w:t>
            </w:r>
            <w:r w:rsidR="0028665F">
              <w:rPr>
                <w:noProof/>
                <w:webHidden/>
              </w:rPr>
              <w:tab/>
            </w:r>
            <w:r w:rsidR="0028665F">
              <w:rPr>
                <w:noProof/>
                <w:webHidden/>
              </w:rPr>
              <w:fldChar w:fldCharType="begin"/>
            </w:r>
            <w:r w:rsidR="0028665F">
              <w:rPr>
                <w:noProof/>
                <w:webHidden/>
              </w:rPr>
              <w:instrText xml:space="preserve"> PAGEREF _Toc3211334 \h </w:instrText>
            </w:r>
            <w:r w:rsidR="0028665F">
              <w:rPr>
                <w:noProof/>
                <w:webHidden/>
              </w:rPr>
            </w:r>
            <w:r w:rsidR="0028665F">
              <w:rPr>
                <w:noProof/>
                <w:webHidden/>
              </w:rPr>
              <w:fldChar w:fldCharType="separate"/>
            </w:r>
            <w:r w:rsidR="0028665F">
              <w:rPr>
                <w:noProof/>
                <w:webHidden/>
              </w:rPr>
              <w:t>27</w:t>
            </w:r>
            <w:r w:rsidR="0028665F">
              <w:rPr>
                <w:noProof/>
                <w:webHidden/>
              </w:rPr>
              <w:fldChar w:fldCharType="end"/>
            </w:r>
          </w:hyperlink>
        </w:p>
        <w:p w14:paraId="000B54D7" w14:textId="2011A3B2" w:rsidR="0028665F" w:rsidRDefault="00C2072C">
          <w:pPr>
            <w:pStyle w:val="TOC4"/>
            <w:rPr>
              <w:rFonts w:asciiTheme="minorHAnsi" w:eastAsiaTheme="minorEastAsia" w:hAnsiTheme="minorHAnsi" w:cstheme="minorBidi"/>
              <w:noProof/>
              <w:sz w:val="24"/>
              <w:szCs w:val="24"/>
              <w:lang w:val="en-GB"/>
            </w:rPr>
          </w:pPr>
          <w:hyperlink w:anchor="_Toc3211335" w:history="1">
            <w:r w:rsidR="0028665F" w:rsidRPr="00770FE3">
              <w:rPr>
                <w:rStyle w:val="Hyperlink"/>
                <w:noProof/>
                <w:lang w:val="en-GB"/>
              </w:rPr>
              <w:t>2.1.3.7 Lewy Body Dementia</w:t>
            </w:r>
            <w:r w:rsidR="0028665F">
              <w:rPr>
                <w:noProof/>
                <w:webHidden/>
              </w:rPr>
              <w:tab/>
            </w:r>
            <w:r w:rsidR="0028665F">
              <w:rPr>
                <w:noProof/>
                <w:webHidden/>
              </w:rPr>
              <w:fldChar w:fldCharType="begin"/>
            </w:r>
            <w:r w:rsidR="0028665F">
              <w:rPr>
                <w:noProof/>
                <w:webHidden/>
              </w:rPr>
              <w:instrText xml:space="preserve"> PAGEREF _Toc3211335 \h </w:instrText>
            </w:r>
            <w:r w:rsidR="0028665F">
              <w:rPr>
                <w:noProof/>
                <w:webHidden/>
              </w:rPr>
            </w:r>
            <w:r w:rsidR="0028665F">
              <w:rPr>
                <w:noProof/>
                <w:webHidden/>
              </w:rPr>
              <w:fldChar w:fldCharType="separate"/>
            </w:r>
            <w:r w:rsidR="0028665F">
              <w:rPr>
                <w:noProof/>
                <w:webHidden/>
              </w:rPr>
              <w:t>27</w:t>
            </w:r>
            <w:r w:rsidR="0028665F">
              <w:rPr>
                <w:noProof/>
                <w:webHidden/>
              </w:rPr>
              <w:fldChar w:fldCharType="end"/>
            </w:r>
          </w:hyperlink>
        </w:p>
        <w:p w14:paraId="4DC25C66" w14:textId="5E4BEA5C" w:rsidR="0028665F" w:rsidRDefault="00C2072C">
          <w:pPr>
            <w:pStyle w:val="TOC4"/>
            <w:rPr>
              <w:rFonts w:asciiTheme="minorHAnsi" w:eastAsiaTheme="minorEastAsia" w:hAnsiTheme="minorHAnsi" w:cstheme="minorBidi"/>
              <w:noProof/>
              <w:sz w:val="24"/>
              <w:szCs w:val="24"/>
              <w:lang w:val="en-GB"/>
            </w:rPr>
          </w:pPr>
          <w:hyperlink w:anchor="_Toc3211336" w:history="1">
            <w:r w:rsidR="0028665F" w:rsidRPr="00770FE3">
              <w:rPr>
                <w:rStyle w:val="Hyperlink"/>
                <w:noProof/>
                <w:lang w:val="en-GB"/>
              </w:rPr>
              <w:t>2.1.3.8 Parkinsonism-Dementia Complex of Guam</w:t>
            </w:r>
            <w:r w:rsidR="0028665F">
              <w:rPr>
                <w:noProof/>
                <w:webHidden/>
              </w:rPr>
              <w:tab/>
            </w:r>
            <w:r w:rsidR="0028665F">
              <w:rPr>
                <w:noProof/>
                <w:webHidden/>
              </w:rPr>
              <w:fldChar w:fldCharType="begin"/>
            </w:r>
            <w:r w:rsidR="0028665F">
              <w:rPr>
                <w:noProof/>
                <w:webHidden/>
              </w:rPr>
              <w:instrText xml:space="preserve"> PAGEREF _Toc3211336 \h </w:instrText>
            </w:r>
            <w:r w:rsidR="0028665F">
              <w:rPr>
                <w:noProof/>
                <w:webHidden/>
              </w:rPr>
            </w:r>
            <w:r w:rsidR="0028665F">
              <w:rPr>
                <w:noProof/>
                <w:webHidden/>
              </w:rPr>
              <w:fldChar w:fldCharType="separate"/>
            </w:r>
            <w:r w:rsidR="0028665F">
              <w:rPr>
                <w:noProof/>
                <w:webHidden/>
              </w:rPr>
              <w:t>28</w:t>
            </w:r>
            <w:r w:rsidR="0028665F">
              <w:rPr>
                <w:noProof/>
                <w:webHidden/>
              </w:rPr>
              <w:fldChar w:fldCharType="end"/>
            </w:r>
          </w:hyperlink>
        </w:p>
        <w:p w14:paraId="345F99E9" w14:textId="794A79E9" w:rsidR="0028665F" w:rsidRDefault="00C2072C">
          <w:pPr>
            <w:pStyle w:val="TOC4"/>
            <w:rPr>
              <w:rFonts w:asciiTheme="minorHAnsi" w:eastAsiaTheme="minorEastAsia" w:hAnsiTheme="minorHAnsi" w:cstheme="minorBidi"/>
              <w:noProof/>
              <w:sz w:val="24"/>
              <w:szCs w:val="24"/>
              <w:lang w:val="en-GB"/>
            </w:rPr>
          </w:pPr>
          <w:hyperlink w:anchor="_Toc3211337" w:history="1">
            <w:r w:rsidR="0028665F" w:rsidRPr="00770FE3">
              <w:rPr>
                <w:rStyle w:val="Hyperlink"/>
                <w:noProof/>
                <w:lang w:val="en-GB"/>
              </w:rPr>
              <w:t>2.1.3.9 Huntington’s Disease</w:t>
            </w:r>
            <w:r w:rsidR="0028665F">
              <w:rPr>
                <w:noProof/>
                <w:webHidden/>
              </w:rPr>
              <w:tab/>
            </w:r>
            <w:r w:rsidR="0028665F">
              <w:rPr>
                <w:noProof/>
                <w:webHidden/>
              </w:rPr>
              <w:fldChar w:fldCharType="begin"/>
            </w:r>
            <w:r w:rsidR="0028665F">
              <w:rPr>
                <w:noProof/>
                <w:webHidden/>
              </w:rPr>
              <w:instrText xml:space="preserve"> PAGEREF _Toc3211337 \h </w:instrText>
            </w:r>
            <w:r w:rsidR="0028665F">
              <w:rPr>
                <w:noProof/>
                <w:webHidden/>
              </w:rPr>
            </w:r>
            <w:r w:rsidR="0028665F">
              <w:rPr>
                <w:noProof/>
                <w:webHidden/>
              </w:rPr>
              <w:fldChar w:fldCharType="separate"/>
            </w:r>
            <w:r w:rsidR="0028665F">
              <w:rPr>
                <w:noProof/>
                <w:webHidden/>
              </w:rPr>
              <w:t>28</w:t>
            </w:r>
            <w:r w:rsidR="0028665F">
              <w:rPr>
                <w:noProof/>
                <w:webHidden/>
              </w:rPr>
              <w:fldChar w:fldCharType="end"/>
            </w:r>
          </w:hyperlink>
        </w:p>
        <w:p w14:paraId="52A0537D" w14:textId="761B7976" w:rsidR="0028665F" w:rsidRDefault="00C2072C">
          <w:pPr>
            <w:pStyle w:val="TOC4"/>
            <w:rPr>
              <w:rFonts w:asciiTheme="minorHAnsi" w:eastAsiaTheme="minorEastAsia" w:hAnsiTheme="minorHAnsi" w:cstheme="minorBidi"/>
              <w:noProof/>
              <w:sz w:val="24"/>
              <w:szCs w:val="24"/>
              <w:lang w:val="en-GB"/>
            </w:rPr>
          </w:pPr>
          <w:hyperlink w:anchor="_Toc3211338" w:history="1">
            <w:r w:rsidR="0028665F" w:rsidRPr="00770FE3">
              <w:rPr>
                <w:rStyle w:val="Hyperlink"/>
                <w:noProof/>
                <w:lang w:val="en-GB"/>
              </w:rPr>
              <w:t>2.1.3.10 Corticobasal Degeneration</w:t>
            </w:r>
            <w:r w:rsidR="0028665F">
              <w:rPr>
                <w:noProof/>
                <w:webHidden/>
              </w:rPr>
              <w:tab/>
            </w:r>
            <w:r w:rsidR="0028665F">
              <w:rPr>
                <w:noProof/>
                <w:webHidden/>
              </w:rPr>
              <w:fldChar w:fldCharType="begin"/>
            </w:r>
            <w:r w:rsidR="0028665F">
              <w:rPr>
                <w:noProof/>
                <w:webHidden/>
              </w:rPr>
              <w:instrText xml:space="preserve"> PAGEREF _Toc3211338 \h </w:instrText>
            </w:r>
            <w:r w:rsidR="0028665F">
              <w:rPr>
                <w:noProof/>
                <w:webHidden/>
              </w:rPr>
            </w:r>
            <w:r w:rsidR="0028665F">
              <w:rPr>
                <w:noProof/>
                <w:webHidden/>
              </w:rPr>
              <w:fldChar w:fldCharType="separate"/>
            </w:r>
            <w:r w:rsidR="0028665F">
              <w:rPr>
                <w:noProof/>
                <w:webHidden/>
              </w:rPr>
              <w:t>28</w:t>
            </w:r>
            <w:r w:rsidR="0028665F">
              <w:rPr>
                <w:noProof/>
                <w:webHidden/>
              </w:rPr>
              <w:fldChar w:fldCharType="end"/>
            </w:r>
          </w:hyperlink>
        </w:p>
        <w:p w14:paraId="6BAFC610" w14:textId="76E40334" w:rsidR="0028665F" w:rsidRDefault="00C2072C">
          <w:pPr>
            <w:pStyle w:val="TOC4"/>
            <w:rPr>
              <w:rFonts w:asciiTheme="minorHAnsi" w:eastAsiaTheme="minorEastAsia" w:hAnsiTheme="minorHAnsi" w:cstheme="minorBidi"/>
              <w:noProof/>
              <w:sz w:val="24"/>
              <w:szCs w:val="24"/>
              <w:lang w:val="en-GB"/>
            </w:rPr>
          </w:pPr>
          <w:hyperlink w:anchor="_Toc3211339" w:history="1">
            <w:r w:rsidR="0028665F" w:rsidRPr="00770FE3">
              <w:rPr>
                <w:rStyle w:val="Hyperlink"/>
                <w:noProof/>
                <w:lang w:val="en-GB"/>
              </w:rPr>
              <w:t>2.1.3.11 Progressive Supranuclear Palsy</w:t>
            </w:r>
            <w:r w:rsidR="0028665F">
              <w:rPr>
                <w:noProof/>
                <w:webHidden/>
              </w:rPr>
              <w:tab/>
            </w:r>
            <w:r w:rsidR="0028665F">
              <w:rPr>
                <w:noProof/>
                <w:webHidden/>
              </w:rPr>
              <w:fldChar w:fldCharType="begin"/>
            </w:r>
            <w:r w:rsidR="0028665F">
              <w:rPr>
                <w:noProof/>
                <w:webHidden/>
              </w:rPr>
              <w:instrText xml:space="preserve"> PAGEREF _Toc3211339 \h </w:instrText>
            </w:r>
            <w:r w:rsidR="0028665F">
              <w:rPr>
                <w:noProof/>
                <w:webHidden/>
              </w:rPr>
            </w:r>
            <w:r w:rsidR="0028665F">
              <w:rPr>
                <w:noProof/>
                <w:webHidden/>
              </w:rPr>
              <w:fldChar w:fldCharType="separate"/>
            </w:r>
            <w:r w:rsidR="0028665F">
              <w:rPr>
                <w:noProof/>
                <w:webHidden/>
              </w:rPr>
              <w:t>29</w:t>
            </w:r>
            <w:r w:rsidR="0028665F">
              <w:rPr>
                <w:noProof/>
                <w:webHidden/>
              </w:rPr>
              <w:fldChar w:fldCharType="end"/>
            </w:r>
          </w:hyperlink>
        </w:p>
        <w:p w14:paraId="514E43FB" w14:textId="05F1BC18" w:rsidR="0028665F" w:rsidRDefault="00C2072C">
          <w:pPr>
            <w:pStyle w:val="TOC4"/>
            <w:rPr>
              <w:rFonts w:asciiTheme="minorHAnsi" w:eastAsiaTheme="minorEastAsia" w:hAnsiTheme="minorHAnsi" w:cstheme="minorBidi"/>
              <w:noProof/>
              <w:sz w:val="24"/>
              <w:szCs w:val="24"/>
              <w:lang w:val="en-GB"/>
            </w:rPr>
          </w:pPr>
          <w:hyperlink w:anchor="_Toc3211340" w:history="1">
            <w:r w:rsidR="0028665F" w:rsidRPr="00770FE3">
              <w:rPr>
                <w:rStyle w:val="Hyperlink"/>
                <w:noProof/>
                <w:lang w:val="en-GB"/>
              </w:rPr>
              <w:t>2.1.3.12 Hippocampal Sclerosis</w:t>
            </w:r>
            <w:r w:rsidR="0028665F">
              <w:rPr>
                <w:noProof/>
                <w:webHidden/>
              </w:rPr>
              <w:tab/>
            </w:r>
            <w:r w:rsidR="0028665F">
              <w:rPr>
                <w:noProof/>
                <w:webHidden/>
              </w:rPr>
              <w:fldChar w:fldCharType="begin"/>
            </w:r>
            <w:r w:rsidR="0028665F">
              <w:rPr>
                <w:noProof/>
                <w:webHidden/>
              </w:rPr>
              <w:instrText xml:space="preserve"> PAGEREF _Toc3211340 \h </w:instrText>
            </w:r>
            <w:r w:rsidR="0028665F">
              <w:rPr>
                <w:noProof/>
                <w:webHidden/>
              </w:rPr>
            </w:r>
            <w:r w:rsidR="0028665F">
              <w:rPr>
                <w:noProof/>
                <w:webHidden/>
              </w:rPr>
              <w:fldChar w:fldCharType="separate"/>
            </w:r>
            <w:r w:rsidR="0028665F">
              <w:rPr>
                <w:noProof/>
                <w:webHidden/>
              </w:rPr>
              <w:t>29</w:t>
            </w:r>
            <w:r w:rsidR="0028665F">
              <w:rPr>
                <w:noProof/>
                <w:webHidden/>
              </w:rPr>
              <w:fldChar w:fldCharType="end"/>
            </w:r>
          </w:hyperlink>
        </w:p>
        <w:p w14:paraId="4292CAE0" w14:textId="5AF1A48D" w:rsidR="0028665F" w:rsidRDefault="00C2072C">
          <w:pPr>
            <w:pStyle w:val="TOC4"/>
            <w:rPr>
              <w:rFonts w:asciiTheme="minorHAnsi" w:eastAsiaTheme="minorEastAsia" w:hAnsiTheme="minorHAnsi" w:cstheme="minorBidi"/>
              <w:noProof/>
              <w:sz w:val="24"/>
              <w:szCs w:val="24"/>
              <w:lang w:val="en-GB"/>
            </w:rPr>
          </w:pPr>
          <w:hyperlink w:anchor="_Toc3211341" w:history="1">
            <w:r w:rsidR="0028665F" w:rsidRPr="00770FE3">
              <w:rPr>
                <w:rStyle w:val="Hyperlink"/>
                <w:noProof/>
                <w:lang w:val="en-GB"/>
              </w:rPr>
              <w:t>2.1.3.13 Spinocerebellar Ataxia Type 2</w:t>
            </w:r>
            <w:r w:rsidR="0028665F">
              <w:rPr>
                <w:noProof/>
                <w:webHidden/>
              </w:rPr>
              <w:tab/>
            </w:r>
            <w:r w:rsidR="0028665F">
              <w:rPr>
                <w:noProof/>
                <w:webHidden/>
              </w:rPr>
              <w:fldChar w:fldCharType="begin"/>
            </w:r>
            <w:r w:rsidR="0028665F">
              <w:rPr>
                <w:noProof/>
                <w:webHidden/>
              </w:rPr>
              <w:instrText xml:space="preserve"> PAGEREF _Toc3211341 \h </w:instrText>
            </w:r>
            <w:r w:rsidR="0028665F">
              <w:rPr>
                <w:noProof/>
                <w:webHidden/>
              </w:rPr>
            </w:r>
            <w:r w:rsidR="0028665F">
              <w:rPr>
                <w:noProof/>
                <w:webHidden/>
              </w:rPr>
              <w:fldChar w:fldCharType="separate"/>
            </w:r>
            <w:r w:rsidR="0028665F">
              <w:rPr>
                <w:noProof/>
                <w:webHidden/>
              </w:rPr>
              <w:t>29</w:t>
            </w:r>
            <w:r w:rsidR="0028665F">
              <w:rPr>
                <w:noProof/>
                <w:webHidden/>
              </w:rPr>
              <w:fldChar w:fldCharType="end"/>
            </w:r>
          </w:hyperlink>
        </w:p>
        <w:p w14:paraId="147DD349" w14:textId="2F46DFA6" w:rsidR="0028665F" w:rsidRDefault="00C2072C">
          <w:pPr>
            <w:pStyle w:val="TOC4"/>
            <w:rPr>
              <w:rFonts w:asciiTheme="minorHAnsi" w:eastAsiaTheme="minorEastAsia" w:hAnsiTheme="minorHAnsi" w:cstheme="minorBidi"/>
              <w:noProof/>
              <w:sz w:val="24"/>
              <w:szCs w:val="24"/>
              <w:lang w:val="en-GB"/>
            </w:rPr>
          </w:pPr>
          <w:hyperlink w:anchor="_Toc3211342" w:history="1">
            <w:r w:rsidR="0028665F" w:rsidRPr="00770FE3">
              <w:rPr>
                <w:rStyle w:val="Hyperlink"/>
                <w:noProof/>
                <w:lang w:val="en-GB"/>
              </w:rPr>
              <w:t>2.1.3.14 Chronic Traumatic Encephalopathy</w:t>
            </w:r>
            <w:r w:rsidR="0028665F">
              <w:rPr>
                <w:noProof/>
                <w:webHidden/>
              </w:rPr>
              <w:tab/>
            </w:r>
            <w:r w:rsidR="0028665F">
              <w:rPr>
                <w:noProof/>
                <w:webHidden/>
              </w:rPr>
              <w:fldChar w:fldCharType="begin"/>
            </w:r>
            <w:r w:rsidR="0028665F">
              <w:rPr>
                <w:noProof/>
                <w:webHidden/>
              </w:rPr>
              <w:instrText xml:space="preserve"> PAGEREF _Toc3211342 \h </w:instrText>
            </w:r>
            <w:r w:rsidR="0028665F">
              <w:rPr>
                <w:noProof/>
                <w:webHidden/>
              </w:rPr>
            </w:r>
            <w:r w:rsidR="0028665F">
              <w:rPr>
                <w:noProof/>
                <w:webHidden/>
              </w:rPr>
              <w:fldChar w:fldCharType="separate"/>
            </w:r>
            <w:r w:rsidR="0028665F">
              <w:rPr>
                <w:noProof/>
                <w:webHidden/>
              </w:rPr>
              <w:t>30</w:t>
            </w:r>
            <w:r w:rsidR="0028665F">
              <w:rPr>
                <w:noProof/>
                <w:webHidden/>
              </w:rPr>
              <w:fldChar w:fldCharType="end"/>
            </w:r>
          </w:hyperlink>
        </w:p>
        <w:p w14:paraId="3A1F5E2D" w14:textId="0022581C" w:rsidR="0028665F" w:rsidRDefault="00C2072C">
          <w:pPr>
            <w:pStyle w:val="TOC2"/>
            <w:rPr>
              <w:rFonts w:asciiTheme="minorHAnsi" w:eastAsiaTheme="minorEastAsia" w:hAnsiTheme="minorHAnsi" w:cstheme="minorBidi"/>
              <w:bCs w:val="0"/>
              <w:noProof/>
              <w:sz w:val="24"/>
              <w:szCs w:val="24"/>
              <w:lang w:val="en-GB"/>
            </w:rPr>
          </w:pPr>
          <w:hyperlink w:anchor="_Toc3211343" w:history="1">
            <w:r w:rsidR="0028665F" w:rsidRPr="00770FE3">
              <w:rPr>
                <w:rStyle w:val="Hyperlink"/>
                <w:noProof/>
              </w:rPr>
              <w:t>2.2 TDP-43 Dysfunction</w:t>
            </w:r>
            <w:r w:rsidR="0028665F">
              <w:rPr>
                <w:noProof/>
                <w:webHidden/>
              </w:rPr>
              <w:tab/>
            </w:r>
            <w:r w:rsidR="0028665F">
              <w:rPr>
                <w:noProof/>
                <w:webHidden/>
              </w:rPr>
              <w:fldChar w:fldCharType="begin"/>
            </w:r>
            <w:r w:rsidR="0028665F">
              <w:rPr>
                <w:noProof/>
                <w:webHidden/>
              </w:rPr>
              <w:instrText xml:space="preserve"> PAGEREF _Toc3211343 \h </w:instrText>
            </w:r>
            <w:r w:rsidR="0028665F">
              <w:rPr>
                <w:noProof/>
                <w:webHidden/>
              </w:rPr>
            </w:r>
            <w:r w:rsidR="0028665F">
              <w:rPr>
                <w:noProof/>
                <w:webHidden/>
              </w:rPr>
              <w:fldChar w:fldCharType="separate"/>
            </w:r>
            <w:r w:rsidR="0028665F">
              <w:rPr>
                <w:noProof/>
                <w:webHidden/>
              </w:rPr>
              <w:t>30</w:t>
            </w:r>
            <w:r w:rsidR="0028665F">
              <w:rPr>
                <w:noProof/>
                <w:webHidden/>
              </w:rPr>
              <w:fldChar w:fldCharType="end"/>
            </w:r>
          </w:hyperlink>
        </w:p>
        <w:p w14:paraId="606CC933" w14:textId="66EAC880" w:rsidR="0028665F" w:rsidRDefault="00C2072C">
          <w:pPr>
            <w:pStyle w:val="TOC2"/>
            <w:rPr>
              <w:rFonts w:asciiTheme="minorHAnsi" w:eastAsiaTheme="minorEastAsia" w:hAnsiTheme="minorHAnsi" w:cstheme="minorBidi"/>
              <w:bCs w:val="0"/>
              <w:noProof/>
              <w:sz w:val="24"/>
              <w:szCs w:val="24"/>
              <w:lang w:val="en-GB"/>
            </w:rPr>
          </w:pPr>
          <w:hyperlink w:anchor="_Toc3211344" w:history="1">
            <w:r w:rsidR="0028665F" w:rsidRPr="00770FE3">
              <w:rPr>
                <w:rStyle w:val="Hyperlink"/>
                <w:noProof/>
              </w:rPr>
              <w:t>2.3 Developing a TDP-43 Signature</w:t>
            </w:r>
            <w:r w:rsidR="0028665F">
              <w:rPr>
                <w:noProof/>
                <w:webHidden/>
              </w:rPr>
              <w:tab/>
            </w:r>
            <w:r w:rsidR="0028665F">
              <w:rPr>
                <w:noProof/>
                <w:webHidden/>
              </w:rPr>
              <w:fldChar w:fldCharType="begin"/>
            </w:r>
            <w:r w:rsidR="0028665F">
              <w:rPr>
                <w:noProof/>
                <w:webHidden/>
              </w:rPr>
              <w:instrText xml:space="preserve"> PAGEREF _Toc3211344 \h </w:instrText>
            </w:r>
            <w:r w:rsidR="0028665F">
              <w:rPr>
                <w:noProof/>
                <w:webHidden/>
              </w:rPr>
            </w:r>
            <w:r w:rsidR="0028665F">
              <w:rPr>
                <w:noProof/>
                <w:webHidden/>
              </w:rPr>
              <w:fldChar w:fldCharType="separate"/>
            </w:r>
            <w:r w:rsidR="0028665F">
              <w:rPr>
                <w:noProof/>
                <w:webHidden/>
              </w:rPr>
              <w:t>31</w:t>
            </w:r>
            <w:r w:rsidR="0028665F">
              <w:rPr>
                <w:noProof/>
                <w:webHidden/>
              </w:rPr>
              <w:fldChar w:fldCharType="end"/>
            </w:r>
          </w:hyperlink>
        </w:p>
        <w:p w14:paraId="486F9619" w14:textId="1DA5EF37" w:rsidR="0028665F" w:rsidRDefault="00C2072C">
          <w:pPr>
            <w:pStyle w:val="TOC3"/>
            <w:rPr>
              <w:rFonts w:asciiTheme="minorHAnsi" w:eastAsiaTheme="minorEastAsia" w:hAnsiTheme="minorHAnsi" w:cstheme="minorBidi"/>
              <w:noProof/>
              <w:sz w:val="24"/>
              <w:szCs w:val="24"/>
              <w:lang w:val="en-GB"/>
            </w:rPr>
          </w:pPr>
          <w:hyperlink w:anchor="_Toc3211345" w:history="1">
            <w:r w:rsidR="0028665F" w:rsidRPr="00770FE3">
              <w:rPr>
                <w:rStyle w:val="Hyperlink"/>
                <w:noProof/>
              </w:rPr>
              <w:t>2.3.1 Identifying Commonly Differentially Expressed Genes</w:t>
            </w:r>
            <w:r w:rsidR="0028665F">
              <w:rPr>
                <w:noProof/>
                <w:webHidden/>
              </w:rPr>
              <w:tab/>
            </w:r>
            <w:r w:rsidR="0028665F">
              <w:rPr>
                <w:noProof/>
                <w:webHidden/>
              </w:rPr>
              <w:fldChar w:fldCharType="begin"/>
            </w:r>
            <w:r w:rsidR="0028665F">
              <w:rPr>
                <w:noProof/>
                <w:webHidden/>
              </w:rPr>
              <w:instrText xml:space="preserve"> PAGEREF _Toc3211345 \h </w:instrText>
            </w:r>
            <w:r w:rsidR="0028665F">
              <w:rPr>
                <w:noProof/>
                <w:webHidden/>
              </w:rPr>
            </w:r>
            <w:r w:rsidR="0028665F">
              <w:rPr>
                <w:noProof/>
                <w:webHidden/>
              </w:rPr>
              <w:fldChar w:fldCharType="separate"/>
            </w:r>
            <w:r w:rsidR="0028665F">
              <w:rPr>
                <w:noProof/>
                <w:webHidden/>
              </w:rPr>
              <w:t>31</w:t>
            </w:r>
            <w:r w:rsidR="0028665F">
              <w:rPr>
                <w:noProof/>
                <w:webHidden/>
              </w:rPr>
              <w:fldChar w:fldCharType="end"/>
            </w:r>
          </w:hyperlink>
        </w:p>
        <w:p w14:paraId="7BDE1E7C" w14:textId="2344C034" w:rsidR="0028665F" w:rsidRDefault="00C2072C">
          <w:pPr>
            <w:pStyle w:val="TOC4"/>
            <w:rPr>
              <w:rFonts w:asciiTheme="minorHAnsi" w:eastAsiaTheme="minorEastAsia" w:hAnsiTheme="minorHAnsi" w:cstheme="minorBidi"/>
              <w:noProof/>
              <w:sz w:val="24"/>
              <w:szCs w:val="24"/>
              <w:lang w:val="en-GB"/>
            </w:rPr>
          </w:pPr>
          <w:hyperlink w:anchor="_Toc3211346" w:history="1">
            <w:r w:rsidR="0028665F" w:rsidRPr="00770FE3">
              <w:rPr>
                <w:rStyle w:val="Hyperlink"/>
                <w:noProof/>
                <w:lang w:val="en-GB"/>
              </w:rPr>
              <w:t>2.3.1.1 Dataset Selection</w:t>
            </w:r>
            <w:r w:rsidR="0028665F">
              <w:rPr>
                <w:noProof/>
                <w:webHidden/>
              </w:rPr>
              <w:tab/>
            </w:r>
            <w:r w:rsidR="0028665F">
              <w:rPr>
                <w:noProof/>
                <w:webHidden/>
              </w:rPr>
              <w:fldChar w:fldCharType="begin"/>
            </w:r>
            <w:r w:rsidR="0028665F">
              <w:rPr>
                <w:noProof/>
                <w:webHidden/>
              </w:rPr>
              <w:instrText xml:space="preserve"> PAGEREF _Toc3211346 \h </w:instrText>
            </w:r>
            <w:r w:rsidR="0028665F">
              <w:rPr>
                <w:noProof/>
                <w:webHidden/>
              </w:rPr>
            </w:r>
            <w:r w:rsidR="0028665F">
              <w:rPr>
                <w:noProof/>
                <w:webHidden/>
              </w:rPr>
              <w:fldChar w:fldCharType="separate"/>
            </w:r>
            <w:r w:rsidR="0028665F">
              <w:rPr>
                <w:noProof/>
                <w:webHidden/>
              </w:rPr>
              <w:t>32</w:t>
            </w:r>
            <w:r w:rsidR="0028665F">
              <w:rPr>
                <w:noProof/>
                <w:webHidden/>
              </w:rPr>
              <w:fldChar w:fldCharType="end"/>
            </w:r>
          </w:hyperlink>
        </w:p>
        <w:p w14:paraId="13448059" w14:textId="126479DD" w:rsidR="0028665F" w:rsidRDefault="00C2072C">
          <w:pPr>
            <w:pStyle w:val="TOC4"/>
            <w:rPr>
              <w:rFonts w:asciiTheme="minorHAnsi" w:eastAsiaTheme="minorEastAsia" w:hAnsiTheme="minorHAnsi" w:cstheme="minorBidi"/>
              <w:noProof/>
              <w:sz w:val="24"/>
              <w:szCs w:val="24"/>
              <w:lang w:val="en-GB"/>
            </w:rPr>
          </w:pPr>
          <w:hyperlink w:anchor="_Toc3211347" w:history="1">
            <w:r w:rsidR="0028665F" w:rsidRPr="00770FE3">
              <w:rPr>
                <w:rStyle w:val="Hyperlink"/>
                <w:noProof/>
                <w:lang w:val="en-GB"/>
              </w:rPr>
              <w:t>2.3.1.2 Dataset Quality Control and Pre-processing</w:t>
            </w:r>
            <w:r w:rsidR="0028665F">
              <w:rPr>
                <w:noProof/>
                <w:webHidden/>
              </w:rPr>
              <w:tab/>
            </w:r>
            <w:r w:rsidR="0028665F">
              <w:rPr>
                <w:noProof/>
                <w:webHidden/>
              </w:rPr>
              <w:fldChar w:fldCharType="begin"/>
            </w:r>
            <w:r w:rsidR="0028665F">
              <w:rPr>
                <w:noProof/>
                <w:webHidden/>
              </w:rPr>
              <w:instrText xml:space="preserve"> PAGEREF _Toc3211347 \h </w:instrText>
            </w:r>
            <w:r w:rsidR="0028665F">
              <w:rPr>
                <w:noProof/>
                <w:webHidden/>
              </w:rPr>
            </w:r>
            <w:r w:rsidR="0028665F">
              <w:rPr>
                <w:noProof/>
                <w:webHidden/>
              </w:rPr>
              <w:fldChar w:fldCharType="separate"/>
            </w:r>
            <w:r w:rsidR="0028665F">
              <w:rPr>
                <w:noProof/>
                <w:webHidden/>
              </w:rPr>
              <w:t>34</w:t>
            </w:r>
            <w:r w:rsidR="0028665F">
              <w:rPr>
                <w:noProof/>
                <w:webHidden/>
              </w:rPr>
              <w:fldChar w:fldCharType="end"/>
            </w:r>
          </w:hyperlink>
        </w:p>
        <w:p w14:paraId="45FC8F34" w14:textId="24B05E26" w:rsidR="0028665F" w:rsidRDefault="00C2072C">
          <w:pPr>
            <w:pStyle w:val="TOC4"/>
            <w:rPr>
              <w:rFonts w:asciiTheme="minorHAnsi" w:eastAsiaTheme="minorEastAsia" w:hAnsiTheme="minorHAnsi" w:cstheme="minorBidi"/>
              <w:noProof/>
              <w:sz w:val="24"/>
              <w:szCs w:val="24"/>
              <w:lang w:val="en-GB"/>
            </w:rPr>
          </w:pPr>
          <w:hyperlink w:anchor="_Toc3211348" w:history="1">
            <w:r w:rsidR="0028665F" w:rsidRPr="00770FE3">
              <w:rPr>
                <w:rStyle w:val="Hyperlink"/>
                <w:noProof/>
                <w:lang w:val="en-GB"/>
              </w:rPr>
              <w:t>2.3.1.3 Differential Expression</w:t>
            </w:r>
            <w:r w:rsidR="0028665F">
              <w:rPr>
                <w:noProof/>
                <w:webHidden/>
              </w:rPr>
              <w:tab/>
            </w:r>
            <w:r w:rsidR="0028665F">
              <w:rPr>
                <w:noProof/>
                <w:webHidden/>
              </w:rPr>
              <w:fldChar w:fldCharType="begin"/>
            </w:r>
            <w:r w:rsidR="0028665F">
              <w:rPr>
                <w:noProof/>
                <w:webHidden/>
              </w:rPr>
              <w:instrText xml:space="preserve"> PAGEREF _Toc3211348 \h </w:instrText>
            </w:r>
            <w:r w:rsidR="0028665F">
              <w:rPr>
                <w:noProof/>
                <w:webHidden/>
              </w:rPr>
            </w:r>
            <w:r w:rsidR="0028665F">
              <w:rPr>
                <w:noProof/>
                <w:webHidden/>
              </w:rPr>
              <w:fldChar w:fldCharType="separate"/>
            </w:r>
            <w:r w:rsidR="0028665F">
              <w:rPr>
                <w:noProof/>
                <w:webHidden/>
              </w:rPr>
              <w:t>35</w:t>
            </w:r>
            <w:r w:rsidR="0028665F">
              <w:rPr>
                <w:noProof/>
                <w:webHidden/>
              </w:rPr>
              <w:fldChar w:fldCharType="end"/>
            </w:r>
          </w:hyperlink>
        </w:p>
        <w:p w14:paraId="050E9290" w14:textId="46F512A5" w:rsidR="0028665F" w:rsidRDefault="00C2072C">
          <w:pPr>
            <w:pStyle w:val="TOC4"/>
            <w:rPr>
              <w:rFonts w:asciiTheme="minorHAnsi" w:eastAsiaTheme="minorEastAsia" w:hAnsiTheme="minorHAnsi" w:cstheme="minorBidi"/>
              <w:noProof/>
              <w:sz w:val="24"/>
              <w:szCs w:val="24"/>
              <w:lang w:val="en-GB"/>
            </w:rPr>
          </w:pPr>
          <w:hyperlink w:anchor="_Toc3211349" w:history="1">
            <w:r w:rsidR="0028665F" w:rsidRPr="00770FE3">
              <w:rPr>
                <w:rStyle w:val="Hyperlink"/>
                <w:noProof/>
                <w:lang w:val="en-GB"/>
              </w:rPr>
              <w:t>2.3.1.4 Signal Purification</w:t>
            </w:r>
            <w:r w:rsidR="0028665F">
              <w:rPr>
                <w:noProof/>
                <w:webHidden/>
              </w:rPr>
              <w:tab/>
            </w:r>
            <w:r w:rsidR="0028665F">
              <w:rPr>
                <w:noProof/>
                <w:webHidden/>
              </w:rPr>
              <w:fldChar w:fldCharType="begin"/>
            </w:r>
            <w:r w:rsidR="0028665F">
              <w:rPr>
                <w:noProof/>
                <w:webHidden/>
              </w:rPr>
              <w:instrText xml:space="preserve"> PAGEREF _Toc3211349 \h </w:instrText>
            </w:r>
            <w:r w:rsidR="0028665F">
              <w:rPr>
                <w:noProof/>
                <w:webHidden/>
              </w:rPr>
            </w:r>
            <w:r w:rsidR="0028665F">
              <w:rPr>
                <w:noProof/>
                <w:webHidden/>
              </w:rPr>
              <w:fldChar w:fldCharType="separate"/>
            </w:r>
            <w:r w:rsidR="0028665F">
              <w:rPr>
                <w:noProof/>
                <w:webHidden/>
              </w:rPr>
              <w:t>39</w:t>
            </w:r>
            <w:r w:rsidR="0028665F">
              <w:rPr>
                <w:noProof/>
                <w:webHidden/>
              </w:rPr>
              <w:fldChar w:fldCharType="end"/>
            </w:r>
          </w:hyperlink>
        </w:p>
        <w:p w14:paraId="1B195B88" w14:textId="0D26173B" w:rsidR="0028665F" w:rsidRDefault="00C2072C">
          <w:pPr>
            <w:pStyle w:val="TOC4"/>
            <w:rPr>
              <w:rFonts w:asciiTheme="minorHAnsi" w:eastAsiaTheme="minorEastAsia" w:hAnsiTheme="minorHAnsi" w:cstheme="minorBidi"/>
              <w:noProof/>
              <w:sz w:val="24"/>
              <w:szCs w:val="24"/>
              <w:lang w:val="en-GB"/>
            </w:rPr>
          </w:pPr>
          <w:hyperlink w:anchor="_Toc3211350" w:history="1">
            <w:r w:rsidR="0028665F" w:rsidRPr="00770FE3">
              <w:rPr>
                <w:rStyle w:val="Hyperlink"/>
                <w:noProof/>
                <w:lang w:val="en-GB"/>
              </w:rPr>
              <w:t>2.3.1.5 Assessment of Common DEG Biology</w:t>
            </w:r>
            <w:r w:rsidR="0028665F">
              <w:rPr>
                <w:noProof/>
                <w:webHidden/>
              </w:rPr>
              <w:tab/>
            </w:r>
            <w:r w:rsidR="0028665F">
              <w:rPr>
                <w:noProof/>
                <w:webHidden/>
              </w:rPr>
              <w:fldChar w:fldCharType="begin"/>
            </w:r>
            <w:r w:rsidR="0028665F">
              <w:rPr>
                <w:noProof/>
                <w:webHidden/>
              </w:rPr>
              <w:instrText xml:space="preserve"> PAGEREF _Toc3211350 \h </w:instrText>
            </w:r>
            <w:r w:rsidR="0028665F">
              <w:rPr>
                <w:noProof/>
                <w:webHidden/>
              </w:rPr>
            </w:r>
            <w:r w:rsidR="0028665F">
              <w:rPr>
                <w:noProof/>
                <w:webHidden/>
              </w:rPr>
              <w:fldChar w:fldCharType="separate"/>
            </w:r>
            <w:r w:rsidR="0028665F">
              <w:rPr>
                <w:noProof/>
                <w:webHidden/>
              </w:rPr>
              <w:t>42</w:t>
            </w:r>
            <w:r w:rsidR="0028665F">
              <w:rPr>
                <w:noProof/>
                <w:webHidden/>
              </w:rPr>
              <w:fldChar w:fldCharType="end"/>
            </w:r>
          </w:hyperlink>
        </w:p>
        <w:p w14:paraId="36D9333E" w14:textId="41C1A005" w:rsidR="0028665F" w:rsidRDefault="00C2072C">
          <w:pPr>
            <w:pStyle w:val="TOC4"/>
            <w:rPr>
              <w:rFonts w:asciiTheme="minorHAnsi" w:eastAsiaTheme="minorEastAsia" w:hAnsiTheme="minorHAnsi" w:cstheme="minorBidi"/>
              <w:noProof/>
              <w:sz w:val="24"/>
              <w:szCs w:val="24"/>
              <w:lang w:val="en-GB"/>
            </w:rPr>
          </w:pPr>
          <w:hyperlink w:anchor="_Toc3211351" w:history="1">
            <w:r w:rsidR="0028665F" w:rsidRPr="00770FE3">
              <w:rPr>
                <w:rStyle w:val="Hyperlink"/>
                <w:noProof/>
                <w:lang w:val="en-GB"/>
              </w:rPr>
              <w:t>2.3.1.6 Summary</w:t>
            </w:r>
            <w:r w:rsidR="0028665F">
              <w:rPr>
                <w:noProof/>
                <w:webHidden/>
              </w:rPr>
              <w:tab/>
            </w:r>
            <w:r w:rsidR="0028665F">
              <w:rPr>
                <w:noProof/>
                <w:webHidden/>
              </w:rPr>
              <w:fldChar w:fldCharType="begin"/>
            </w:r>
            <w:r w:rsidR="0028665F">
              <w:rPr>
                <w:noProof/>
                <w:webHidden/>
              </w:rPr>
              <w:instrText xml:space="preserve"> PAGEREF _Toc3211351 \h </w:instrText>
            </w:r>
            <w:r w:rsidR="0028665F">
              <w:rPr>
                <w:noProof/>
                <w:webHidden/>
              </w:rPr>
            </w:r>
            <w:r w:rsidR="0028665F">
              <w:rPr>
                <w:noProof/>
                <w:webHidden/>
              </w:rPr>
              <w:fldChar w:fldCharType="separate"/>
            </w:r>
            <w:r w:rsidR="0028665F">
              <w:rPr>
                <w:noProof/>
                <w:webHidden/>
              </w:rPr>
              <w:t>46</w:t>
            </w:r>
            <w:r w:rsidR="0028665F">
              <w:rPr>
                <w:noProof/>
                <w:webHidden/>
              </w:rPr>
              <w:fldChar w:fldCharType="end"/>
            </w:r>
          </w:hyperlink>
        </w:p>
        <w:p w14:paraId="458FAC43" w14:textId="6C790FE7" w:rsidR="0028665F" w:rsidRDefault="00C2072C">
          <w:pPr>
            <w:pStyle w:val="TOC3"/>
            <w:rPr>
              <w:rFonts w:asciiTheme="minorHAnsi" w:eastAsiaTheme="minorEastAsia" w:hAnsiTheme="minorHAnsi" w:cstheme="minorBidi"/>
              <w:noProof/>
              <w:sz w:val="24"/>
              <w:szCs w:val="24"/>
              <w:lang w:val="en-GB"/>
            </w:rPr>
          </w:pPr>
          <w:hyperlink w:anchor="_Toc3211352" w:history="1">
            <w:r w:rsidR="0028665F" w:rsidRPr="00770FE3">
              <w:rPr>
                <w:rStyle w:val="Hyperlink"/>
                <w:noProof/>
              </w:rPr>
              <w:t>2.3.2 Protein Interaction Network Generation</w:t>
            </w:r>
            <w:r w:rsidR="0028665F">
              <w:rPr>
                <w:noProof/>
                <w:webHidden/>
              </w:rPr>
              <w:tab/>
            </w:r>
            <w:r w:rsidR="0028665F">
              <w:rPr>
                <w:noProof/>
                <w:webHidden/>
              </w:rPr>
              <w:fldChar w:fldCharType="begin"/>
            </w:r>
            <w:r w:rsidR="0028665F">
              <w:rPr>
                <w:noProof/>
                <w:webHidden/>
              </w:rPr>
              <w:instrText xml:space="preserve"> PAGEREF _Toc3211352 \h </w:instrText>
            </w:r>
            <w:r w:rsidR="0028665F">
              <w:rPr>
                <w:noProof/>
                <w:webHidden/>
              </w:rPr>
            </w:r>
            <w:r w:rsidR="0028665F">
              <w:rPr>
                <w:noProof/>
                <w:webHidden/>
              </w:rPr>
              <w:fldChar w:fldCharType="separate"/>
            </w:r>
            <w:r w:rsidR="0028665F">
              <w:rPr>
                <w:noProof/>
                <w:webHidden/>
              </w:rPr>
              <w:t>47</w:t>
            </w:r>
            <w:r w:rsidR="0028665F">
              <w:rPr>
                <w:noProof/>
                <w:webHidden/>
              </w:rPr>
              <w:fldChar w:fldCharType="end"/>
            </w:r>
          </w:hyperlink>
        </w:p>
        <w:p w14:paraId="33D05EE8" w14:textId="7EC36EE5" w:rsidR="0028665F" w:rsidRDefault="00C2072C">
          <w:pPr>
            <w:pStyle w:val="TOC4"/>
            <w:rPr>
              <w:rFonts w:asciiTheme="minorHAnsi" w:eastAsiaTheme="minorEastAsia" w:hAnsiTheme="minorHAnsi" w:cstheme="minorBidi"/>
              <w:noProof/>
              <w:sz w:val="24"/>
              <w:szCs w:val="24"/>
              <w:lang w:val="en-GB"/>
            </w:rPr>
          </w:pPr>
          <w:hyperlink w:anchor="_Toc3211353" w:history="1">
            <w:r w:rsidR="0028665F" w:rsidRPr="00770FE3">
              <w:rPr>
                <w:rStyle w:val="Hyperlink"/>
                <w:noProof/>
                <w:lang w:val="en-GB"/>
              </w:rPr>
              <w:t>2.3.2.1 Protein Interaction</w:t>
            </w:r>
            <w:r w:rsidR="0028665F">
              <w:rPr>
                <w:noProof/>
                <w:webHidden/>
              </w:rPr>
              <w:tab/>
            </w:r>
            <w:r w:rsidR="0028665F">
              <w:rPr>
                <w:noProof/>
                <w:webHidden/>
              </w:rPr>
              <w:fldChar w:fldCharType="begin"/>
            </w:r>
            <w:r w:rsidR="0028665F">
              <w:rPr>
                <w:noProof/>
                <w:webHidden/>
              </w:rPr>
              <w:instrText xml:space="preserve"> PAGEREF _Toc3211353 \h </w:instrText>
            </w:r>
            <w:r w:rsidR="0028665F">
              <w:rPr>
                <w:noProof/>
                <w:webHidden/>
              </w:rPr>
            </w:r>
            <w:r w:rsidR="0028665F">
              <w:rPr>
                <w:noProof/>
                <w:webHidden/>
              </w:rPr>
              <w:fldChar w:fldCharType="separate"/>
            </w:r>
            <w:r w:rsidR="0028665F">
              <w:rPr>
                <w:noProof/>
                <w:webHidden/>
              </w:rPr>
              <w:t>47</w:t>
            </w:r>
            <w:r w:rsidR="0028665F">
              <w:rPr>
                <w:noProof/>
                <w:webHidden/>
              </w:rPr>
              <w:fldChar w:fldCharType="end"/>
            </w:r>
          </w:hyperlink>
        </w:p>
        <w:p w14:paraId="5BD5B894" w14:textId="193B395C" w:rsidR="0028665F" w:rsidRDefault="00C2072C">
          <w:pPr>
            <w:pStyle w:val="TOC4"/>
            <w:rPr>
              <w:rFonts w:asciiTheme="minorHAnsi" w:eastAsiaTheme="minorEastAsia" w:hAnsiTheme="minorHAnsi" w:cstheme="minorBidi"/>
              <w:noProof/>
              <w:sz w:val="24"/>
              <w:szCs w:val="24"/>
              <w:lang w:val="en-GB"/>
            </w:rPr>
          </w:pPr>
          <w:hyperlink w:anchor="_Toc3211354" w:history="1">
            <w:r w:rsidR="0028665F" w:rsidRPr="00770FE3">
              <w:rPr>
                <w:rStyle w:val="Hyperlink"/>
                <w:noProof/>
                <w:lang w:val="en-GB"/>
              </w:rPr>
              <w:t>2.3.2.2 Generating the Network</w:t>
            </w:r>
            <w:r w:rsidR="0028665F">
              <w:rPr>
                <w:noProof/>
                <w:webHidden/>
              </w:rPr>
              <w:tab/>
            </w:r>
            <w:r w:rsidR="0028665F">
              <w:rPr>
                <w:noProof/>
                <w:webHidden/>
              </w:rPr>
              <w:fldChar w:fldCharType="begin"/>
            </w:r>
            <w:r w:rsidR="0028665F">
              <w:rPr>
                <w:noProof/>
                <w:webHidden/>
              </w:rPr>
              <w:instrText xml:space="preserve"> PAGEREF _Toc3211354 \h </w:instrText>
            </w:r>
            <w:r w:rsidR="0028665F">
              <w:rPr>
                <w:noProof/>
                <w:webHidden/>
              </w:rPr>
            </w:r>
            <w:r w:rsidR="0028665F">
              <w:rPr>
                <w:noProof/>
                <w:webHidden/>
              </w:rPr>
              <w:fldChar w:fldCharType="separate"/>
            </w:r>
            <w:r w:rsidR="0028665F">
              <w:rPr>
                <w:noProof/>
                <w:webHidden/>
              </w:rPr>
              <w:t>47</w:t>
            </w:r>
            <w:r w:rsidR="0028665F">
              <w:rPr>
                <w:noProof/>
                <w:webHidden/>
              </w:rPr>
              <w:fldChar w:fldCharType="end"/>
            </w:r>
          </w:hyperlink>
        </w:p>
        <w:p w14:paraId="3116FEDA" w14:textId="3FE27B17" w:rsidR="0028665F" w:rsidRDefault="00C2072C">
          <w:pPr>
            <w:pStyle w:val="TOC4"/>
            <w:rPr>
              <w:rFonts w:asciiTheme="minorHAnsi" w:eastAsiaTheme="minorEastAsia" w:hAnsiTheme="minorHAnsi" w:cstheme="minorBidi"/>
              <w:noProof/>
              <w:sz w:val="24"/>
              <w:szCs w:val="24"/>
              <w:lang w:val="en-GB"/>
            </w:rPr>
          </w:pPr>
          <w:hyperlink w:anchor="_Toc3211355" w:history="1">
            <w:r w:rsidR="0028665F" w:rsidRPr="00770FE3">
              <w:rPr>
                <w:rStyle w:val="Hyperlink"/>
                <w:noProof/>
                <w:lang w:val="en-GB"/>
              </w:rPr>
              <w:t>2.3.2.3 Summary</w:t>
            </w:r>
            <w:r w:rsidR="0028665F">
              <w:rPr>
                <w:noProof/>
                <w:webHidden/>
              </w:rPr>
              <w:tab/>
            </w:r>
            <w:r w:rsidR="0028665F">
              <w:rPr>
                <w:noProof/>
                <w:webHidden/>
              </w:rPr>
              <w:fldChar w:fldCharType="begin"/>
            </w:r>
            <w:r w:rsidR="0028665F">
              <w:rPr>
                <w:noProof/>
                <w:webHidden/>
              </w:rPr>
              <w:instrText xml:space="preserve"> PAGEREF _Toc3211355 \h </w:instrText>
            </w:r>
            <w:r w:rsidR="0028665F">
              <w:rPr>
                <w:noProof/>
                <w:webHidden/>
              </w:rPr>
            </w:r>
            <w:r w:rsidR="0028665F">
              <w:rPr>
                <w:noProof/>
                <w:webHidden/>
              </w:rPr>
              <w:fldChar w:fldCharType="separate"/>
            </w:r>
            <w:r w:rsidR="0028665F">
              <w:rPr>
                <w:noProof/>
                <w:webHidden/>
              </w:rPr>
              <w:t>50</w:t>
            </w:r>
            <w:r w:rsidR="0028665F">
              <w:rPr>
                <w:noProof/>
                <w:webHidden/>
              </w:rPr>
              <w:fldChar w:fldCharType="end"/>
            </w:r>
          </w:hyperlink>
        </w:p>
        <w:p w14:paraId="5A3BB90D" w14:textId="68129C78" w:rsidR="0028665F" w:rsidRDefault="00C2072C">
          <w:pPr>
            <w:pStyle w:val="TOC3"/>
            <w:rPr>
              <w:rFonts w:asciiTheme="minorHAnsi" w:eastAsiaTheme="minorEastAsia" w:hAnsiTheme="minorHAnsi" w:cstheme="minorBidi"/>
              <w:noProof/>
              <w:sz w:val="24"/>
              <w:szCs w:val="24"/>
              <w:lang w:val="en-GB"/>
            </w:rPr>
          </w:pPr>
          <w:hyperlink w:anchor="_Toc3211356" w:history="1">
            <w:r w:rsidR="0028665F" w:rsidRPr="00770FE3">
              <w:rPr>
                <w:rStyle w:val="Hyperlink"/>
                <w:noProof/>
              </w:rPr>
              <w:t>2.3.3 Common Coexpression Module Generation</w:t>
            </w:r>
            <w:r w:rsidR="0028665F">
              <w:rPr>
                <w:noProof/>
                <w:webHidden/>
              </w:rPr>
              <w:tab/>
            </w:r>
            <w:r w:rsidR="0028665F">
              <w:rPr>
                <w:noProof/>
                <w:webHidden/>
              </w:rPr>
              <w:fldChar w:fldCharType="begin"/>
            </w:r>
            <w:r w:rsidR="0028665F">
              <w:rPr>
                <w:noProof/>
                <w:webHidden/>
              </w:rPr>
              <w:instrText xml:space="preserve"> PAGEREF _Toc3211356 \h </w:instrText>
            </w:r>
            <w:r w:rsidR="0028665F">
              <w:rPr>
                <w:noProof/>
                <w:webHidden/>
              </w:rPr>
            </w:r>
            <w:r w:rsidR="0028665F">
              <w:rPr>
                <w:noProof/>
                <w:webHidden/>
              </w:rPr>
              <w:fldChar w:fldCharType="separate"/>
            </w:r>
            <w:r w:rsidR="0028665F">
              <w:rPr>
                <w:noProof/>
                <w:webHidden/>
              </w:rPr>
              <w:t>51</w:t>
            </w:r>
            <w:r w:rsidR="0028665F">
              <w:rPr>
                <w:noProof/>
                <w:webHidden/>
              </w:rPr>
              <w:fldChar w:fldCharType="end"/>
            </w:r>
          </w:hyperlink>
        </w:p>
        <w:p w14:paraId="403708FB" w14:textId="39161AB4" w:rsidR="0028665F" w:rsidRDefault="00C2072C">
          <w:pPr>
            <w:pStyle w:val="TOC4"/>
            <w:rPr>
              <w:rFonts w:asciiTheme="minorHAnsi" w:eastAsiaTheme="minorEastAsia" w:hAnsiTheme="minorHAnsi" w:cstheme="minorBidi"/>
              <w:noProof/>
              <w:sz w:val="24"/>
              <w:szCs w:val="24"/>
              <w:lang w:val="en-GB"/>
            </w:rPr>
          </w:pPr>
          <w:hyperlink w:anchor="_Toc3211357" w:history="1">
            <w:r w:rsidR="0028665F" w:rsidRPr="00770FE3">
              <w:rPr>
                <w:rStyle w:val="Hyperlink"/>
                <w:noProof/>
                <w:lang w:val="en-GB"/>
              </w:rPr>
              <w:t>2.3.3.1 Selection of a Module Generation Methodology</w:t>
            </w:r>
            <w:r w:rsidR="0028665F">
              <w:rPr>
                <w:noProof/>
                <w:webHidden/>
              </w:rPr>
              <w:tab/>
            </w:r>
            <w:r w:rsidR="0028665F">
              <w:rPr>
                <w:noProof/>
                <w:webHidden/>
              </w:rPr>
              <w:fldChar w:fldCharType="begin"/>
            </w:r>
            <w:r w:rsidR="0028665F">
              <w:rPr>
                <w:noProof/>
                <w:webHidden/>
              </w:rPr>
              <w:instrText xml:space="preserve"> PAGEREF _Toc3211357 \h </w:instrText>
            </w:r>
            <w:r w:rsidR="0028665F">
              <w:rPr>
                <w:noProof/>
                <w:webHidden/>
              </w:rPr>
            </w:r>
            <w:r w:rsidR="0028665F">
              <w:rPr>
                <w:noProof/>
                <w:webHidden/>
              </w:rPr>
              <w:fldChar w:fldCharType="separate"/>
            </w:r>
            <w:r w:rsidR="0028665F">
              <w:rPr>
                <w:noProof/>
                <w:webHidden/>
              </w:rPr>
              <w:t>51</w:t>
            </w:r>
            <w:r w:rsidR="0028665F">
              <w:rPr>
                <w:noProof/>
                <w:webHidden/>
              </w:rPr>
              <w:fldChar w:fldCharType="end"/>
            </w:r>
          </w:hyperlink>
        </w:p>
        <w:p w14:paraId="1A60562F" w14:textId="5AEFE300" w:rsidR="0028665F" w:rsidRDefault="00C2072C">
          <w:pPr>
            <w:pStyle w:val="TOC4"/>
            <w:rPr>
              <w:rFonts w:asciiTheme="minorHAnsi" w:eastAsiaTheme="minorEastAsia" w:hAnsiTheme="minorHAnsi" w:cstheme="minorBidi"/>
              <w:noProof/>
              <w:sz w:val="24"/>
              <w:szCs w:val="24"/>
              <w:lang w:val="en-GB"/>
            </w:rPr>
          </w:pPr>
          <w:hyperlink w:anchor="_Toc3211358" w:history="1">
            <w:r w:rsidR="0028665F" w:rsidRPr="00770FE3">
              <w:rPr>
                <w:rStyle w:val="Hyperlink"/>
                <w:noProof/>
                <w:lang w:val="en-GB"/>
              </w:rPr>
              <w:t>2.3.3.2 Identification of a Common Coexpression Module</w:t>
            </w:r>
            <w:r w:rsidR="0028665F">
              <w:rPr>
                <w:noProof/>
                <w:webHidden/>
              </w:rPr>
              <w:tab/>
            </w:r>
            <w:r w:rsidR="0028665F">
              <w:rPr>
                <w:noProof/>
                <w:webHidden/>
              </w:rPr>
              <w:fldChar w:fldCharType="begin"/>
            </w:r>
            <w:r w:rsidR="0028665F">
              <w:rPr>
                <w:noProof/>
                <w:webHidden/>
              </w:rPr>
              <w:instrText xml:space="preserve"> PAGEREF _Toc3211358 \h </w:instrText>
            </w:r>
            <w:r w:rsidR="0028665F">
              <w:rPr>
                <w:noProof/>
                <w:webHidden/>
              </w:rPr>
            </w:r>
            <w:r w:rsidR="0028665F">
              <w:rPr>
                <w:noProof/>
                <w:webHidden/>
              </w:rPr>
              <w:fldChar w:fldCharType="separate"/>
            </w:r>
            <w:r w:rsidR="0028665F">
              <w:rPr>
                <w:noProof/>
                <w:webHidden/>
              </w:rPr>
              <w:t>52</w:t>
            </w:r>
            <w:r w:rsidR="0028665F">
              <w:rPr>
                <w:noProof/>
                <w:webHidden/>
              </w:rPr>
              <w:fldChar w:fldCharType="end"/>
            </w:r>
          </w:hyperlink>
        </w:p>
        <w:p w14:paraId="7CD70A1C" w14:textId="0ECD1DFB" w:rsidR="0028665F" w:rsidRDefault="00C2072C">
          <w:pPr>
            <w:pStyle w:val="TOC4"/>
            <w:rPr>
              <w:rFonts w:asciiTheme="minorHAnsi" w:eastAsiaTheme="minorEastAsia" w:hAnsiTheme="minorHAnsi" w:cstheme="minorBidi"/>
              <w:noProof/>
              <w:sz w:val="24"/>
              <w:szCs w:val="24"/>
              <w:lang w:val="en-GB"/>
            </w:rPr>
          </w:pPr>
          <w:hyperlink w:anchor="_Toc3211359" w:history="1">
            <w:r w:rsidR="0028665F" w:rsidRPr="00770FE3">
              <w:rPr>
                <w:rStyle w:val="Hyperlink"/>
                <w:noProof/>
                <w:lang w:val="en-GB"/>
              </w:rPr>
              <w:t>2.3.3.3 Functional Assessment of the Common Coexpression Module</w:t>
            </w:r>
            <w:r w:rsidR="0028665F">
              <w:rPr>
                <w:noProof/>
                <w:webHidden/>
              </w:rPr>
              <w:tab/>
            </w:r>
            <w:r w:rsidR="0028665F">
              <w:rPr>
                <w:noProof/>
                <w:webHidden/>
              </w:rPr>
              <w:fldChar w:fldCharType="begin"/>
            </w:r>
            <w:r w:rsidR="0028665F">
              <w:rPr>
                <w:noProof/>
                <w:webHidden/>
              </w:rPr>
              <w:instrText xml:space="preserve"> PAGEREF _Toc3211359 \h </w:instrText>
            </w:r>
            <w:r w:rsidR="0028665F">
              <w:rPr>
                <w:noProof/>
                <w:webHidden/>
              </w:rPr>
            </w:r>
            <w:r w:rsidR="0028665F">
              <w:rPr>
                <w:noProof/>
                <w:webHidden/>
              </w:rPr>
              <w:fldChar w:fldCharType="separate"/>
            </w:r>
            <w:r w:rsidR="0028665F">
              <w:rPr>
                <w:noProof/>
                <w:webHidden/>
              </w:rPr>
              <w:t>56</w:t>
            </w:r>
            <w:r w:rsidR="0028665F">
              <w:rPr>
                <w:noProof/>
                <w:webHidden/>
              </w:rPr>
              <w:fldChar w:fldCharType="end"/>
            </w:r>
          </w:hyperlink>
        </w:p>
        <w:p w14:paraId="60ABC77C" w14:textId="3E3AF572" w:rsidR="0028665F" w:rsidRDefault="00C2072C">
          <w:pPr>
            <w:pStyle w:val="TOC4"/>
            <w:rPr>
              <w:rFonts w:asciiTheme="minorHAnsi" w:eastAsiaTheme="minorEastAsia" w:hAnsiTheme="minorHAnsi" w:cstheme="minorBidi"/>
              <w:noProof/>
              <w:sz w:val="24"/>
              <w:szCs w:val="24"/>
              <w:lang w:val="en-GB"/>
            </w:rPr>
          </w:pPr>
          <w:hyperlink w:anchor="_Toc3211360" w:history="1">
            <w:r w:rsidR="0028665F" w:rsidRPr="00770FE3">
              <w:rPr>
                <w:rStyle w:val="Hyperlink"/>
                <w:noProof/>
                <w:lang w:val="en-GB"/>
              </w:rPr>
              <w:t>2.3.3.4 Enrichment of Disease-Associated Mutations in the Common Coexpression Module</w:t>
            </w:r>
            <w:r w:rsidR="0028665F">
              <w:rPr>
                <w:noProof/>
                <w:webHidden/>
              </w:rPr>
              <w:tab/>
            </w:r>
            <w:r w:rsidR="0028665F">
              <w:rPr>
                <w:noProof/>
                <w:webHidden/>
              </w:rPr>
              <w:fldChar w:fldCharType="begin"/>
            </w:r>
            <w:r w:rsidR="0028665F">
              <w:rPr>
                <w:noProof/>
                <w:webHidden/>
              </w:rPr>
              <w:instrText xml:space="preserve"> PAGEREF _Toc3211360 \h </w:instrText>
            </w:r>
            <w:r w:rsidR="0028665F">
              <w:rPr>
                <w:noProof/>
                <w:webHidden/>
              </w:rPr>
            </w:r>
            <w:r w:rsidR="0028665F">
              <w:rPr>
                <w:noProof/>
                <w:webHidden/>
              </w:rPr>
              <w:fldChar w:fldCharType="separate"/>
            </w:r>
            <w:r w:rsidR="0028665F">
              <w:rPr>
                <w:noProof/>
                <w:webHidden/>
              </w:rPr>
              <w:t>60</w:t>
            </w:r>
            <w:r w:rsidR="0028665F">
              <w:rPr>
                <w:noProof/>
                <w:webHidden/>
              </w:rPr>
              <w:fldChar w:fldCharType="end"/>
            </w:r>
          </w:hyperlink>
        </w:p>
        <w:p w14:paraId="3910CEDE" w14:textId="65164883" w:rsidR="0028665F" w:rsidRDefault="00C2072C">
          <w:pPr>
            <w:pStyle w:val="TOC4"/>
            <w:rPr>
              <w:rFonts w:asciiTheme="minorHAnsi" w:eastAsiaTheme="minorEastAsia" w:hAnsiTheme="minorHAnsi" w:cstheme="minorBidi"/>
              <w:noProof/>
              <w:sz w:val="24"/>
              <w:szCs w:val="24"/>
              <w:lang w:val="en-GB"/>
            </w:rPr>
          </w:pPr>
          <w:hyperlink w:anchor="_Toc3211361" w:history="1">
            <w:r w:rsidR="0028665F" w:rsidRPr="00770FE3">
              <w:rPr>
                <w:rStyle w:val="Hyperlink"/>
                <w:noProof/>
                <w:lang w:val="en-GB"/>
              </w:rPr>
              <w:t>2.3.3.5 Summary</w:t>
            </w:r>
            <w:r w:rsidR="0028665F">
              <w:rPr>
                <w:noProof/>
                <w:webHidden/>
              </w:rPr>
              <w:tab/>
            </w:r>
            <w:r w:rsidR="0028665F">
              <w:rPr>
                <w:noProof/>
                <w:webHidden/>
              </w:rPr>
              <w:fldChar w:fldCharType="begin"/>
            </w:r>
            <w:r w:rsidR="0028665F">
              <w:rPr>
                <w:noProof/>
                <w:webHidden/>
              </w:rPr>
              <w:instrText xml:space="preserve"> PAGEREF _Toc3211361 \h </w:instrText>
            </w:r>
            <w:r w:rsidR="0028665F">
              <w:rPr>
                <w:noProof/>
                <w:webHidden/>
              </w:rPr>
            </w:r>
            <w:r w:rsidR="0028665F">
              <w:rPr>
                <w:noProof/>
                <w:webHidden/>
              </w:rPr>
              <w:fldChar w:fldCharType="separate"/>
            </w:r>
            <w:r w:rsidR="0028665F">
              <w:rPr>
                <w:noProof/>
                <w:webHidden/>
              </w:rPr>
              <w:t>61</w:t>
            </w:r>
            <w:r w:rsidR="0028665F">
              <w:rPr>
                <w:noProof/>
                <w:webHidden/>
              </w:rPr>
              <w:fldChar w:fldCharType="end"/>
            </w:r>
          </w:hyperlink>
        </w:p>
        <w:p w14:paraId="54DCE6ED" w14:textId="5A0E64EE" w:rsidR="0028665F" w:rsidRDefault="00C2072C">
          <w:pPr>
            <w:pStyle w:val="TOC3"/>
            <w:rPr>
              <w:rFonts w:asciiTheme="minorHAnsi" w:eastAsiaTheme="minorEastAsia" w:hAnsiTheme="minorHAnsi" w:cstheme="minorBidi"/>
              <w:noProof/>
              <w:sz w:val="24"/>
              <w:szCs w:val="24"/>
              <w:lang w:val="en-GB"/>
            </w:rPr>
          </w:pPr>
          <w:hyperlink w:anchor="_Toc3211362" w:history="1">
            <w:r w:rsidR="0028665F" w:rsidRPr="00770FE3">
              <w:rPr>
                <w:rStyle w:val="Hyperlink"/>
                <w:noProof/>
              </w:rPr>
              <w:t>2.3.4 Target Prioritisation</w:t>
            </w:r>
            <w:r w:rsidR="0028665F">
              <w:rPr>
                <w:noProof/>
                <w:webHidden/>
              </w:rPr>
              <w:tab/>
            </w:r>
            <w:r w:rsidR="0028665F">
              <w:rPr>
                <w:noProof/>
                <w:webHidden/>
              </w:rPr>
              <w:fldChar w:fldCharType="begin"/>
            </w:r>
            <w:r w:rsidR="0028665F">
              <w:rPr>
                <w:noProof/>
                <w:webHidden/>
              </w:rPr>
              <w:instrText xml:space="preserve"> PAGEREF _Toc3211362 \h </w:instrText>
            </w:r>
            <w:r w:rsidR="0028665F">
              <w:rPr>
                <w:noProof/>
                <w:webHidden/>
              </w:rPr>
            </w:r>
            <w:r w:rsidR="0028665F">
              <w:rPr>
                <w:noProof/>
                <w:webHidden/>
              </w:rPr>
              <w:fldChar w:fldCharType="separate"/>
            </w:r>
            <w:r w:rsidR="0028665F">
              <w:rPr>
                <w:noProof/>
                <w:webHidden/>
              </w:rPr>
              <w:t>62</w:t>
            </w:r>
            <w:r w:rsidR="0028665F">
              <w:rPr>
                <w:noProof/>
                <w:webHidden/>
              </w:rPr>
              <w:fldChar w:fldCharType="end"/>
            </w:r>
          </w:hyperlink>
        </w:p>
        <w:p w14:paraId="3993E87E" w14:textId="34C942B9" w:rsidR="0028665F" w:rsidRDefault="00C2072C">
          <w:pPr>
            <w:pStyle w:val="TOC4"/>
            <w:rPr>
              <w:rFonts w:asciiTheme="minorHAnsi" w:eastAsiaTheme="minorEastAsia" w:hAnsiTheme="minorHAnsi" w:cstheme="minorBidi"/>
              <w:noProof/>
              <w:sz w:val="24"/>
              <w:szCs w:val="24"/>
              <w:lang w:val="en-GB"/>
            </w:rPr>
          </w:pPr>
          <w:hyperlink w:anchor="_Toc3211363" w:history="1">
            <w:r w:rsidR="0028665F" w:rsidRPr="00770FE3">
              <w:rPr>
                <w:rStyle w:val="Hyperlink"/>
                <w:noProof/>
                <w:lang w:val="en-GB"/>
              </w:rPr>
              <w:t>2.3.4.1 Genetic Score</w:t>
            </w:r>
            <w:r w:rsidR="0028665F">
              <w:rPr>
                <w:noProof/>
                <w:webHidden/>
              </w:rPr>
              <w:tab/>
            </w:r>
            <w:r w:rsidR="0028665F">
              <w:rPr>
                <w:noProof/>
                <w:webHidden/>
              </w:rPr>
              <w:fldChar w:fldCharType="begin"/>
            </w:r>
            <w:r w:rsidR="0028665F">
              <w:rPr>
                <w:noProof/>
                <w:webHidden/>
              </w:rPr>
              <w:instrText xml:space="preserve"> PAGEREF _Toc3211363 \h </w:instrText>
            </w:r>
            <w:r w:rsidR="0028665F">
              <w:rPr>
                <w:noProof/>
                <w:webHidden/>
              </w:rPr>
            </w:r>
            <w:r w:rsidR="0028665F">
              <w:rPr>
                <w:noProof/>
                <w:webHidden/>
              </w:rPr>
              <w:fldChar w:fldCharType="separate"/>
            </w:r>
            <w:r w:rsidR="0028665F">
              <w:rPr>
                <w:noProof/>
                <w:webHidden/>
              </w:rPr>
              <w:t>63</w:t>
            </w:r>
            <w:r w:rsidR="0028665F">
              <w:rPr>
                <w:noProof/>
                <w:webHidden/>
              </w:rPr>
              <w:fldChar w:fldCharType="end"/>
            </w:r>
          </w:hyperlink>
        </w:p>
        <w:p w14:paraId="7A4AEDCE" w14:textId="3B06034A" w:rsidR="0028665F" w:rsidRDefault="00C2072C">
          <w:pPr>
            <w:pStyle w:val="TOC4"/>
            <w:rPr>
              <w:rFonts w:asciiTheme="minorHAnsi" w:eastAsiaTheme="minorEastAsia" w:hAnsiTheme="minorHAnsi" w:cstheme="minorBidi"/>
              <w:noProof/>
              <w:sz w:val="24"/>
              <w:szCs w:val="24"/>
              <w:lang w:val="en-GB"/>
            </w:rPr>
          </w:pPr>
          <w:hyperlink w:anchor="_Toc3211364" w:history="1">
            <w:r w:rsidR="0028665F" w:rsidRPr="00770FE3">
              <w:rPr>
                <w:rStyle w:val="Hyperlink"/>
                <w:noProof/>
                <w:lang w:val="en-GB"/>
              </w:rPr>
              <w:t>2.3.4.2 Topological Score</w:t>
            </w:r>
            <w:r w:rsidR="0028665F">
              <w:rPr>
                <w:noProof/>
                <w:webHidden/>
              </w:rPr>
              <w:tab/>
            </w:r>
            <w:r w:rsidR="0028665F">
              <w:rPr>
                <w:noProof/>
                <w:webHidden/>
              </w:rPr>
              <w:fldChar w:fldCharType="begin"/>
            </w:r>
            <w:r w:rsidR="0028665F">
              <w:rPr>
                <w:noProof/>
                <w:webHidden/>
              </w:rPr>
              <w:instrText xml:space="preserve"> PAGEREF _Toc3211364 \h </w:instrText>
            </w:r>
            <w:r w:rsidR="0028665F">
              <w:rPr>
                <w:noProof/>
                <w:webHidden/>
              </w:rPr>
            </w:r>
            <w:r w:rsidR="0028665F">
              <w:rPr>
                <w:noProof/>
                <w:webHidden/>
              </w:rPr>
              <w:fldChar w:fldCharType="separate"/>
            </w:r>
            <w:r w:rsidR="0028665F">
              <w:rPr>
                <w:noProof/>
                <w:webHidden/>
              </w:rPr>
              <w:t>64</w:t>
            </w:r>
            <w:r w:rsidR="0028665F">
              <w:rPr>
                <w:noProof/>
                <w:webHidden/>
              </w:rPr>
              <w:fldChar w:fldCharType="end"/>
            </w:r>
          </w:hyperlink>
        </w:p>
        <w:p w14:paraId="2791F558" w14:textId="6509CA87" w:rsidR="0028665F" w:rsidRDefault="00C2072C">
          <w:pPr>
            <w:pStyle w:val="TOC4"/>
            <w:rPr>
              <w:rFonts w:asciiTheme="minorHAnsi" w:eastAsiaTheme="minorEastAsia" w:hAnsiTheme="minorHAnsi" w:cstheme="minorBidi"/>
              <w:noProof/>
              <w:sz w:val="24"/>
              <w:szCs w:val="24"/>
              <w:lang w:val="en-GB"/>
            </w:rPr>
          </w:pPr>
          <w:hyperlink w:anchor="_Toc3211365" w:history="1">
            <w:r w:rsidR="0028665F" w:rsidRPr="00770FE3">
              <w:rPr>
                <w:rStyle w:val="Hyperlink"/>
                <w:noProof/>
                <w:lang w:val="en-GB"/>
              </w:rPr>
              <w:t>2.3.4.3 Regulatory Score</w:t>
            </w:r>
            <w:r w:rsidR="0028665F">
              <w:rPr>
                <w:noProof/>
                <w:webHidden/>
              </w:rPr>
              <w:tab/>
            </w:r>
            <w:r w:rsidR="0028665F">
              <w:rPr>
                <w:noProof/>
                <w:webHidden/>
              </w:rPr>
              <w:fldChar w:fldCharType="begin"/>
            </w:r>
            <w:r w:rsidR="0028665F">
              <w:rPr>
                <w:noProof/>
                <w:webHidden/>
              </w:rPr>
              <w:instrText xml:space="preserve"> PAGEREF _Toc3211365 \h </w:instrText>
            </w:r>
            <w:r w:rsidR="0028665F">
              <w:rPr>
                <w:noProof/>
                <w:webHidden/>
              </w:rPr>
            </w:r>
            <w:r w:rsidR="0028665F">
              <w:rPr>
                <w:noProof/>
                <w:webHidden/>
              </w:rPr>
              <w:fldChar w:fldCharType="separate"/>
            </w:r>
            <w:r w:rsidR="0028665F">
              <w:rPr>
                <w:noProof/>
                <w:webHidden/>
              </w:rPr>
              <w:t>64</w:t>
            </w:r>
            <w:r w:rsidR="0028665F">
              <w:rPr>
                <w:noProof/>
                <w:webHidden/>
              </w:rPr>
              <w:fldChar w:fldCharType="end"/>
            </w:r>
          </w:hyperlink>
        </w:p>
        <w:p w14:paraId="257DEE0A" w14:textId="2A65BADC" w:rsidR="0028665F" w:rsidRDefault="00C2072C">
          <w:pPr>
            <w:pStyle w:val="TOC4"/>
            <w:rPr>
              <w:rFonts w:asciiTheme="minorHAnsi" w:eastAsiaTheme="minorEastAsia" w:hAnsiTheme="minorHAnsi" w:cstheme="minorBidi"/>
              <w:noProof/>
              <w:sz w:val="24"/>
              <w:szCs w:val="24"/>
              <w:lang w:val="en-GB"/>
            </w:rPr>
          </w:pPr>
          <w:hyperlink w:anchor="_Toc3211366" w:history="1">
            <w:r w:rsidR="0028665F" w:rsidRPr="00770FE3">
              <w:rPr>
                <w:rStyle w:val="Hyperlink"/>
                <w:noProof/>
                <w:lang w:val="en-GB"/>
              </w:rPr>
              <w:t>2.3.4.4 Consensus Score</w:t>
            </w:r>
            <w:r w:rsidR="0028665F">
              <w:rPr>
                <w:noProof/>
                <w:webHidden/>
              </w:rPr>
              <w:tab/>
            </w:r>
            <w:r w:rsidR="0028665F">
              <w:rPr>
                <w:noProof/>
                <w:webHidden/>
              </w:rPr>
              <w:fldChar w:fldCharType="begin"/>
            </w:r>
            <w:r w:rsidR="0028665F">
              <w:rPr>
                <w:noProof/>
                <w:webHidden/>
              </w:rPr>
              <w:instrText xml:space="preserve"> PAGEREF _Toc3211366 \h </w:instrText>
            </w:r>
            <w:r w:rsidR="0028665F">
              <w:rPr>
                <w:noProof/>
                <w:webHidden/>
              </w:rPr>
            </w:r>
            <w:r w:rsidR="0028665F">
              <w:rPr>
                <w:noProof/>
                <w:webHidden/>
              </w:rPr>
              <w:fldChar w:fldCharType="separate"/>
            </w:r>
            <w:r w:rsidR="0028665F">
              <w:rPr>
                <w:noProof/>
                <w:webHidden/>
              </w:rPr>
              <w:t>65</w:t>
            </w:r>
            <w:r w:rsidR="0028665F">
              <w:rPr>
                <w:noProof/>
                <w:webHidden/>
              </w:rPr>
              <w:fldChar w:fldCharType="end"/>
            </w:r>
          </w:hyperlink>
        </w:p>
        <w:p w14:paraId="6B21AA88" w14:textId="74A6D039" w:rsidR="0028665F" w:rsidRDefault="00C2072C">
          <w:pPr>
            <w:pStyle w:val="TOC4"/>
            <w:rPr>
              <w:rFonts w:asciiTheme="minorHAnsi" w:eastAsiaTheme="minorEastAsia" w:hAnsiTheme="minorHAnsi" w:cstheme="minorBidi"/>
              <w:noProof/>
              <w:sz w:val="24"/>
              <w:szCs w:val="24"/>
              <w:lang w:val="en-GB"/>
            </w:rPr>
          </w:pPr>
          <w:hyperlink w:anchor="_Toc3211367" w:history="1">
            <w:r w:rsidR="0028665F" w:rsidRPr="00770FE3">
              <w:rPr>
                <w:rStyle w:val="Hyperlink"/>
                <w:noProof/>
                <w:lang w:val="en-GB"/>
              </w:rPr>
              <w:t>2.3.4.5 Phenotype-Specific Score</w:t>
            </w:r>
            <w:r w:rsidR="0028665F">
              <w:rPr>
                <w:noProof/>
                <w:webHidden/>
              </w:rPr>
              <w:tab/>
            </w:r>
            <w:r w:rsidR="0028665F">
              <w:rPr>
                <w:noProof/>
                <w:webHidden/>
              </w:rPr>
              <w:fldChar w:fldCharType="begin"/>
            </w:r>
            <w:r w:rsidR="0028665F">
              <w:rPr>
                <w:noProof/>
                <w:webHidden/>
              </w:rPr>
              <w:instrText xml:space="preserve"> PAGEREF _Toc3211367 \h </w:instrText>
            </w:r>
            <w:r w:rsidR="0028665F">
              <w:rPr>
                <w:noProof/>
                <w:webHidden/>
              </w:rPr>
            </w:r>
            <w:r w:rsidR="0028665F">
              <w:rPr>
                <w:noProof/>
                <w:webHidden/>
              </w:rPr>
              <w:fldChar w:fldCharType="separate"/>
            </w:r>
            <w:r w:rsidR="0028665F">
              <w:rPr>
                <w:noProof/>
                <w:webHidden/>
              </w:rPr>
              <w:t>66</w:t>
            </w:r>
            <w:r w:rsidR="0028665F">
              <w:rPr>
                <w:noProof/>
                <w:webHidden/>
              </w:rPr>
              <w:fldChar w:fldCharType="end"/>
            </w:r>
          </w:hyperlink>
        </w:p>
        <w:p w14:paraId="05980664" w14:textId="504451E3" w:rsidR="0028665F" w:rsidRDefault="00C2072C">
          <w:pPr>
            <w:pStyle w:val="TOC4"/>
            <w:rPr>
              <w:rFonts w:asciiTheme="minorHAnsi" w:eastAsiaTheme="minorEastAsia" w:hAnsiTheme="minorHAnsi" w:cstheme="minorBidi"/>
              <w:noProof/>
              <w:sz w:val="24"/>
              <w:szCs w:val="24"/>
              <w:lang w:val="en-GB"/>
            </w:rPr>
          </w:pPr>
          <w:hyperlink w:anchor="_Toc3211368" w:history="1">
            <w:r w:rsidR="0028665F" w:rsidRPr="00770FE3">
              <w:rPr>
                <w:rStyle w:val="Hyperlink"/>
                <w:noProof/>
                <w:lang w:val="en-GB"/>
              </w:rPr>
              <w:t>2.3.4.6 Prioritisation Results</w:t>
            </w:r>
            <w:r w:rsidR="0028665F">
              <w:rPr>
                <w:noProof/>
                <w:webHidden/>
              </w:rPr>
              <w:tab/>
            </w:r>
            <w:r w:rsidR="0028665F">
              <w:rPr>
                <w:noProof/>
                <w:webHidden/>
              </w:rPr>
              <w:fldChar w:fldCharType="begin"/>
            </w:r>
            <w:r w:rsidR="0028665F">
              <w:rPr>
                <w:noProof/>
                <w:webHidden/>
              </w:rPr>
              <w:instrText xml:space="preserve"> PAGEREF _Toc3211368 \h </w:instrText>
            </w:r>
            <w:r w:rsidR="0028665F">
              <w:rPr>
                <w:noProof/>
                <w:webHidden/>
              </w:rPr>
            </w:r>
            <w:r w:rsidR="0028665F">
              <w:rPr>
                <w:noProof/>
                <w:webHidden/>
              </w:rPr>
              <w:fldChar w:fldCharType="separate"/>
            </w:r>
            <w:r w:rsidR="0028665F">
              <w:rPr>
                <w:noProof/>
                <w:webHidden/>
              </w:rPr>
              <w:t>66</w:t>
            </w:r>
            <w:r w:rsidR="0028665F">
              <w:rPr>
                <w:noProof/>
                <w:webHidden/>
              </w:rPr>
              <w:fldChar w:fldCharType="end"/>
            </w:r>
          </w:hyperlink>
        </w:p>
        <w:p w14:paraId="3439DBDB" w14:textId="58519153" w:rsidR="0028665F" w:rsidRDefault="00C2072C">
          <w:pPr>
            <w:pStyle w:val="TOC4"/>
            <w:rPr>
              <w:rFonts w:asciiTheme="minorHAnsi" w:eastAsiaTheme="minorEastAsia" w:hAnsiTheme="minorHAnsi" w:cstheme="minorBidi"/>
              <w:noProof/>
              <w:sz w:val="24"/>
              <w:szCs w:val="24"/>
              <w:lang w:val="en-GB"/>
            </w:rPr>
          </w:pPr>
          <w:hyperlink w:anchor="_Toc3211369" w:history="1">
            <w:r w:rsidR="0028665F" w:rsidRPr="00770FE3">
              <w:rPr>
                <w:rStyle w:val="Hyperlink"/>
                <w:noProof/>
                <w:lang w:val="en-GB"/>
              </w:rPr>
              <w:t>2.3.4.7 Summary</w:t>
            </w:r>
            <w:r w:rsidR="0028665F">
              <w:rPr>
                <w:noProof/>
                <w:webHidden/>
              </w:rPr>
              <w:tab/>
            </w:r>
            <w:r w:rsidR="0028665F">
              <w:rPr>
                <w:noProof/>
                <w:webHidden/>
              </w:rPr>
              <w:fldChar w:fldCharType="begin"/>
            </w:r>
            <w:r w:rsidR="0028665F">
              <w:rPr>
                <w:noProof/>
                <w:webHidden/>
              </w:rPr>
              <w:instrText xml:space="preserve"> PAGEREF _Toc3211369 \h </w:instrText>
            </w:r>
            <w:r w:rsidR="0028665F">
              <w:rPr>
                <w:noProof/>
                <w:webHidden/>
              </w:rPr>
            </w:r>
            <w:r w:rsidR="0028665F">
              <w:rPr>
                <w:noProof/>
                <w:webHidden/>
              </w:rPr>
              <w:fldChar w:fldCharType="separate"/>
            </w:r>
            <w:r w:rsidR="0028665F">
              <w:rPr>
                <w:noProof/>
                <w:webHidden/>
              </w:rPr>
              <w:t>68</w:t>
            </w:r>
            <w:r w:rsidR="0028665F">
              <w:rPr>
                <w:noProof/>
                <w:webHidden/>
              </w:rPr>
              <w:fldChar w:fldCharType="end"/>
            </w:r>
          </w:hyperlink>
        </w:p>
        <w:p w14:paraId="2AB43CDF" w14:textId="2DBEE593" w:rsidR="0028665F" w:rsidRDefault="00C2072C">
          <w:pPr>
            <w:pStyle w:val="TOC2"/>
            <w:rPr>
              <w:rFonts w:asciiTheme="minorHAnsi" w:eastAsiaTheme="minorEastAsia" w:hAnsiTheme="minorHAnsi" w:cstheme="minorBidi"/>
              <w:bCs w:val="0"/>
              <w:noProof/>
              <w:sz w:val="24"/>
              <w:szCs w:val="24"/>
              <w:lang w:val="en-GB"/>
            </w:rPr>
          </w:pPr>
          <w:hyperlink w:anchor="_Toc3211370" w:history="1">
            <w:r w:rsidR="0028665F" w:rsidRPr="00770FE3">
              <w:rPr>
                <w:rStyle w:val="Hyperlink"/>
                <w:noProof/>
              </w:rPr>
              <w:t>2.4 Target Validation in vitro</w:t>
            </w:r>
            <w:r w:rsidR="0028665F">
              <w:rPr>
                <w:noProof/>
                <w:webHidden/>
              </w:rPr>
              <w:tab/>
            </w:r>
            <w:r w:rsidR="0028665F">
              <w:rPr>
                <w:noProof/>
                <w:webHidden/>
              </w:rPr>
              <w:fldChar w:fldCharType="begin"/>
            </w:r>
            <w:r w:rsidR="0028665F">
              <w:rPr>
                <w:noProof/>
                <w:webHidden/>
              </w:rPr>
              <w:instrText xml:space="preserve"> PAGEREF _Toc3211370 \h </w:instrText>
            </w:r>
            <w:r w:rsidR="0028665F">
              <w:rPr>
                <w:noProof/>
                <w:webHidden/>
              </w:rPr>
            </w:r>
            <w:r w:rsidR="0028665F">
              <w:rPr>
                <w:noProof/>
                <w:webHidden/>
              </w:rPr>
              <w:fldChar w:fldCharType="separate"/>
            </w:r>
            <w:r w:rsidR="0028665F">
              <w:rPr>
                <w:noProof/>
                <w:webHidden/>
              </w:rPr>
              <w:t>69</w:t>
            </w:r>
            <w:r w:rsidR="0028665F">
              <w:rPr>
                <w:noProof/>
                <w:webHidden/>
              </w:rPr>
              <w:fldChar w:fldCharType="end"/>
            </w:r>
          </w:hyperlink>
        </w:p>
        <w:p w14:paraId="5F900875" w14:textId="4A0ADC47" w:rsidR="0028665F" w:rsidRDefault="00C2072C">
          <w:pPr>
            <w:pStyle w:val="TOC3"/>
            <w:rPr>
              <w:rFonts w:asciiTheme="minorHAnsi" w:eastAsiaTheme="minorEastAsia" w:hAnsiTheme="minorHAnsi" w:cstheme="minorBidi"/>
              <w:noProof/>
              <w:sz w:val="24"/>
              <w:szCs w:val="24"/>
              <w:lang w:val="en-GB"/>
            </w:rPr>
          </w:pPr>
          <w:hyperlink w:anchor="_Toc3211371" w:history="1">
            <w:r w:rsidR="0028665F" w:rsidRPr="00770FE3">
              <w:rPr>
                <w:rStyle w:val="Hyperlink"/>
                <w:noProof/>
              </w:rPr>
              <w:t>2.4.1 Introduction</w:t>
            </w:r>
            <w:r w:rsidR="0028665F">
              <w:rPr>
                <w:noProof/>
                <w:webHidden/>
              </w:rPr>
              <w:tab/>
            </w:r>
            <w:r w:rsidR="0028665F">
              <w:rPr>
                <w:noProof/>
                <w:webHidden/>
              </w:rPr>
              <w:fldChar w:fldCharType="begin"/>
            </w:r>
            <w:r w:rsidR="0028665F">
              <w:rPr>
                <w:noProof/>
                <w:webHidden/>
              </w:rPr>
              <w:instrText xml:space="preserve"> PAGEREF _Toc3211371 \h </w:instrText>
            </w:r>
            <w:r w:rsidR="0028665F">
              <w:rPr>
                <w:noProof/>
                <w:webHidden/>
              </w:rPr>
            </w:r>
            <w:r w:rsidR="0028665F">
              <w:rPr>
                <w:noProof/>
                <w:webHidden/>
              </w:rPr>
              <w:fldChar w:fldCharType="separate"/>
            </w:r>
            <w:r w:rsidR="0028665F">
              <w:rPr>
                <w:noProof/>
                <w:webHidden/>
              </w:rPr>
              <w:t>69</w:t>
            </w:r>
            <w:r w:rsidR="0028665F">
              <w:rPr>
                <w:noProof/>
                <w:webHidden/>
              </w:rPr>
              <w:fldChar w:fldCharType="end"/>
            </w:r>
          </w:hyperlink>
        </w:p>
        <w:p w14:paraId="33A15B5A" w14:textId="44E69DC9" w:rsidR="0028665F" w:rsidRDefault="00C2072C">
          <w:pPr>
            <w:pStyle w:val="TOC3"/>
            <w:rPr>
              <w:rFonts w:asciiTheme="minorHAnsi" w:eastAsiaTheme="minorEastAsia" w:hAnsiTheme="minorHAnsi" w:cstheme="minorBidi"/>
              <w:noProof/>
              <w:sz w:val="24"/>
              <w:szCs w:val="24"/>
              <w:lang w:val="en-GB"/>
            </w:rPr>
          </w:pPr>
          <w:hyperlink w:anchor="_Toc3211372" w:history="1">
            <w:r w:rsidR="0028665F" w:rsidRPr="00770FE3">
              <w:rPr>
                <w:rStyle w:val="Hyperlink"/>
                <w:noProof/>
              </w:rPr>
              <w:t>2.4.2 Methods</w:t>
            </w:r>
            <w:r w:rsidR="0028665F">
              <w:rPr>
                <w:noProof/>
                <w:webHidden/>
              </w:rPr>
              <w:tab/>
            </w:r>
            <w:r w:rsidR="0028665F">
              <w:rPr>
                <w:noProof/>
                <w:webHidden/>
              </w:rPr>
              <w:fldChar w:fldCharType="begin"/>
            </w:r>
            <w:r w:rsidR="0028665F">
              <w:rPr>
                <w:noProof/>
                <w:webHidden/>
              </w:rPr>
              <w:instrText xml:space="preserve"> PAGEREF _Toc3211372 \h </w:instrText>
            </w:r>
            <w:r w:rsidR="0028665F">
              <w:rPr>
                <w:noProof/>
                <w:webHidden/>
              </w:rPr>
            </w:r>
            <w:r w:rsidR="0028665F">
              <w:rPr>
                <w:noProof/>
                <w:webHidden/>
              </w:rPr>
              <w:fldChar w:fldCharType="separate"/>
            </w:r>
            <w:r w:rsidR="0028665F">
              <w:rPr>
                <w:noProof/>
                <w:webHidden/>
              </w:rPr>
              <w:t>70</w:t>
            </w:r>
            <w:r w:rsidR="0028665F">
              <w:rPr>
                <w:noProof/>
                <w:webHidden/>
              </w:rPr>
              <w:fldChar w:fldCharType="end"/>
            </w:r>
          </w:hyperlink>
        </w:p>
        <w:p w14:paraId="503A6648" w14:textId="2807020F" w:rsidR="0028665F" w:rsidRDefault="00C2072C">
          <w:pPr>
            <w:pStyle w:val="TOC4"/>
            <w:rPr>
              <w:rFonts w:asciiTheme="minorHAnsi" w:eastAsiaTheme="minorEastAsia" w:hAnsiTheme="minorHAnsi" w:cstheme="minorBidi"/>
              <w:noProof/>
              <w:sz w:val="24"/>
              <w:szCs w:val="24"/>
              <w:lang w:val="en-GB"/>
            </w:rPr>
          </w:pPr>
          <w:hyperlink w:anchor="_Toc3211373" w:history="1">
            <w:r w:rsidR="0028665F" w:rsidRPr="00770FE3">
              <w:rPr>
                <w:rStyle w:val="Hyperlink"/>
                <w:noProof/>
                <w:lang w:val="en-GB"/>
              </w:rPr>
              <w:t>2.4.2.1 Stem cell culture</w:t>
            </w:r>
            <w:r w:rsidR="0028665F">
              <w:rPr>
                <w:noProof/>
                <w:webHidden/>
              </w:rPr>
              <w:tab/>
            </w:r>
            <w:r w:rsidR="0028665F">
              <w:rPr>
                <w:noProof/>
                <w:webHidden/>
              </w:rPr>
              <w:fldChar w:fldCharType="begin"/>
            </w:r>
            <w:r w:rsidR="0028665F">
              <w:rPr>
                <w:noProof/>
                <w:webHidden/>
              </w:rPr>
              <w:instrText xml:space="preserve"> PAGEREF _Toc3211373 \h </w:instrText>
            </w:r>
            <w:r w:rsidR="0028665F">
              <w:rPr>
                <w:noProof/>
                <w:webHidden/>
              </w:rPr>
            </w:r>
            <w:r w:rsidR="0028665F">
              <w:rPr>
                <w:noProof/>
                <w:webHidden/>
              </w:rPr>
              <w:fldChar w:fldCharType="separate"/>
            </w:r>
            <w:r w:rsidR="0028665F">
              <w:rPr>
                <w:noProof/>
                <w:webHidden/>
              </w:rPr>
              <w:t>70</w:t>
            </w:r>
            <w:r w:rsidR="0028665F">
              <w:rPr>
                <w:noProof/>
                <w:webHidden/>
              </w:rPr>
              <w:fldChar w:fldCharType="end"/>
            </w:r>
          </w:hyperlink>
        </w:p>
        <w:p w14:paraId="6B72C925" w14:textId="1AF5A315" w:rsidR="0028665F" w:rsidRDefault="00C2072C">
          <w:pPr>
            <w:pStyle w:val="TOC4"/>
            <w:rPr>
              <w:rFonts w:asciiTheme="minorHAnsi" w:eastAsiaTheme="minorEastAsia" w:hAnsiTheme="minorHAnsi" w:cstheme="minorBidi"/>
              <w:noProof/>
              <w:sz w:val="24"/>
              <w:szCs w:val="24"/>
              <w:lang w:val="en-GB"/>
            </w:rPr>
          </w:pPr>
          <w:hyperlink w:anchor="_Toc3211374" w:history="1">
            <w:r w:rsidR="0028665F" w:rsidRPr="00770FE3">
              <w:rPr>
                <w:rStyle w:val="Hyperlink"/>
                <w:noProof/>
                <w:lang w:val="en-GB"/>
              </w:rPr>
              <w:t>2.4.2.2 Motor neuron differentiation</w:t>
            </w:r>
            <w:r w:rsidR="0028665F">
              <w:rPr>
                <w:noProof/>
                <w:webHidden/>
              </w:rPr>
              <w:tab/>
            </w:r>
            <w:r w:rsidR="0028665F">
              <w:rPr>
                <w:noProof/>
                <w:webHidden/>
              </w:rPr>
              <w:fldChar w:fldCharType="begin"/>
            </w:r>
            <w:r w:rsidR="0028665F">
              <w:rPr>
                <w:noProof/>
                <w:webHidden/>
              </w:rPr>
              <w:instrText xml:space="preserve"> PAGEREF _Toc3211374 \h </w:instrText>
            </w:r>
            <w:r w:rsidR="0028665F">
              <w:rPr>
                <w:noProof/>
                <w:webHidden/>
              </w:rPr>
            </w:r>
            <w:r w:rsidR="0028665F">
              <w:rPr>
                <w:noProof/>
                <w:webHidden/>
              </w:rPr>
              <w:fldChar w:fldCharType="separate"/>
            </w:r>
            <w:r w:rsidR="0028665F">
              <w:rPr>
                <w:noProof/>
                <w:webHidden/>
              </w:rPr>
              <w:t>70</w:t>
            </w:r>
            <w:r w:rsidR="0028665F">
              <w:rPr>
                <w:noProof/>
                <w:webHidden/>
              </w:rPr>
              <w:fldChar w:fldCharType="end"/>
            </w:r>
          </w:hyperlink>
        </w:p>
        <w:p w14:paraId="2D9B8D59" w14:textId="39FB2B1D" w:rsidR="0028665F" w:rsidRDefault="00C2072C">
          <w:pPr>
            <w:pStyle w:val="TOC4"/>
            <w:rPr>
              <w:rFonts w:asciiTheme="minorHAnsi" w:eastAsiaTheme="minorEastAsia" w:hAnsiTheme="minorHAnsi" w:cstheme="minorBidi"/>
              <w:noProof/>
              <w:sz w:val="24"/>
              <w:szCs w:val="24"/>
              <w:lang w:val="en-GB"/>
            </w:rPr>
          </w:pPr>
          <w:hyperlink w:anchor="_Toc3211375" w:history="1">
            <w:r w:rsidR="0028665F" w:rsidRPr="00770FE3">
              <w:rPr>
                <w:rStyle w:val="Hyperlink"/>
                <w:noProof/>
                <w:lang w:val="en-GB"/>
              </w:rPr>
              <w:t>2.4.2.3 shRNA Knockdown</w:t>
            </w:r>
            <w:r w:rsidR="0028665F">
              <w:rPr>
                <w:noProof/>
                <w:webHidden/>
              </w:rPr>
              <w:tab/>
            </w:r>
            <w:r w:rsidR="0028665F">
              <w:rPr>
                <w:noProof/>
                <w:webHidden/>
              </w:rPr>
              <w:fldChar w:fldCharType="begin"/>
            </w:r>
            <w:r w:rsidR="0028665F">
              <w:rPr>
                <w:noProof/>
                <w:webHidden/>
              </w:rPr>
              <w:instrText xml:space="preserve"> PAGEREF _Toc3211375 \h </w:instrText>
            </w:r>
            <w:r w:rsidR="0028665F">
              <w:rPr>
                <w:noProof/>
                <w:webHidden/>
              </w:rPr>
            </w:r>
            <w:r w:rsidR="0028665F">
              <w:rPr>
                <w:noProof/>
                <w:webHidden/>
              </w:rPr>
              <w:fldChar w:fldCharType="separate"/>
            </w:r>
            <w:r w:rsidR="0028665F">
              <w:rPr>
                <w:noProof/>
                <w:webHidden/>
              </w:rPr>
              <w:t>70</w:t>
            </w:r>
            <w:r w:rsidR="0028665F">
              <w:rPr>
                <w:noProof/>
                <w:webHidden/>
              </w:rPr>
              <w:fldChar w:fldCharType="end"/>
            </w:r>
          </w:hyperlink>
        </w:p>
        <w:p w14:paraId="438A6161" w14:textId="16731392" w:rsidR="0028665F" w:rsidRDefault="00C2072C">
          <w:pPr>
            <w:pStyle w:val="TOC4"/>
            <w:rPr>
              <w:rFonts w:asciiTheme="minorHAnsi" w:eastAsiaTheme="minorEastAsia" w:hAnsiTheme="minorHAnsi" w:cstheme="minorBidi"/>
              <w:noProof/>
              <w:sz w:val="24"/>
              <w:szCs w:val="24"/>
              <w:lang w:val="en-GB"/>
            </w:rPr>
          </w:pPr>
          <w:hyperlink w:anchor="_Toc3211376" w:history="1">
            <w:r w:rsidR="0028665F" w:rsidRPr="00770FE3">
              <w:rPr>
                <w:rStyle w:val="Hyperlink"/>
                <w:noProof/>
                <w:lang w:val="en-GB"/>
              </w:rPr>
              <w:t>2.4.2.4 Immunostaining</w:t>
            </w:r>
            <w:r w:rsidR="0028665F">
              <w:rPr>
                <w:noProof/>
                <w:webHidden/>
              </w:rPr>
              <w:tab/>
            </w:r>
            <w:r w:rsidR="0028665F">
              <w:rPr>
                <w:noProof/>
                <w:webHidden/>
              </w:rPr>
              <w:fldChar w:fldCharType="begin"/>
            </w:r>
            <w:r w:rsidR="0028665F">
              <w:rPr>
                <w:noProof/>
                <w:webHidden/>
              </w:rPr>
              <w:instrText xml:space="preserve"> PAGEREF _Toc3211376 \h </w:instrText>
            </w:r>
            <w:r w:rsidR="0028665F">
              <w:rPr>
                <w:noProof/>
                <w:webHidden/>
              </w:rPr>
            </w:r>
            <w:r w:rsidR="0028665F">
              <w:rPr>
                <w:noProof/>
                <w:webHidden/>
              </w:rPr>
              <w:fldChar w:fldCharType="separate"/>
            </w:r>
            <w:r w:rsidR="0028665F">
              <w:rPr>
                <w:noProof/>
                <w:webHidden/>
              </w:rPr>
              <w:t>71</w:t>
            </w:r>
            <w:r w:rsidR="0028665F">
              <w:rPr>
                <w:noProof/>
                <w:webHidden/>
              </w:rPr>
              <w:fldChar w:fldCharType="end"/>
            </w:r>
          </w:hyperlink>
        </w:p>
        <w:p w14:paraId="2EC69C1C" w14:textId="76B8414A" w:rsidR="0028665F" w:rsidRDefault="00C2072C">
          <w:pPr>
            <w:pStyle w:val="TOC3"/>
            <w:rPr>
              <w:rFonts w:asciiTheme="minorHAnsi" w:eastAsiaTheme="minorEastAsia" w:hAnsiTheme="minorHAnsi" w:cstheme="minorBidi"/>
              <w:noProof/>
              <w:sz w:val="24"/>
              <w:szCs w:val="24"/>
              <w:lang w:val="en-GB"/>
            </w:rPr>
          </w:pPr>
          <w:hyperlink w:anchor="_Toc3211377" w:history="1">
            <w:r w:rsidR="0028665F" w:rsidRPr="00770FE3">
              <w:rPr>
                <w:rStyle w:val="Hyperlink"/>
                <w:noProof/>
              </w:rPr>
              <w:t>2.4.3 Results</w:t>
            </w:r>
            <w:r w:rsidR="0028665F">
              <w:rPr>
                <w:noProof/>
                <w:webHidden/>
              </w:rPr>
              <w:tab/>
            </w:r>
            <w:r w:rsidR="0028665F">
              <w:rPr>
                <w:noProof/>
                <w:webHidden/>
              </w:rPr>
              <w:fldChar w:fldCharType="begin"/>
            </w:r>
            <w:r w:rsidR="0028665F">
              <w:rPr>
                <w:noProof/>
                <w:webHidden/>
              </w:rPr>
              <w:instrText xml:space="preserve"> PAGEREF _Toc3211377 \h </w:instrText>
            </w:r>
            <w:r w:rsidR="0028665F">
              <w:rPr>
                <w:noProof/>
                <w:webHidden/>
              </w:rPr>
            </w:r>
            <w:r w:rsidR="0028665F">
              <w:rPr>
                <w:noProof/>
                <w:webHidden/>
              </w:rPr>
              <w:fldChar w:fldCharType="separate"/>
            </w:r>
            <w:r w:rsidR="0028665F">
              <w:rPr>
                <w:noProof/>
                <w:webHidden/>
              </w:rPr>
              <w:t>72</w:t>
            </w:r>
            <w:r w:rsidR="0028665F">
              <w:rPr>
                <w:noProof/>
                <w:webHidden/>
              </w:rPr>
              <w:fldChar w:fldCharType="end"/>
            </w:r>
          </w:hyperlink>
        </w:p>
        <w:p w14:paraId="145F97CB" w14:textId="4C65F516" w:rsidR="0028665F" w:rsidRDefault="00C2072C">
          <w:pPr>
            <w:pStyle w:val="TOC4"/>
            <w:rPr>
              <w:rFonts w:asciiTheme="minorHAnsi" w:eastAsiaTheme="minorEastAsia" w:hAnsiTheme="minorHAnsi" w:cstheme="minorBidi"/>
              <w:noProof/>
              <w:sz w:val="24"/>
              <w:szCs w:val="24"/>
              <w:lang w:val="en-GB"/>
            </w:rPr>
          </w:pPr>
          <w:hyperlink w:anchor="_Toc3211378" w:history="1">
            <w:r w:rsidR="0028665F" w:rsidRPr="00770FE3">
              <w:rPr>
                <w:rStyle w:val="Hyperlink"/>
                <w:noProof/>
                <w:lang w:val="en-GB"/>
              </w:rPr>
              <w:t>2.4.3.1 No TDP-43 phenotype exhibited at Day 14</w:t>
            </w:r>
            <w:r w:rsidR="0028665F">
              <w:rPr>
                <w:noProof/>
                <w:webHidden/>
              </w:rPr>
              <w:tab/>
            </w:r>
            <w:r w:rsidR="0028665F">
              <w:rPr>
                <w:noProof/>
                <w:webHidden/>
              </w:rPr>
              <w:fldChar w:fldCharType="begin"/>
            </w:r>
            <w:r w:rsidR="0028665F">
              <w:rPr>
                <w:noProof/>
                <w:webHidden/>
              </w:rPr>
              <w:instrText xml:space="preserve"> PAGEREF _Toc3211378 \h </w:instrText>
            </w:r>
            <w:r w:rsidR="0028665F">
              <w:rPr>
                <w:noProof/>
                <w:webHidden/>
              </w:rPr>
            </w:r>
            <w:r w:rsidR="0028665F">
              <w:rPr>
                <w:noProof/>
                <w:webHidden/>
              </w:rPr>
              <w:fldChar w:fldCharType="separate"/>
            </w:r>
            <w:r w:rsidR="0028665F">
              <w:rPr>
                <w:noProof/>
                <w:webHidden/>
              </w:rPr>
              <w:t>72</w:t>
            </w:r>
            <w:r w:rsidR="0028665F">
              <w:rPr>
                <w:noProof/>
                <w:webHidden/>
              </w:rPr>
              <w:fldChar w:fldCharType="end"/>
            </w:r>
          </w:hyperlink>
        </w:p>
        <w:p w14:paraId="324F145F" w14:textId="2EB1AB3F" w:rsidR="0028665F" w:rsidRDefault="00C2072C">
          <w:pPr>
            <w:pStyle w:val="TOC4"/>
            <w:rPr>
              <w:rFonts w:asciiTheme="minorHAnsi" w:eastAsiaTheme="minorEastAsia" w:hAnsiTheme="minorHAnsi" w:cstheme="minorBidi"/>
              <w:noProof/>
              <w:sz w:val="24"/>
              <w:szCs w:val="24"/>
              <w:lang w:val="en-GB"/>
            </w:rPr>
          </w:pPr>
          <w:hyperlink w:anchor="_Toc3211379" w:history="1">
            <w:r w:rsidR="0028665F" w:rsidRPr="00770FE3">
              <w:rPr>
                <w:rStyle w:val="Hyperlink"/>
                <w:noProof/>
                <w:lang w:val="en-GB"/>
              </w:rPr>
              <w:t>2.4.3.2 TBK1 and DDX1 knockdown affects neuron health at Day 20</w:t>
            </w:r>
            <w:r w:rsidR="0028665F">
              <w:rPr>
                <w:noProof/>
                <w:webHidden/>
              </w:rPr>
              <w:tab/>
            </w:r>
            <w:r w:rsidR="0028665F">
              <w:rPr>
                <w:noProof/>
                <w:webHidden/>
              </w:rPr>
              <w:fldChar w:fldCharType="begin"/>
            </w:r>
            <w:r w:rsidR="0028665F">
              <w:rPr>
                <w:noProof/>
                <w:webHidden/>
              </w:rPr>
              <w:instrText xml:space="preserve"> PAGEREF _Toc3211379 \h </w:instrText>
            </w:r>
            <w:r w:rsidR="0028665F">
              <w:rPr>
                <w:noProof/>
                <w:webHidden/>
              </w:rPr>
            </w:r>
            <w:r w:rsidR="0028665F">
              <w:rPr>
                <w:noProof/>
                <w:webHidden/>
              </w:rPr>
              <w:fldChar w:fldCharType="separate"/>
            </w:r>
            <w:r w:rsidR="0028665F">
              <w:rPr>
                <w:noProof/>
                <w:webHidden/>
              </w:rPr>
              <w:t>73</w:t>
            </w:r>
            <w:r w:rsidR="0028665F">
              <w:rPr>
                <w:noProof/>
                <w:webHidden/>
              </w:rPr>
              <w:fldChar w:fldCharType="end"/>
            </w:r>
          </w:hyperlink>
        </w:p>
        <w:p w14:paraId="1ECD613F" w14:textId="7933EAE9" w:rsidR="0028665F" w:rsidRDefault="00C2072C">
          <w:pPr>
            <w:pStyle w:val="TOC4"/>
            <w:rPr>
              <w:rFonts w:asciiTheme="minorHAnsi" w:eastAsiaTheme="minorEastAsia" w:hAnsiTheme="minorHAnsi" w:cstheme="minorBidi"/>
              <w:noProof/>
              <w:sz w:val="24"/>
              <w:szCs w:val="24"/>
              <w:lang w:val="en-GB"/>
            </w:rPr>
          </w:pPr>
          <w:hyperlink w:anchor="_Toc3211380" w:history="1">
            <w:r w:rsidR="0028665F" w:rsidRPr="00770FE3">
              <w:rPr>
                <w:rStyle w:val="Hyperlink"/>
                <w:noProof/>
                <w:lang w:val="en-GB"/>
              </w:rPr>
              <w:t>2.4.3.3 YBX1 knockdown leads to diffusion of TDP-43 protein into cytoplasm at Day 20</w:t>
            </w:r>
            <w:r w:rsidR="0028665F">
              <w:rPr>
                <w:noProof/>
                <w:webHidden/>
              </w:rPr>
              <w:tab/>
            </w:r>
            <w:r w:rsidR="0028665F">
              <w:rPr>
                <w:noProof/>
                <w:webHidden/>
              </w:rPr>
              <w:fldChar w:fldCharType="begin"/>
            </w:r>
            <w:r w:rsidR="0028665F">
              <w:rPr>
                <w:noProof/>
                <w:webHidden/>
              </w:rPr>
              <w:instrText xml:space="preserve"> PAGEREF _Toc3211380 \h </w:instrText>
            </w:r>
            <w:r w:rsidR="0028665F">
              <w:rPr>
                <w:noProof/>
                <w:webHidden/>
              </w:rPr>
            </w:r>
            <w:r w:rsidR="0028665F">
              <w:rPr>
                <w:noProof/>
                <w:webHidden/>
              </w:rPr>
              <w:fldChar w:fldCharType="separate"/>
            </w:r>
            <w:r w:rsidR="0028665F">
              <w:rPr>
                <w:noProof/>
                <w:webHidden/>
              </w:rPr>
              <w:t>73</w:t>
            </w:r>
            <w:r w:rsidR="0028665F">
              <w:rPr>
                <w:noProof/>
                <w:webHidden/>
              </w:rPr>
              <w:fldChar w:fldCharType="end"/>
            </w:r>
          </w:hyperlink>
        </w:p>
        <w:p w14:paraId="48187478" w14:textId="4CFDE67E" w:rsidR="0028665F" w:rsidRDefault="00C2072C">
          <w:pPr>
            <w:pStyle w:val="TOC3"/>
            <w:rPr>
              <w:rFonts w:asciiTheme="minorHAnsi" w:eastAsiaTheme="minorEastAsia" w:hAnsiTheme="minorHAnsi" w:cstheme="minorBidi"/>
              <w:noProof/>
              <w:sz w:val="24"/>
              <w:szCs w:val="24"/>
              <w:lang w:val="en-GB"/>
            </w:rPr>
          </w:pPr>
          <w:hyperlink w:anchor="_Toc3211381" w:history="1">
            <w:r w:rsidR="0028665F" w:rsidRPr="00770FE3">
              <w:rPr>
                <w:rStyle w:val="Hyperlink"/>
                <w:noProof/>
              </w:rPr>
              <w:t>2.4.4 Summary</w:t>
            </w:r>
            <w:r w:rsidR="0028665F">
              <w:rPr>
                <w:noProof/>
                <w:webHidden/>
              </w:rPr>
              <w:tab/>
            </w:r>
            <w:r w:rsidR="0028665F">
              <w:rPr>
                <w:noProof/>
                <w:webHidden/>
              </w:rPr>
              <w:fldChar w:fldCharType="begin"/>
            </w:r>
            <w:r w:rsidR="0028665F">
              <w:rPr>
                <w:noProof/>
                <w:webHidden/>
              </w:rPr>
              <w:instrText xml:space="preserve"> PAGEREF _Toc3211381 \h </w:instrText>
            </w:r>
            <w:r w:rsidR="0028665F">
              <w:rPr>
                <w:noProof/>
                <w:webHidden/>
              </w:rPr>
            </w:r>
            <w:r w:rsidR="0028665F">
              <w:rPr>
                <w:noProof/>
                <w:webHidden/>
              </w:rPr>
              <w:fldChar w:fldCharType="separate"/>
            </w:r>
            <w:r w:rsidR="0028665F">
              <w:rPr>
                <w:noProof/>
                <w:webHidden/>
              </w:rPr>
              <w:t>75</w:t>
            </w:r>
            <w:r w:rsidR="0028665F">
              <w:rPr>
                <w:noProof/>
                <w:webHidden/>
              </w:rPr>
              <w:fldChar w:fldCharType="end"/>
            </w:r>
          </w:hyperlink>
        </w:p>
        <w:p w14:paraId="6D38FD7A" w14:textId="513952CD" w:rsidR="0028665F" w:rsidRDefault="00C2072C">
          <w:pPr>
            <w:pStyle w:val="TOC2"/>
            <w:rPr>
              <w:rFonts w:asciiTheme="minorHAnsi" w:eastAsiaTheme="minorEastAsia" w:hAnsiTheme="minorHAnsi" w:cstheme="minorBidi"/>
              <w:bCs w:val="0"/>
              <w:noProof/>
              <w:sz w:val="24"/>
              <w:szCs w:val="24"/>
              <w:lang w:val="en-GB"/>
            </w:rPr>
          </w:pPr>
          <w:hyperlink w:anchor="_Toc3211382" w:history="1">
            <w:r w:rsidR="0028665F" w:rsidRPr="00770FE3">
              <w:rPr>
                <w:rStyle w:val="Hyperlink"/>
                <w:noProof/>
              </w:rPr>
              <w:t>2.5 Discussion</w:t>
            </w:r>
            <w:r w:rsidR="0028665F">
              <w:rPr>
                <w:noProof/>
                <w:webHidden/>
              </w:rPr>
              <w:tab/>
            </w:r>
            <w:r w:rsidR="0028665F">
              <w:rPr>
                <w:noProof/>
                <w:webHidden/>
              </w:rPr>
              <w:fldChar w:fldCharType="begin"/>
            </w:r>
            <w:r w:rsidR="0028665F">
              <w:rPr>
                <w:noProof/>
                <w:webHidden/>
              </w:rPr>
              <w:instrText xml:space="preserve"> PAGEREF _Toc3211382 \h </w:instrText>
            </w:r>
            <w:r w:rsidR="0028665F">
              <w:rPr>
                <w:noProof/>
                <w:webHidden/>
              </w:rPr>
            </w:r>
            <w:r w:rsidR="0028665F">
              <w:rPr>
                <w:noProof/>
                <w:webHidden/>
              </w:rPr>
              <w:fldChar w:fldCharType="separate"/>
            </w:r>
            <w:r w:rsidR="0028665F">
              <w:rPr>
                <w:noProof/>
                <w:webHidden/>
              </w:rPr>
              <w:t>76</w:t>
            </w:r>
            <w:r w:rsidR="0028665F">
              <w:rPr>
                <w:noProof/>
                <w:webHidden/>
              </w:rPr>
              <w:fldChar w:fldCharType="end"/>
            </w:r>
          </w:hyperlink>
        </w:p>
        <w:p w14:paraId="3E612203" w14:textId="08420206" w:rsidR="0028665F" w:rsidRDefault="00C2072C">
          <w:pPr>
            <w:pStyle w:val="TOC1"/>
            <w:rPr>
              <w:rFonts w:asciiTheme="minorHAnsi" w:eastAsiaTheme="minorEastAsia" w:hAnsiTheme="minorHAnsi" w:cstheme="minorBidi"/>
              <w:b w:val="0"/>
              <w:bCs w:val="0"/>
              <w:iCs w:val="0"/>
              <w:noProof/>
              <w:lang w:val="en-GB"/>
            </w:rPr>
          </w:pPr>
          <w:hyperlink w:anchor="_Toc3211383" w:history="1">
            <w:r w:rsidR="0028665F" w:rsidRPr="00770FE3">
              <w:rPr>
                <w:rStyle w:val="Hyperlink"/>
                <w:noProof/>
                <w:color w:val="FFFFFF" w:themeColor="background1"/>
                <w:lang w:val="en-GB"/>
                <w14:textFill>
                  <w14:noFill/>
                </w14:textFill>
              </w:rPr>
              <w:t>2</w:t>
            </w:r>
            <w:r w:rsidR="0028665F" w:rsidRPr="00770FE3">
              <w:rPr>
                <w:rStyle w:val="Hyperlink"/>
                <w:noProof/>
                <w:lang w:val="en-GB"/>
              </w:rPr>
              <w:t>Chapter 3: Application to Sporadic and LRRK2 Parkinson’s Disease</w:t>
            </w:r>
            <w:r w:rsidR="0028665F">
              <w:rPr>
                <w:noProof/>
                <w:webHidden/>
              </w:rPr>
              <w:tab/>
            </w:r>
            <w:r w:rsidR="0028665F">
              <w:rPr>
                <w:noProof/>
                <w:webHidden/>
              </w:rPr>
              <w:fldChar w:fldCharType="begin"/>
            </w:r>
            <w:r w:rsidR="0028665F">
              <w:rPr>
                <w:noProof/>
                <w:webHidden/>
              </w:rPr>
              <w:instrText xml:space="preserve"> PAGEREF _Toc3211383 \h </w:instrText>
            </w:r>
            <w:r w:rsidR="0028665F">
              <w:rPr>
                <w:noProof/>
                <w:webHidden/>
              </w:rPr>
            </w:r>
            <w:r w:rsidR="0028665F">
              <w:rPr>
                <w:noProof/>
                <w:webHidden/>
              </w:rPr>
              <w:fldChar w:fldCharType="separate"/>
            </w:r>
            <w:r w:rsidR="0028665F">
              <w:rPr>
                <w:noProof/>
                <w:webHidden/>
              </w:rPr>
              <w:t>81</w:t>
            </w:r>
            <w:r w:rsidR="0028665F">
              <w:rPr>
                <w:noProof/>
                <w:webHidden/>
              </w:rPr>
              <w:fldChar w:fldCharType="end"/>
            </w:r>
          </w:hyperlink>
        </w:p>
        <w:p w14:paraId="2F62AE20" w14:textId="11E8C748" w:rsidR="0028665F" w:rsidRDefault="00C2072C">
          <w:pPr>
            <w:pStyle w:val="TOC2"/>
            <w:rPr>
              <w:rFonts w:asciiTheme="minorHAnsi" w:eastAsiaTheme="minorEastAsia" w:hAnsiTheme="minorHAnsi" w:cstheme="minorBidi"/>
              <w:bCs w:val="0"/>
              <w:noProof/>
              <w:sz w:val="24"/>
              <w:szCs w:val="24"/>
              <w:lang w:val="en-GB"/>
            </w:rPr>
          </w:pPr>
          <w:hyperlink w:anchor="_Toc3211384" w:history="1">
            <w:r w:rsidR="0028665F" w:rsidRPr="00770FE3">
              <w:rPr>
                <w:rStyle w:val="Hyperlink"/>
                <w:noProof/>
              </w:rPr>
              <w:t>2.6 Introduction</w:t>
            </w:r>
            <w:r w:rsidR="0028665F">
              <w:rPr>
                <w:noProof/>
                <w:webHidden/>
              </w:rPr>
              <w:tab/>
            </w:r>
            <w:r w:rsidR="0028665F">
              <w:rPr>
                <w:noProof/>
                <w:webHidden/>
              </w:rPr>
              <w:fldChar w:fldCharType="begin"/>
            </w:r>
            <w:r w:rsidR="0028665F">
              <w:rPr>
                <w:noProof/>
                <w:webHidden/>
              </w:rPr>
              <w:instrText xml:space="preserve"> PAGEREF _Toc3211384 \h </w:instrText>
            </w:r>
            <w:r w:rsidR="0028665F">
              <w:rPr>
                <w:noProof/>
                <w:webHidden/>
              </w:rPr>
            </w:r>
            <w:r w:rsidR="0028665F">
              <w:rPr>
                <w:noProof/>
                <w:webHidden/>
              </w:rPr>
              <w:fldChar w:fldCharType="separate"/>
            </w:r>
            <w:r w:rsidR="0028665F">
              <w:rPr>
                <w:noProof/>
                <w:webHidden/>
              </w:rPr>
              <w:t>81</w:t>
            </w:r>
            <w:r w:rsidR="0028665F">
              <w:rPr>
                <w:noProof/>
                <w:webHidden/>
              </w:rPr>
              <w:fldChar w:fldCharType="end"/>
            </w:r>
          </w:hyperlink>
        </w:p>
        <w:p w14:paraId="77BEBDB7" w14:textId="788EB3C7" w:rsidR="0028665F" w:rsidRDefault="00C2072C">
          <w:pPr>
            <w:pStyle w:val="TOC3"/>
            <w:rPr>
              <w:rFonts w:asciiTheme="minorHAnsi" w:eastAsiaTheme="minorEastAsia" w:hAnsiTheme="minorHAnsi" w:cstheme="minorBidi"/>
              <w:noProof/>
              <w:sz w:val="24"/>
              <w:szCs w:val="24"/>
              <w:lang w:val="en-GB"/>
            </w:rPr>
          </w:pPr>
          <w:hyperlink w:anchor="_Toc3211385" w:history="1">
            <w:r w:rsidR="0028665F" w:rsidRPr="00770FE3">
              <w:rPr>
                <w:rStyle w:val="Hyperlink"/>
                <w:noProof/>
              </w:rPr>
              <w:t>2.6.1 Parkinson’s Disease Overview</w:t>
            </w:r>
            <w:r w:rsidR="0028665F">
              <w:rPr>
                <w:noProof/>
                <w:webHidden/>
              </w:rPr>
              <w:tab/>
            </w:r>
            <w:r w:rsidR="0028665F">
              <w:rPr>
                <w:noProof/>
                <w:webHidden/>
              </w:rPr>
              <w:fldChar w:fldCharType="begin"/>
            </w:r>
            <w:r w:rsidR="0028665F">
              <w:rPr>
                <w:noProof/>
                <w:webHidden/>
              </w:rPr>
              <w:instrText xml:space="preserve"> PAGEREF _Toc3211385 \h </w:instrText>
            </w:r>
            <w:r w:rsidR="0028665F">
              <w:rPr>
                <w:noProof/>
                <w:webHidden/>
              </w:rPr>
            </w:r>
            <w:r w:rsidR="0028665F">
              <w:rPr>
                <w:noProof/>
                <w:webHidden/>
              </w:rPr>
              <w:fldChar w:fldCharType="separate"/>
            </w:r>
            <w:r w:rsidR="0028665F">
              <w:rPr>
                <w:noProof/>
                <w:webHidden/>
              </w:rPr>
              <w:t>81</w:t>
            </w:r>
            <w:r w:rsidR="0028665F">
              <w:rPr>
                <w:noProof/>
                <w:webHidden/>
              </w:rPr>
              <w:fldChar w:fldCharType="end"/>
            </w:r>
          </w:hyperlink>
        </w:p>
        <w:p w14:paraId="6B81093E" w14:textId="4C5BE68E" w:rsidR="0028665F" w:rsidRDefault="00C2072C">
          <w:pPr>
            <w:pStyle w:val="TOC3"/>
            <w:rPr>
              <w:rFonts w:asciiTheme="minorHAnsi" w:eastAsiaTheme="minorEastAsia" w:hAnsiTheme="minorHAnsi" w:cstheme="minorBidi"/>
              <w:noProof/>
              <w:sz w:val="24"/>
              <w:szCs w:val="24"/>
              <w:lang w:val="en-GB"/>
            </w:rPr>
          </w:pPr>
          <w:hyperlink w:anchor="_Toc3211386" w:history="1">
            <w:r w:rsidR="0028665F" w:rsidRPr="00770FE3">
              <w:rPr>
                <w:rStyle w:val="Hyperlink"/>
                <w:noProof/>
              </w:rPr>
              <w:t>2.6.2 Pathophysiology</w:t>
            </w:r>
            <w:r w:rsidR="0028665F">
              <w:rPr>
                <w:noProof/>
                <w:webHidden/>
              </w:rPr>
              <w:tab/>
            </w:r>
            <w:r w:rsidR="0028665F">
              <w:rPr>
                <w:noProof/>
                <w:webHidden/>
              </w:rPr>
              <w:fldChar w:fldCharType="begin"/>
            </w:r>
            <w:r w:rsidR="0028665F">
              <w:rPr>
                <w:noProof/>
                <w:webHidden/>
              </w:rPr>
              <w:instrText xml:space="preserve"> PAGEREF _Toc3211386 \h </w:instrText>
            </w:r>
            <w:r w:rsidR="0028665F">
              <w:rPr>
                <w:noProof/>
                <w:webHidden/>
              </w:rPr>
            </w:r>
            <w:r w:rsidR="0028665F">
              <w:rPr>
                <w:noProof/>
                <w:webHidden/>
              </w:rPr>
              <w:fldChar w:fldCharType="separate"/>
            </w:r>
            <w:r w:rsidR="0028665F">
              <w:rPr>
                <w:noProof/>
                <w:webHidden/>
              </w:rPr>
              <w:t>82</w:t>
            </w:r>
            <w:r w:rsidR="0028665F">
              <w:rPr>
                <w:noProof/>
                <w:webHidden/>
              </w:rPr>
              <w:fldChar w:fldCharType="end"/>
            </w:r>
          </w:hyperlink>
        </w:p>
        <w:p w14:paraId="504C81CA" w14:textId="5438A6EB" w:rsidR="0028665F" w:rsidRDefault="00C2072C">
          <w:pPr>
            <w:pStyle w:val="TOC4"/>
            <w:rPr>
              <w:rFonts w:asciiTheme="minorHAnsi" w:eastAsiaTheme="minorEastAsia" w:hAnsiTheme="minorHAnsi" w:cstheme="minorBidi"/>
              <w:noProof/>
              <w:sz w:val="24"/>
              <w:szCs w:val="24"/>
              <w:lang w:val="en-GB"/>
            </w:rPr>
          </w:pPr>
          <w:hyperlink w:anchor="_Toc3211387" w:history="1">
            <w:r w:rsidR="0028665F" w:rsidRPr="00770FE3">
              <w:rPr>
                <w:rStyle w:val="Hyperlink"/>
                <w:noProof/>
                <w:lang w:val="en-GB"/>
              </w:rPr>
              <w:t>2.6.2.1 The Ubiquitin-Proteasome System and Autophagy</w:t>
            </w:r>
            <w:r w:rsidR="0028665F">
              <w:rPr>
                <w:noProof/>
                <w:webHidden/>
              </w:rPr>
              <w:tab/>
            </w:r>
            <w:r w:rsidR="0028665F">
              <w:rPr>
                <w:noProof/>
                <w:webHidden/>
              </w:rPr>
              <w:fldChar w:fldCharType="begin"/>
            </w:r>
            <w:r w:rsidR="0028665F">
              <w:rPr>
                <w:noProof/>
                <w:webHidden/>
              </w:rPr>
              <w:instrText xml:space="preserve"> PAGEREF _Toc3211387 \h </w:instrText>
            </w:r>
            <w:r w:rsidR="0028665F">
              <w:rPr>
                <w:noProof/>
                <w:webHidden/>
              </w:rPr>
            </w:r>
            <w:r w:rsidR="0028665F">
              <w:rPr>
                <w:noProof/>
                <w:webHidden/>
              </w:rPr>
              <w:fldChar w:fldCharType="separate"/>
            </w:r>
            <w:r w:rsidR="0028665F">
              <w:rPr>
                <w:noProof/>
                <w:webHidden/>
              </w:rPr>
              <w:t>82</w:t>
            </w:r>
            <w:r w:rsidR="0028665F">
              <w:rPr>
                <w:noProof/>
                <w:webHidden/>
              </w:rPr>
              <w:fldChar w:fldCharType="end"/>
            </w:r>
          </w:hyperlink>
        </w:p>
        <w:p w14:paraId="221BFC60" w14:textId="7D009801" w:rsidR="0028665F" w:rsidRDefault="00C2072C">
          <w:pPr>
            <w:pStyle w:val="TOC4"/>
            <w:rPr>
              <w:rFonts w:asciiTheme="minorHAnsi" w:eastAsiaTheme="minorEastAsia" w:hAnsiTheme="minorHAnsi" w:cstheme="minorBidi"/>
              <w:noProof/>
              <w:sz w:val="24"/>
              <w:szCs w:val="24"/>
              <w:lang w:val="en-GB"/>
            </w:rPr>
          </w:pPr>
          <w:hyperlink w:anchor="_Toc3211388" w:history="1">
            <w:r w:rsidR="0028665F" w:rsidRPr="00770FE3">
              <w:rPr>
                <w:rStyle w:val="Hyperlink"/>
                <w:noProof/>
                <w:lang w:val="en-GB"/>
              </w:rPr>
              <w:t>2.6.2.2 Mitochondrial Dysfunction</w:t>
            </w:r>
            <w:r w:rsidR="0028665F">
              <w:rPr>
                <w:noProof/>
                <w:webHidden/>
              </w:rPr>
              <w:tab/>
            </w:r>
            <w:r w:rsidR="0028665F">
              <w:rPr>
                <w:noProof/>
                <w:webHidden/>
              </w:rPr>
              <w:fldChar w:fldCharType="begin"/>
            </w:r>
            <w:r w:rsidR="0028665F">
              <w:rPr>
                <w:noProof/>
                <w:webHidden/>
              </w:rPr>
              <w:instrText xml:space="preserve"> PAGEREF _Toc3211388 \h </w:instrText>
            </w:r>
            <w:r w:rsidR="0028665F">
              <w:rPr>
                <w:noProof/>
                <w:webHidden/>
              </w:rPr>
            </w:r>
            <w:r w:rsidR="0028665F">
              <w:rPr>
                <w:noProof/>
                <w:webHidden/>
              </w:rPr>
              <w:fldChar w:fldCharType="separate"/>
            </w:r>
            <w:r w:rsidR="0028665F">
              <w:rPr>
                <w:noProof/>
                <w:webHidden/>
              </w:rPr>
              <w:t>83</w:t>
            </w:r>
            <w:r w:rsidR="0028665F">
              <w:rPr>
                <w:noProof/>
                <w:webHidden/>
              </w:rPr>
              <w:fldChar w:fldCharType="end"/>
            </w:r>
          </w:hyperlink>
        </w:p>
        <w:p w14:paraId="26ADA81F" w14:textId="27DEE5BA" w:rsidR="0028665F" w:rsidRDefault="00C2072C">
          <w:pPr>
            <w:pStyle w:val="TOC3"/>
            <w:rPr>
              <w:rFonts w:asciiTheme="minorHAnsi" w:eastAsiaTheme="minorEastAsia" w:hAnsiTheme="minorHAnsi" w:cstheme="minorBidi"/>
              <w:noProof/>
              <w:sz w:val="24"/>
              <w:szCs w:val="24"/>
              <w:lang w:val="en-GB"/>
            </w:rPr>
          </w:pPr>
          <w:hyperlink w:anchor="_Toc3211389" w:history="1">
            <w:r w:rsidR="0028665F" w:rsidRPr="00770FE3">
              <w:rPr>
                <w:rStyle w:val="Hyperlink"/>
                <w:noProof/>
              </w:rPr>
              <w:t>2.6.3 Genetics</w:t>
            </w:r>
            <w:r w:rsidR="0028665F">
              <w:rPr>
                <w:noProof/>
                <w:webHidden/>
              </w:rPr>
              <w:tab/>
            </w:r>
            <w:r w:rsidR="0028665F">
              <w:rPr>
                <w:noProof/>
                <w:webHidden/>
              </w:rPr>
              <w:fldChar w:fldCharType="begin"/>
            </w:r>
            <w:r w:rsidR="0028665F">
              <w:rPr>
                <w:noProof/>
                <w:webHidden/>
              </w:rPr>
              <w:instrText xml:space="preserve"> PAGEREF _Toc3211389 \h </w:instrText>
            </w:r>
            <w:r w:rsidR="0028665F">
              <w:rPr>
                <w:noProof/>
                <w:webHidden/>
              </w:rPr>
            </w:r>
            <w:r w:rsidR="0028665F">
              <w:rPr>
                <w:noProof/>
                <w:webHidden/>
              </w:rPr>
              <w:fldChar w:fldCharType="separate"/>
            </w:r>
            <w:r w:rsidR="0028665F">
              <w:rPr>
                <w:noProof/>
                <w:webHidden/>
              </w:rPr>
              <w:t>84</w:t>
            </w:r>
            <w:r w:rsidR="0028665F">
              <w:rPr>
                <w:noProof/>
                <w:webHidden/>
              </w:rPr>
              <w:fldChar w:fldCharType="end"/>
            </w:r>
          </w:hyperlink>
        </w:p>
        <w:p w14:paraId="6F177E68" w14:textId="035B86FC" w:rsidR="0028665F" w:rsidRDefault="00C2072C">
          <w:pPr>
            <w:pStyle w:val="TOC4"/>
            <w:rPr>
              <w:rFonts w:asciiTheme="minorHAnsi" w:eastAsiaTheme="minorEastAsia" w:hAnsiTheme="minorHAnsi" w:cstheme="minorBidi"/>
              <w:noProof/>
              <w:sz w:val="24"/>
              <w:szCs w:val="24"/>
              <w:lang w:val="en-GB"/>
            </w:rPr>
          </w:pPr>
          <w:hyperlink w:anchor="_Toc3211390" w:history="1">
            <w:r w:rsidR="0028665F" w:rsidRPr="00770FE3">
              <w:rPr>
                <w:rStyle w:val="Hyperlink"/>
                <w:noProof/>
                <w:lang w:val="en-GB"/>
              </w:rPr>
              <w:t>2.6.3.1 SNCA (PARK1/PARK4)</w:t>
            </w:r>
            <w:r w:rsidR="0028665F">
              <w:rPr>
                <w:noProof/>
                <w:webHidden/>
              </w:rPr>
              <w:tab/>
            </w:r>
            <w:r w:rsidR="0028665F">
              <w:rPr>
                <w:noProof/>
                <w:webHidden/>
              </w:rPr>
              <w:fldChar w:fldCharType="begin"/>
            </w:r>
            <w:r w:rsidR="0028665F">
              <w:rPr>
                <w:noProof/>
                <w:webHidden/>
              </w:rPr>
              <w:instrText xml:space="preserve"> PAGEREF _Toc3211390 \h </w:instrText>
            </w:r>
            <w:r w:rsidR="0028665F">
              <w:rPr>
                <w:noProof/>
                <w:webHidden/>
              </w:rPr>
            </w:r>
            <w:r w:rsidR="0028665F">
              <w:rPr>
                <w:noProof/>
                <w:webHidden/>
              </w:rPr>
              <w:fldChar w:fldCharType="separate"/>
            </w:r>
            <w:r w:rsidR="0028665F">
              <w:rPr>
                <w:noProof/>
                <w:webHidden/>
              </w:rPr>
              <w:t>84</w:t>
            </w:r>
            <w:r w:rsidR="0028665F">
              <w:rPr>
                <w:noProof/>
                <w:webHidden/>
              </w:rPr>
              <w:fldChar w:fldCharType="end"/>
            </w:r>
          </w:hyperlink>
        </w:p>
        <w:p w14:paraId="7359511E" w14:textId="6999D9D3" w:rsidR="0028665F" w:rsidRDefault="00C2072C">
          <w:pPr>
            <w:pStyle w:val="TOC4"/>
            <w:rPr>
              <w:rFonts w:asciiTheme="minorHAnsi" w:eastAsiaTheme="minorEastAsia" w:hAnsiTheme="minorHAnsi" w:cstheme="minorBidi"/>
              <w:noProof/>
              <w:sz w:val="24"/>
              <w:szCs w:val="24"/>
              <w:lang w:val="en-GB"/>
            </w:rPr>
          </w:pPr>
          <w:hyperlink w:anchor="_Toc3211391" w:history="1">
            <w:r w:rsidR="0028665F" w:rsidRPr="00770FE3">
              <w:rPr>
                <w:rStyle w:val="Hyperlink"/>
                <w:noProof/>
                <w:lang w:val="en-GB"/>
              </w:rPr>
              <w:t>2.6.3.2 PRKN (PARK2)</w:t>
            </w:r>
            <w:r w:rsidR="0028665F">
              <w:rPr>
                <w:noProof/>
                <w:webHidden/>
              </w:rPr>
              <w:tab/>
            </w:r>
            <w:r w:rsidR="0028665F">
              <w:rPr>
                <w:noProof/>
                <w:webHidden/>
              </w:rPr>
              <w:fldChar w:fldCharType="begin"/>
            </w:r>
            <w:r w:rsidR="0028665F">
              <w:rPr>
                <w:noProof/>
                <w:webHidden/>
              </w:rPr>
              <w:instrText xml:space="preserve"> PAGEREF _Toc3211391 \h </w:instrText>
            </w:r>
            <w:r w:rsidR="0028665F">
              <w:rPr>
                <w:noProof/>
                <w:webHidden/>
              </w:rPr>
            </w:r>
            <w:r w:rsidR="0028665F">
              <w:rPr>
                <w:noProof/>
                <w:webHidden/>
              </w:rPr>
              <w:fldChar w:fldCharType="separate"/>
            </w:r>
            <w:r w:rsidR="0028665F">
              <w:rPr>
                <w:noProof/>
                <w:webHidden/>
              </w:rPr>
              <w:t>84</w:t>
            </w:r>
            <w:r w:rsidR="0028665F">
              <w:rPr>
                <w:noProof/>
                <w:webHidden/>
              </w:rPr>
              <w:fldChar w:fldCharType="end"/>
            </w:r>
          </w:hyperlink>
        </w:p>
        <w:p w14:paraId="4489D71F" w14:textId="313C44D0" w:rsidR="0028665F" w:rsidRDefault="00C2072C">
          <w:pPr>
            <w:pStyle w:val="TOC4"/>
            <w:rPr>
              <w:rFonts w:asciiTheme="minorHAnsi" w:eastAsiaTheme="minorEastAsia" w:hAnsiTheme="minorHAnsi" w:cstheme="minorBidi"/>
              <w:noProof/>
              <w:sz w:val="24"/>
              <w:szCs w:val="24"/>
              <w:lang w:val="en-GB"/>
            </w:rPr>
          </w:pPr>
          <w:hyperlink w:anchor="_Toc3211392" w:history="1">
            <w:r w:rsidR="0028665F" w:rsidRPr="00770FE3">
              <w:rPr>
                <w:rStyle w:val="Hyperlink"/>
                <w:noProof/>
                <w:lang w:val="en-GB"/>
              </w:rPr>
              <w:t>2.6.3.3 UCHL1 (PARK5)</w:t>
            </w:r>
            <w:r w:rsidR="0028665F">
              <w:rPr>
                <w:noProof/>
                <w:webHidden/>
              </w:rPr>
              <w:tab/>
            </w:r>
            <w:r w:rsidR="0028665F">
              <w:rPr>
                <w:noProof/>
                <w:webHidden/>
              </w:rPr>
              <w:fldChar w:fldCharType="begin"/>
            </w:r>
            <w:r w:rsidR="0028665F">
              <w:rPr>
                <w:noProof/>
                <w:webHidden/>
              </w:rPr>
              <w:instrText xml:space="preserve"> PAGEREF _Toc3211392 \h </w:instrText>
            </w:r>
            <w:r w:rsidR="0028665F">
              <w:rPr>
                <w:noProof/>
                <w:webHidden/>
              </w:rPr>
            </w:r>
            <w:r w:rsidR="0028665F">
              <w:rPr>
                <w:noProof/>
                <w:webHidden/>
              </w:rPr>
              <w:fldChar w:fldCharType="separate"/>
            </w:r>
            <w:r w:rsidR="0028665F">
              <w:rPr>
                <w:noProof/>
                <w:webHidden/>
              </w:rPr>
              <w:t>85</w:t>
            </w:r>
            <w:r w:rsidR="0028665F">
              <w:rPr>
                <w:noProof/>
                <w:webHidden/>
              </w:rPr>
              <w:fldChar w:fldCharType="end"/>
            </w:r>
          </w:hyperlink>
        </w:p>
        <w:p w14:paraId="770E9766" w14:textId="78764D26" w:rsidR="0028665F" w:rsidRDefault="00C2072C">
          <w:pPr>
            <w:pStyle w:val="TOC4"/>
            <w:rPr>
              <w:rFonts w:asciiTheme="minorHAnsi" w:eastAsiaTheme="minorEastAsia" w:hAnsiTheme="minorHAnsi" w:cstheme="minorBidi"/>
              <w:noProof/>
              <w:sz w:val="24"/>
              <w:szCs w:val="24"/>
              <w:lang w:val="en-GB"/>
            </w:rPr>
          </w:pPr>
          <w:hyperlink w:anchor="_Toc3211393" w:history="1">
            <w:r w:rsidR="0028665F" w:rsidRPr="00770FE3">
              <w:rPr>
                <w:rStyle w:val="Hyperlink"/>
                <w:noProof/>
                <w:lang w:val="en-GB"/>
              </w:rPr>
              <w:t>2.6.3.4 PINK1 (PARK6)</w:t>
            </w:r>
            <w:r w:rsidR="0028665F">
              <w:rPr>
                <w:noProof/>
                <w:webHidden/>
              </w:rPr>
              <w:tab/>
            </w:r>
            <w:r w:rsidR="0028665F">
              <w:rPr>
                <w:noProof/>
                <w:webHidden/>
              </w:rPr>
              <w:fldChar w:fldCharType="begin"/>
            </w:r>
            <w:r w:rsidR="0028665F">
              <w:rPr>
                <w:noProof/>
                <w:webHidden/>
              </w:rPr>
              <w:instrText xml:space="preserve"> PAGEREF _Toc3211393 \h </w:instrText>
            </w:r>
            <w:r w:rsidR="0028665F">
              <w:rPr>
                <w:noProof/>
                <w:webHidden/>
              </w:rPr>
            </w:r>
            <w:r w:rsidR="0028665F">
              <w:rPr>
                <w:noProof/>
                <w:webHidden/>
              </w:rPr>
              <w:fldChar w:fldCharType="separate"/>
            </w:r>
            <w:r w:rsidR="0028665F">
              <w:rPr>
                <w:noProof/>
                <w:webHidden/>
              </w:rPr>
              <w:t>85</w:t>
            </w:r>
            <w:r w:rsidR="0028665F">
              <w:rPr>
                <w:noProof/>
                <w:webHidden/>
              </w:rPr>
              <w:fldChar w:fldCharType="end"/>
            </w:r>
          </w:hyperlink>
        </w:p>
        <w:p w14:paraId="05D32DC7" w14:textId="3875F55E" w:rsidR="0028665F" w:rsidRDefault="00C2072C">
          <w:pPr>
            <w:pStyle w:val="TOC4"/>
            <w:rPr>
              <w:rFonts w:asciiTheme="minorHAnsi" w:eastAsiaTheme="minorEastAsia" w:hAnsiTheme="minorHAnsi" w:cstheme="minorBidi"/>
              <w:noProof/>
              <w:sz w:val="24"/>
              <w:szCs w:val="24"/>
              <w:lang w:val="en-GB"/>
            </w:rPr>
          </w:pPr>
          <w:hyperlink w:anchor="_Toc3211394" w:history="1">
            <w:r w:rsidR="0028665F" w:rsidRPr="00770FE3">
              <w:rPr>
                <w:rStyle w:val="Hyperlink"/>
                <w:noProof/>
                <w:lang w:val="en-GB"/>
              </w:rPr>
              <w:t>2.6.3.5 DJ-1 (PARK7)</w:t>
            </w:r>
            <w:r w:rsidR="0028665F">
              <w:rPr>
                <w:noProof/>
                <w:webHidden/>
              </w:rPr>
              <w:tab/>
            </w:r>
            <w:r w:rsidR="0028665F">
              <w:rPr>
                <w:noProof/>
                <w:webHidden/>
              </w:rPr>
              <w:fldChar w:fldCharType="begin"/>
            </w:r>
            <w:r w:rsidR="0028665F">
              <w:rPr>
                <w:noProof/>
                <w:webHidden/>
              </w:rPr>
              <w:instrText xml:space="preserve"> PAGEREF _Toc3211394 \h </w:instrText>
            </w:r>
            <w:r w:rsidR="0028665F">
              <w:rPr>
                <w:noProof/>
                <w:webHidden/>
              </w:rPr>
            </w:r>
            <w:r w:rsidR="0028665F">
              <w:rPr>
                <w:noProof/>
                <w:webHidden/>
              </w:rPr>
              <w:fldChar w:fldCharType="separate"/>
            </w:r>
            <w:r w:rsidR="0028665F">
              <w:rPr>
                <w:noProof/>
                <w:webHidden/>
              </w:rPr>
              <w:t>85</w:t>
            </w:r>
            <w:r w:rsidR="0028665F">
              <w:rPr>
                <w:noProof/>
                <w:webHidden/>
              </w:rPr>
              <w:fldChar w:fldCharType="end"/>
            </w:r>
          </w:hyperlink>
        </w:p>
        <w:p w14:paraId="118FD961" w14:textId="7DEA1153" w:rsidR="0028665F" w:rsidRDefault="00C2072C">
          <w:pPr>
            <w:pStyle w:val="TOC4"/>
            <w:rPr>
              <w:rFonts w:asciiTheme="minorHAnsi" w:eastAsiaTheme="minorEastAsia" w:hAnsiTheme="minorHAnsi" w:cstheme="minorBidi"/>
              <w:noProof/>
              <w:sz w:val="24"/>
              <w:szCs w:val="24"/>
              <w:lang w:val="en-GB"/>
            </w:rPr>
          </w:pPr>
          <w:hyperlink w:anchor="_Toc3211395" w:history="1">
            <w:r w:rsidR="0028665F" w:rsidRPr="00770FE3">
              <w:rPr>
                <w:rStyle w:val="Hyperlink"/>
                <w:noProof/>
                <w:lang w:val="en-GB"/>
              </w:rPr>
              <w:t>2.6.3.6 LRRK2 (PARK8)</w:t>
            </w:r>
            <w:r w:rsidR="0028665F">
              <w:rPr>
                <w:noProof/>
                <w:webHidden/>
              </w:rPr>
              <w:tab/>
            </w:r>
            <w:r w:rsidR="0028665F">
              <w:rPr>
                <w:noProof/>
                <w:webHidden/>
              </w:rPr>
              <w:fldChar w:fldCharType="begin"/>
            </w:r>
            <w:r w:rsidR="0028665F">
              <w:rPr>
                <w:noProof/>
                <w:webHidden/>
              </w:rPr>
              <w:instrText xml:space="preserve"> PAGEREF _Toc3211395 \h </w:instrText>
            </w:r>
            <w:r w:rsidR="0028665F">
              <w:rPr>
                <w:noProof/>
                <w:webHidden/>
              </w:rPr>
            </w:r>
            <w:r w:rsidR="0028665F">
              <w:rPr>
                <w:noProof/>
                <w:webHidden/>
              </w:rPr>
              <w:fldChar w:fldCharType="separate"/>
            </w:r>
            <w:r w:rsidR="0028665F">
              <w:rPr>
                <w:noProof/>
                <w:webHidden/>
              </w:rPr>
              <w:t>85</w:t>
            </w:r>
            <w:r w:rsidR="0028665F">
              <w:rPr>
                <w:noProof/>
                <w:webHidden/>
              </w:rPr>
              <w:fldChar w:fldCharType="end"/>
            </w:r>
          </w:hyperlink>
        </w:p>
        <w:p w14:paraId="5693068C" w14:textId="03B1ABCA" w:rsidR="0028665F" w:rsidRDefault="00C2072C">
          <w:pPr>
            <w:pStyle w:val="TOC4"/>
            <w:rPr>
              <w:rFonts w:asciiTheme="minorHAnsi" w:eastAsiaTheme="minorEastAsia" w:hAnsiTheme="minorHAnsi" w:cstheme="minorBidi"/>
              <w:noProof/>
              <w:sz w:val="24"/>
              <w:szCs w:val="24"/>
              <w:lang w:val="en-GB"/>
            </w:rPr>
          </w:pPr>
          <w:hyperlink w:anchor="_Toc3211396" w:history="1">
            <w:r w:rsidR="0028665F" w:rsidRPr="00770FE3">
              <w:rPr>
                <w:rStyle w:val="Hyperlink"/>
                <w:noProof/>
                <w:lang w:val="en-GB"/>
              </w:rPr>
              <w:t>2.6.3.7 ATP13A2 (PARK9)</w:t>
            </w:r>
            <w:r w:rsidR="0028665F">
              <w:rPr>
                <w:noProof/>
                <w:webHidden/>
              </w:rPr>
              <w:tab/>
            </w:r>
            <w:r w:rsidR="0028665F">
              <w:rPr>
                <w:noProof/>
                <w:webHidden/>
              </w:rPr>
              <w:fldChar w:fldCharType="begin"/>
            </w:r>
            <w:r w:rsidR="0028665F">
              <w:rPr>
                <w:noProof/>
                <w:webHidden/>
              </w:rPr>
              <w:instrText xml:space="preserve"> PAGEREF _Toc3211396 \h </w:instrText>
            </w:r>
            <w:r w:rsidR="0028665F">
              <w:rPr>
                <w:noProof/>
                <w:webHidden/>
              </w:rPr>
            </w:r>
            <w:r w:rsidR="0028665F">
              <w:rPr>
                <w:noProof/>
                <w:webHidden/>
              </w:rPr>
              <w:fldChar w:fldCharType="separate"/>
            </w:r>
            <w:r w:rsidR="0028665F">
              <w:rPr>
                <w:noProof/>
                <w:webHidden/>
              </w:rPr>
              <w:t>86</w:t>
            </w:r>
            <w:r w:rsidR="0028665F">
              <w:rPr>
                <w:noProof/>
                <w:webHidden/>
              </w:rPr>
              <w:fldChar w:fldCharType="end"/>
            </w:r>
          </w:hyperlink>
        </w:p>
        <w:p w14:paraId="616F1E6C" w14:textId="24251886" w:rsidR="0028665F" w:rsidRDefault="00C2072C">
          <w:pPr>
            <w:pStyle w:val="TOC4"/>
            <w:rPr>
              <w:rFonts w:asciiTheme="minorHAnsi" w:eastAsiaTheme="minorEastAsia" w:hAnsiTheme="minorHAnsi" w:cstheme="minorBidi"/>
              <w:noProof/>
              <w:sz w:val="24"/>
              <w:szCs w:val="24"/>
              <w:lang w:val="en-GB"/>
            </w:rPr>
          </w:pPr>
          <w:hyperlink w:anchor="_Toc3211397" w:history="1">
            <w:r w:rsidR="0028665F" w:rsidRPr="00770FE3">
              <w:rPr>
                <w:rStyle w:val="Hyperlink"/>
                <w:noProof/>
                <w:lang w:val="en-GB"/>
              </w:rPr>
              <w:t>2.6.3.8 VPS35 (PARK17)</w:t>
            </w:r>
            <w:r w:rsidR="0028665F">
              <w:rPr>
                <w:noProof/>
                <w:webHidden/>
              </w:rPr>
              <w:tab/>
            </w:r>
            <w:r w:rsidR="0028665F">
              <w:rPr>
                <w:noProof/>
                <w:webHidden/>
              </w:rPr>
              <w:fldChar w:fldCharType="begin"/>
            </w:r>
            <w:r w:rsidR="0028665F">
              <w:rPr>
                <w:noProof/>
                <w:webHidden/>
              </w:rPr>
              <w:instrText xml:space="preserve"> PAGEREF _Toc3211397 \h </w:instrText>
            </w:r>
            <w:r w:rsidR="0028665F">
              <w:rPr>
                <w:noProof/>
                <w:webHidden/>
              </w:rPr>
            </w:r>
            <w:r w:rsidR="0028665F">
              <w:rPr>
                <w:noProof/>
                <w:webHidden/>
              </w:rPr>
              <w:fldChar w:fldCharType="separate"/>
            </w:r>
            <w:r w:rsidR="0028665F">
              <w:rPr>
                <w:noProof/>
                <w:webHidden/>
              </w:rPr>
              <w:t>86</w:t>
            </w:r>
            <w:r w:rsidR="0028665F">
              <w:rPr>
                <w:noProof/>
                <w:webHidden/>
              </w:rPr>
              <w:fldChar w:fldCharType="end"/>
            </w:r>
          </w:hyperlink>
        </w:p>
        <w:p w14:paraId="7EEEEED8" w14:textId="4D8AF068" w:rsidR="0028665F" w:rsidRDefault="00C2072C">
          <w:pPr>
            <w:pStyle w:val="TOC3"/>
            <w:rPr>
              <w:rFonts w:asciiTheme="minorHAnsi" w:eastAsiaTheme="minorEastAsia" w:hAnsiTheme="minorHAnsi" w:cstheme="minorBidi"/>
              <w:noProof/>
              <w:sz w:val="24"/>
              <w:szCs w:val="24"/>
              <w:lang w:val="en-GB"/>
            </w:rPr>
          </w:pPr>
          <w:hyperlink w:anchor="_Toc3211398" w:history="1">
            <w:r w:rsidR="0028665F" w:rsidRPr="00770FE3">
              <w:rPr>
                <w:rStyle w:val="Hyperlink"/>
                <w:noProof/>
              </w:rPr>
              <w:t>2.6.4 Similarities between LRRK2 and Sporadic PD</w:t>
            </w:r>
            <w:r w:rsidR="0028665F">
              <w:rPr>
                <w:noProof/>
                <w:webHidden/>
              </w:rPr>
              <w:tab/>
            </w:r>
            <w:r w:rsidR="0028665F">
              <w:rPr>
                <w:noProof/>
                <w:webHidden/>
              </w:rPr>
              <w:fldChar w:fldCharType="begin"/>
            </w:r>
            <w:r w:rsidR="0028665F">
              <w:rPr>
                <w:noProof/>
                <w:webHidden/>
              </w:rPr>
              <w:instrText xml:space="preserve"> PAGEREF _Toc3211398 \h </w:instrText>
            </w:r>
            <w:r w:rsidR="0028665F">
              <w:rPr>
                <w:noProof/>
                <w:webHidden/>
              </w:rPr>
            </w:r>
            <w:r w:rsidR="0028665F">
              <w:rPr>
                <w:noProof/>
                <w:webHidden/>
              </w:rPr>
              <w:fldChar w:fldCharType="separate"/>
            </w:r>
            <w:r w:rsidR="0028665F">
              <w:rPr>
                <w:noProof/>
                <w:webHidden/>
              </w:rPr>
              <w:t>86</w:t>
            </w:r>
            <w:r w:rsidR="0028665F">
              <w:rPr>
                <w:noProof/>
                <w:webHidden/>
              </w:rPr>
              <w:fldChar w:fldCharType="end"/>
            </w:r>
          </w:hyperlink>
        </w:p>
        <w:p w14:paraId="2F4DDDF7" w14:textId="178DD594" w:rsidR="0028665F" w:rsidRDefault="00C2072C">
          <w:pPr>
            <w:pStyle w:val="TOC3"/>
            <w:rPr>
              <w:rFonts w:asciiTheme="minorHAnsi" w:eastAsiaTheme="minorEastAsia" w:hAnsiTheme="minorHAnsi" w:cstheme="minorBidi"/>
              <w:noProof/>
              <w:sz w:val="24"/>
              <w:szCs w:val="24"/>
              <w:lang w:val="en-GB"/>
            </w:rPr>
          </w:pPr>
          <w:hyperlink w:anchor="_Toc3211399" w:history="1">
            <w:r w:rsidR="0028665F" w:rsidRPr="00770FE3">
              <w:rPr>
                <w:rStyle w:val="Hyperlink"/>
                <w:noProof/>
              </w:rPr>
              <w:t>2.6.5 Developing a LRRK2/Sporadic PD Signature</w:t>
            </w:r>
            <w:r w:rsidR="0028665F">
              <w:rPr>
                <w:noProof/>
                <w:webHidden/>
              </w:rPr>
              <w:tab/>
            </w:r>
            <w:r w:rsidR="0028665F">
              <w:rPr>
                <w:noProof/>
                <w:webHidden/>
              </w:rPr>
              <w:fldChar w:fldCharType="begin"/>
            </w:r>
            <w:r w:rsidR="0028665F">
              <w:rPr>
                <w:noProof/>
                <w:webHidden/>
              </w:rPr>
              <w:instrText xml:space="preserve"> PAGEREF _Toc3211399 \h </w:instrText>
            </w:r>
            <w:r w:rsidR="0028665F">
              <w:rPr>
                <w:noProof/>
                <w:webHidden/>
              </w:rPr>
            </w:r>
            <w:r w:rsidR="0028665F">
              <w:rPr>
                <w:noProof/>
                <w:webHidden/>
              </w:rPr>
              <w:fldChar w:fldCharType="separate"/>
            </w:r>
            <w:r w:rsidR="0028665F">
              <w:rPr>
                <w:noProof/>
                <w:webHidden/>
              </w:rPr>
              <w:t>87</w:t>
            </w:r>
            <w:r w:rsidR="0028665F">
              <w:rPr>
                <w:noProof/>
                <w:webHidden/>
              </w:rPr>
              <w:fldChar w:fldCharType="end"/>
            </w:r>
          </w:hyperlink>
        </w:p>
        <w:p w14:paraId="59490C32" w14:textId="1AEAA394" w:rsidR="0028665F" w:rsidRDefault="00C2072C">
          <w:pPr>
            <w:pStyle w:val="TOC2"/>
            <w:rPr>
              <w:rFonts w:asciiTheme="minorHAnsi" w:eastAsiaTheme="minorEastAsia" w:hAnsiTheme="minorHAnsi" w:cstheme="minorBidi"/>
              <w:bCs w:val="0"/>
              <w:noProof/>
              <w:sz w:val="24"/>
              <w:szCs w:val="24"/>
              <w:lang w:val="en-GB"/>
            </w:rPr>
          </w:pPr>
          <w:hyperlink w:anchor="_Toc3211400" w:history="1">
            <w:r w:rsidR="0028665F" w:rsidRPr="00770FE3">
              <w:rPr>
                <w:rStyle w:val="Hyperlink"/>
                <w:noProof/>
              </w:rPr>
              <w:t>2.7 Materials and Methods</w:t>
            </w:r>
            <w:r w:rsidR="0028665F">
              <w:rPr>
                <w:noProof/>
                <w:webHidden/>
              </w:rPr>
              <w:tab/>
            </w:r>
            <w:r w:rsidR="0028665F">
              <w:rPr>
                <w:noProof/>
                <w:webHidden/>
              </w:rPr>
              <w:fldChar w:fldCharType="begin"/>
            </w:r>
            <w:r w:rsidR="0028665F">
              <w:rPr>
                <w:noProof/>
                <w:webHidden/>
              </w:rPr>
              <w:instrText xml:space="preserve"> PAGEREF _Toc3211400 \h </w:instrText>
            </w:r>
            <w:r w:rsidR="0028665F">
              <w:rPr>
                <w:noProof/>
                <w:webHidden/>
              </w:rPr>
            </w:r>
            <w:r w:rsidR="0028665F">
              <w:rPr>
                <w:noProof/>
                <w:webHidden/>
              </w:rPr>
              <w:fldChar w:fldCharType="separate"/>
            </w:r>
            <w:r w:rsidR="0028665F">
              <w:rPr>
                <w:noProof/>
                <w:webHidden/>
              </w:rPr>
              <w:t>89</w:t>
            </w:r>
            <w:r w:rsidR="0028665F">
              <w:rPr>
                <w:noProof/>
                <w:webHidden/>
              </w:rPr>
              <w:fldChar w:fldCharType="end"/>
            </w:r>
          </w:hyperlink>
        </w:p>
        <w:p w14:paraId="6265AE3B" w14:textId="7E5E58D5" w:rsidR="0028665F" w:rsidRDefault="00C2072C">
          <w:pPr>
            <w:pStyle w:val="TOC3"/>
            <w:rPr>
              <w:rFonts w:asciiTheme="minorHAnsi" w:eastAsiaTheme="minorEastAsia" w:hAnsiTheme="minorHAnsi" w:cstheme="minorBidi"/>
              <w:noProof/>
              <w:sz w:val="24"/>
              <w:szCs w:val="24"/>
              <w:lang w:val="en-GB"/>
            </w:rPr>
          </w:pPr>
          <w:hyperlink w:anchor="_Toc3211401" w:history="1">
            <w:r w:rsidR="0028665F" w:rsidRPr="00770FE3">
              <w:rPr>
                <w:rStyle w:val="Hyperlink"/>
                <w:noProof/>
              </w:rPr>
              <w:t>2.7.1 Data Selection, Pre-processing, and Quality Control</w:t>
            </w:r>
            <w:r w:rsidR="0028665F">
              <w:rPr>
                <w:noProof/>
                <w:webHidden/>
              </w:rPr>
              <w:tab/>
            </w:r>
            <w:r w:rsidR="0028665F">
              <w:rPr>
                <w:noProof/>
                <w:webHidden/>
              </w:rPr>
              <w:fldChar w:fldCharType="begin"/>
            </w:r>
            <w:r w:rsidR="0028665F">
              <w:rPr>
                <w:noProof/>
                <w:webHidden/>
              </w:rPr>
              <w:instrText xml:space="preserve"> PAGEREF _Toc3211401 \h </w:instrText>
            </w:r>
            <w:r w:rsidR="0028665F">
              <w:rPr>
                <w:noProof/>
                <w:webHidden/>
              </w:rPr>
            </w:r>
            <w:r w:rsidR="0028665F">
              <w:rPr>
                <w:noProof/>
                <w:webHidden/>
              </w:rPr>
              <w:fldChar w:fldCharType="separate"/>
            </w:r>
            <w:r w:rsidR="0028665F">
              <w:rPr>
                <w:noProof/>
                <w:webHidden/>
              </w:rPr>
              <w:t>89</w:t>
            </w:r>
            <w:r w:rsidR="0028665F">
              <w:rPr>
                <w:noProof/>
                <w:webHidden/>
              </w:rPr>
              <w:fldChar w:fldCharType="end"/>
            </w:r>
          </w:hyperlink>
        </w:p>
        <w:p w14:paraId="71DA05FE" w14:textId="57A0088D" w:rsidR="0028665F" w:rsidRDefault="00C2072C">
          <w:pPr>
            <w:pStyle w:val="TOC3"/>
            <w:rPr>
              <w:rFonts w:asciiTheme="minorHAnsi" w:eastAsiaTheme="minorEastAsia" w:hAnsiTheme="minorHAnsi" w:cstheme="minorBidi"/>
              <w:noProof/>
              <w:sz w:val="24"/>
              <w:szCs w:val="24"/>
              <w:lang w:val="en-GB"/>
            </w:rPr>
          </w:pPr>
          <w:hyperlink w:anchor="_Toc3211402" w:history="1">
            <w:r w:rsidR="0028665F" w:rsidRPr="00770FE3">
              <w:rPr>
                <w:rStyle w:val="Hyperlink"/>
                <w:noProof/>
              </w:rPr>
              <w:t>2.7.2 Curation of Parkinson’s-associated gene lists</w:t>
            </w:r>
            <w:r w:rsidR="0028665F">
              <w:rPr>
                <w:noProof/>
                <w:webHidden/>
              </w:rPr>
              <w:tab/>
            </w:r>
            <w:r w:rsidR="0028665F">
              <w:rPr>
                <w:noProof/>
                <w:webHidden/>
              </w:rPr>
              <w:fldChar w:fldCharType="begin"/>
            </w:r>
            <w:r w:rsidR="0028665F">
              <w:rPr>
                <w:noProof/>
                <w:webHidden/>
              </w:rPr>
              <w:instrText xml:space="preserve"> PAGEREF _Toc3211402 \h </w:instrText>
            </w:r>
            <w:r w:rsidR="0028665F">
              <w:rPr>
                <w:noProof/>
                <w:webHidden/>
              </w:rPr>
            </w:r>
            <w:r w:rsidR="0028665F">
              <w:rPr>
                <w:noProof/>
                <w:webHidden/>
              </w:rPr>
              <w:fldChar w:fldCharType="separate"/>
            </w:r>
            <w:r w:rsidR="0028665F">
              <w:rPr>
                <w:noProof/>
                <w:webHidden/>
              </w:rPr>
              <w:t>92</w:t>
            </w:r>
            <w:r w:rsidR="0028665F">
              <w:rPr>
                <w:noProof/>
                <w:webHidden/>
              </w:rPr>
              <w:fldChar w:fldCharType="end"/>
            </w:r>
          </w:hyperlink>
        </w:p>
        <w:p w14:paraId="5424C514" w14:textId="41F1D09C" w:rsidR="0028665F" w:rsidRDefault="00C2072C">
          <w:pPr>
            <w:pStyle w:val="TOC3"/>
            <w:rPr>
              <w:rFonts w:asciiTheme="minorHAnsi" w:eastAsiaTheme="minorEastAsia" w:hAnsiTheme="minorHAnsi" w:cstheme="minorBidi"/>
              <w:noProof/>
              <w:sz w:val="24"/>
              <w:szCs w:val="24"/>
              <w:lang w:val="en-GB"/>
            </w:rPr>
          </w:pPr>
          <w:hyperlink w:anchor="_Toc3211403" w:history="1">
            <w:r w:rsidR="0028665F" w:rsidRPr="00770FE3">
              <w:rPr>
                <w:rStyle w:val="Hyperlink"/>
                <w:noProof/>
              </w:rPr>
              <w:t>2.7.3 Prioritisation</w:t>
            </w:r>
            <w:r w:rsidR="0028665F">
              <w:rPr>
                <w:noProof/>
                <w:webHidden/>
              </w:rPr>
              <w:tab/>
            </w:r>
            <w:r w:rsidR="0028665F">
              <w:rPr>
                <w:noProof/>
                <w:webHidden/>
              </w:rPr>
              <w:fldChar w:fldCharType="begin"/>
            </w:r>
            <w:r w:rsidR="0028665F">
              <w:rPr>
                <w:noProof/>
                <w:webHidden/>
              </w:rPr>
              <w:instrText xml:space="preserve"> PAGEREF _Toc3211403 \h </w:instrText>
            </w:r>
            <w:r w:rsidR="0028665F">
              <w:rPr>
                <w:noProof/>
                <w:webHidden/>
              </w:rPr>
            </w:r>
            <w:r w:rsidR="0028665F">
              <w:rPr>
                <w:noProof/>
                <w:webHidden/>
              </w:rPr>
              <w:fldChar w:fldCharType="separate"/>
            </w:r>
            <w:r w:rsidR="0028665F">
              <w:rPr>
                <w:noProof/>
                <w:webHidden/>
              </w:rPr>
              <w:t>92</w:t>
            </w:r>
            <w:r w:rsidR="0028665F">
              <w:rPr>
                <w:noProof/>
                <w:webHidden/>
              </w:rPr>
              <w:fldChar w:fldCharType="end"/>
            </w:r>
          </w:hyperlink>
        </w:p>
        <w:p w14:paraId="21A96802" w14:textId="7BF0E6EE" w:rsidR="0028665F" w:rsidRDefault="00C2072C">
          <w:pPr>
            <w:pStyle w:val="TOC2"/>
            <w:rPr>
              <w:rFonts w:asciiTheme="minorHAnsi" w:eastAsiaTheme="minorEastAsia" w:hAnsiTheme="minorHAnsi" w:cstheme="minorBidi"/>
              <w:bCs w:val="0"/>
              <w:noProof/>
              <w:sz w:val="24"/>
              <w:szCs w:val="24"/>
              <w:lang w:val="en-GB"/>
            </w:rPr>
          </w:pPr>
          <w:hyperlink w:anchor="_Toc3211404" w:history="1">
            <w:r w:rsidR="0028665F" w:rsidRPr="00770FE3">
              <w:rPr>
                <w:rStyle w:val="Hyperlink"/>
                <w:noProof/>
              </w:rPr>
              <w:t>3.1 Results</w:t>
            </w:r>
            <w:r w:rsidR="0028665F">
              <w:rPr>
                <w:noProof/>
                <w:webHidden/>
              </w:rPr>
              <w:tab/>
            </w:r>
            <w:r w:rsidR="0028665F">
              <w:rPr>
                <w:noProof/>
                <w:webHidden/>
              </w:rPr>
              <w:fldChar w:fldCharType="begin"/>
            </w:r>
            <w:r w:rsidR="0028665F">
              <w:rPr>
                <w:noProof/>
                <w:webHidden/>
              </w:rPr>
              <w:instrText xml:space="preserve"> PAGEREF _Toc3211404 \h </w:instrText>
            </w:r>
            <w:r w:rsidR="0028665F">
              <w:rPr>
                <w:noProof/>
                <w:webHidden/>
              </w:rPr>
            </w:r>
            <w:r w:rsidR="0028665F">
              <w:rPr>
                <w:noProof/>
                <w:webHidden/>
              </w:rPr>
              <w:fldChar w:fldCharType="separate"/>
            </w:r>
            <w:r w:rsidR="0028665F">
              <w:rPr>
                <w:noProof/>
                <w:webHidden/>
              </w:rPr>
              <w:t>94</w:t>
            </w:r>
            <w:r w:rsidR="0028665F">
              <w:rPr>
                <w:noProof/>
                <w:webHidden/>
              </w:rPr>
              <w:fldChar w:fldCharType="end"/>
            </w:r>
          </w:hyperlink>
        </w:p>
        <w:p w14:paraId="7B07E319" w14:textId="1B171A52" w:rsidR="0028665F" w:rsidRDefault="00C2072C">
          <w:pPr>
            <w:pStyle w:val="TOC3"/>
            <w:rPr>
              <w:rFonts w:asciiTheme="minorHAnsi" w:eastAsiaTheme="minorEastAsia" w:hAnsiTheme="minorHAnsi" w:cstheme="minorBidi"/>
              <w:noProof/>
              <w:sz w:val="24"/>
              <w:szCs w:val="24"/>
              <w:lang w:val="en-GB"/>
            </w:rPr>
          </w:pPr>
          <w:hyperlink w:anchor="_Toc3211405" w:history="1">
            <w:r w:rsidR="0028665F" w:rsidRPr="00770FE3">
              <w:rPr>
                <w:rStyle w:val="Hyperlink"/>
                <w:noProof/>
              </w:rPr>
              <w:t>3.1.1 Quality control of datasets</w:t>
            </w:r>
            <w:r w:rsidR="0028665F">
              <w:rPr>
                <w:noProof/>
                <w:webHidden/>
              </w:rPr>
              <w:tab/>
            </w:r>
            <w:r w:rsidR="0028665F">
              <w:rPr>
                <w:noProof/>
                <w:webHidden/>
              </w:rPr>
              <w:fldChar w:fldCharType="begin"/>
            </w:r>
            <w:r w:rsidR="0028665F">
              <w:rPr>
                <w:noProof/>
                <w:webHidden/>
              </w:rPr>
              <w:instrText xml:space="preserve"> PAGEREF _Toc3211405 \h </w:instrText>
            </w:r>
            <w:r w:rsidR="0028665F">
              <w:rPr>
                <w:noProof/>
                <w:webHidden/>
              </w:rPr>
            </w:r>
            <w:r w:rsidR="0028665F">
              <w:rPr>
                <w:noProof/>
                <w:webHidden/>
              </w:rPr>
              <w:fldChar w:fldCharType="separate"/>
            </w:r>
            <w:r w:rsidR="0028665F">
              <w:rPr>
                <w:noProof/>
                <w:webHidden/>
              </w:rPr>
              <w:t>94</w:t>
            </w:r>
            <w:r w:rsidR="0028665F">
              <w:rPr>
                <w:noProof/>
                <w:webHidden/>
              </w:rPr>
              <w:fldChar w:fldCharType="end"/>
            </w:r>
          </w:hyperlink>
        </w:p>
        <w:p w14:paraId="78A03622" w14:textId="392EF360" w:rsidR="0028665F" w:rsidRDefault="00C2072C">
          <w:pPr>
            <w:pStyle w:val="TOC3"/>
            <w:rPr>
              <w:rFonts w:asciiTheme="minorHAnsi" w:eastAsiaTheme="minorEastAsia" w:hAnsiTheme="minorHAnsi" w:cstheme="minorBidi"/>
              <w:noProof/>
              <w:sz w:val="24"/>
              <w:szCs w:val="24"/>
              <w:lang w:val="en-GB"/>
            </w:rPr>
          </w:pPr>
          <w:hyperlink w:anchor="_Toc3211406" w:history="1">
            <w:r w:rsidR="0028665F" w:rsidRPr="00770FE3">
              <w:rPr>
                <w:rStyle w:val="Hyperlink"/>
                <w:noProof/>
              </w:rPr>
              <w:t>3.1.2 Identification of common DEGs</w:t>
            </w:r>
            <w:r w:rsidR="0028665F">
              <w:rPr>
                <w:noProof/>
                <w:webHidden/>
              </w:rPr>
              <w:tab/>
            </w:r>
            <w:r w:rsidR="0028665F">
              <w:rPr>
                <w:noProof/>
                <w:webHidden/>
              </w:rPr>
              <w:fldChar w:fldCharType="begin"/>
            </w:r>
            <w:r w:rsidR="0028665F">
              <w:rPr>
                <w:noProof/>
                <w:webHidden/>
              </w:rPr>
              <w:instrText xml:space="preserve"> PAGEREF _Toc3211406 \h </w:instrText>
            </w:r>
            <w:r w:rsidR="0028665F">
              <w:rPr>
                <w:noProof/>
                <w:webHidden/>
              </w:rPr>
            </w:r>
            <w:r w:rsidR="0028665F">
              <w:rPr>
                <w:noProof/>
                <w:webHidden/>
              </w:rPr>
              <w:fldChar w:fldCharType="separate"/>
            </w:r>
            <w:r w:rsidR="0028665F">
              <w:rPr>
                <w:noProof/>
                <w:webHidden/>
              </w:rPr>
              <w:t>94</w:t>
            </w:r>
            <w:r w:rsidR="0028665F">
              <w:rPr>
                <w:noProof/>
                <w:webHidden/>
              </w:rPr>
              <w:fldChar w:fldCharType="end"/>
            </w:r>
          </w:hyperlink>
        </w:p>
        <w:p w14:paraId="3549A087" w14:textId="6CEA4F77" w:rsidR="0028665F" w:rsidRDefault="00C2072C">
          <w:pPr>
            <w:pStyle w:val="TOC3"/>
            <w:rPr>
              <w:rFonts w:asciiTheme="minorHAnsi" w:eastAsiaTheme="minorEastAsia" w:hAnsiTheme="minorHAnsi" w:cstheme="minorBidi"/>
              <w:noProof/>
              <w:sz w:val="24"/>
              <w:szCs w:val="24"/>
              <w:lang w:val="en-GB"/>
            </w:rPr>
          </w:pPr>
          <w:hyperlink w:anchor="_Toc3211407" w:history="1">
            <w:r w:rsidR="0028665F" w:rsidRPr="00770FE3">
              <w:rPr>
                <w:rStyle w:val="Hyperlink"/>
                <w:noProof/>
              </w:rPr>
              <w:t>3.1.3 Functional and benchmark enrichment of differentially expressed genes</w:t>
            </w:r>
            <w:r w:rsidR="0028665F">
              <w:rPr>
                <w:noProof/>
                <w:webHidden/>
              </w:rPr>
              <w:tab/>
            </w:r>
            <w:r w:rsidR="0028665F">
              <w:rPr>
                <w:noProof/>
                <w:webHidden/>
              </w:rPr>
              <w:fldChar w:fldCharType="begin"/>
            </w:r>
            <w:r w:rsidR="0028665F">
              <w:rPr>
                <w:noProof/>
                <w:webHidden/>
              </w:rPr>
              <w:instrText xml:space="preserve"> PAGEREF _Toc3211407 \h </w:instrText>
            </w:r>
            <w:r w:rsidR="0028665F">
              <w:rPr>
                <w:noProof/>
                <w:webHidden/>
              </w:rPr>
            </w:r>
            <w:r w:rsidR="0028665F">
              <w:rPr>
                <w:noProof/>
                <w:webHidden/>
              </w:rPr>
              <w:fldChar w:fldCharType="separate"/>
            </w:r>
            <w:r w:rsidR="0028665F">
              <w:rPr>
                <w:noProof/>
                <w:webHidden/>
              </w:rPr>
              <w:t>96</w:t>
            </w:r>
            <w:r w:rsidR="0028665F">
              <w:rPr>
                <w:noProof/>
                <w:webHidden/>
              </w:rPr>
              <w:fldChar w:fldCharType="end"/>
            </w:r>
          </w:hyperlink>
        </w:p>
        <w:p w14:paraId="64A01D5A" w14:textId="5CF0B38B" w:rsidR="0028665F" w:rsidRDefault="00C2072C">
          <w:pPr>
            <w:pStyle w:val="TOC3"/>
            <w:rPr>
              <w:rFonts w:asciiTheme="minorHAnsi" w:eastAsiaTheme="minorEastAsia" w:hAnsiTheme="minorHAnsi" w:cstheme="minorBidi"/>
              <w:noProof/>
              <w:sz w:val="24"/>
              <w:szCs w:val="24"/>
              <w:lang w:val="en-GB"/>
            </w:rPr>
          </w:pPr>
          <w:hyperlink w:anchor="_Toc3211408" w:history="1">
            <w:r w:rsidR="0028665F" w:rsidRPr="00770FE3">
              <w:rPr>
                <w:rStyle w:val="Hyperlink"/>
                <w:noProof/>
              </w:rPr>
              <w:t>3.1.4 Generation of protein-protein interaction network</w:t>
            </w:r>
            <w:r w:rsidR="0028665F">
              <w:rPr>
                <w:noProof/>
                <w:webHidden/>
              </w:rPr>
              <w:tab/>
            </w:r>
            <w:r w:rsidR="0028665F">
              <w:rPr>
                <w:noProof/>
                <w:webHidden/>
              </w:rPr>
              <w:fldChar w:fldCharType="begin"/>
            </w:r>
            <w:r w:rsidR="0028665F">
              <w:rPr>
                <w:noProof/>
                <w:webHidden/>
              </w:rPr>
              <w:instrText xml:space="preserve"> PAGEREF _Toc3211408 \h </w:instrText>
            </w:r>
            <w:r w:rsidR="0028665F">
              <w:rPr>
                <w:noProof/>
                <w:webHidden/>
              </w:rPr>
            </w:r>
            <w:r w:rsidR="0028665F">
              <w:rPr>
                <w:noProof/>
                <w:webHidden/>
              </w:rPr>
              <w:fldChar w:fldCharType="separate"/>
            </w:r>
            <w:r w:rsidR="0028665F">
              <w:rPr>
                <w:noProof/>
                <w:webHidden/>
              </w:rPr>
              <w:t>98</w:t>
            </w:r>
            <w:r w:rsidR="0028665F">
              <w:rPr>
                <w:noProof/>
                <w:webHidden/>
              </w:rPr>
              <w:fldChar w:fldCharType="end"/>
            </w:r>
          </w:hyperlink>
        </w:p>
        <w:p w14:paraId="6D92FC61" w14:textId="1D8FF961" w:rsidR="0028665F" w:rsidRDefault="00C2072C">
          <w:pPr>
            <w:pStyle w:val="TOC3"/>
            <w:rPr>
              <w:rFonts w:asciiTheme="minorHAnsi" w:eastAsiaTheme="minorEastAsia" w:hAnsiTheme="minorHAnsi" w:cstheme="minorBidi"/>
              <w:noProof/>
              <w:sz w:val="24"/>
              <w:szCs w:val="24"/>
              <w:lang w:val="en-GB"/>
            </w:rPr>
          </w:pPr>
          <w:hyperlink w:anchor="_Toc3211409" w:history="1">
            <w:r w:rsidR="0028665F" w:rsidRPr="00770FE3">
              <w:rPr>
                <w:rStyle w:val="Hyperlink"/>
                <w:noProof/>
              </w:rPr>
              <w:t>3.1.5 Generation of a common coexpression module</w:t>
            </w:r>
            <w:r w:rsidR="0028665F">
              <w:rPr>
                <w:noProof/>
                <w:webHidden/>
              </w:rPr>
              <w:tab/>
            </w:r>
            <w:r w:rsidR="0028665F">
              <w:rPr>
                <w:noProof/>
                <w:webHidden/>
              </w:rPr>
              <w:fldChar w:fldCharType="begin"/>
            </w:r>
            <w:r w:rsidR="0028665F">
              <w:rPr>
                <w:noProof/>
                <w:webHidden/>
              </w:rPr>
              <w:instrText xml:space="preserve"> PAGEREF _Toc3211409 \h </w:instrText>
            </w:r>
            <w:r w:rsidR="0028665F">
              <w:rPr>
                <w:noProof/>
                <w:webHidden/>
              </w:rPr>
            </w:r>
            <w:r w:rsidR="0028665F">
              <w:rPr>
                <w:noProof/>
                <w:webHidden/>
              </w:rPr>
              <w:fldChar w:fldCharType="separate"/>
            </w:r>
            <w:r w:rsidR="0028665F">
              <w:rPr>
                <w:noProof/>
                <w:webHidden/>
              </w:rPr>
              <w:t>100</w:t>
            </w:r>
            <w:r w:rsidR="0028665F">
              <w:rPr>
                <w:noProof/>
                <w:webHidden/>
              </w:rPr>
              <w:fldChar w:fldCharType="end"/>
            </w:r>
          </w:hyperlink>
        </w:p>
        <w:p w14:paraId="3AE90AA7" w14:textId="7B23AE7D" w:rsidR="0028665F" w:rsidRDefault="00C2072C">
          <w:pPr>
            <w:pStyle w:val="TOC3"/>
            <w:rPr>
              <w:rFonts w:asciiTheme="minorHAnsi" w:eastAsiaTheme="minorEastAsia" w:hAnsiTheme="minorHAnsi" w:cstheme="minorBidi"/>
              <w:noProof/>
              <w:sz w:val="24"/>
              <w:szCs w:val="24"/>
              <w:lang w:val="en-GB"/>
            </w:rPr>
          </w:pPr>
          <w:hyperlink w:anchor="_Toc3211410" w:history="1">
            <w:r w:rsidR="0028665F" w:rsidRPr="00770FE3">
              <w:rPr>
                <w:rStyle w:val="Hyperlink"/>
                <w:noProof/>
              </w:rPr>
              <w:t>3.1.6 Prioritisation of in vitro candidates</w:t>
            </w:r>
            <w:r w:rsidR="0028665F">
              <w:rPr>
                <w:noProof/>
                <w:webHidden/>
              </w:rPr>
              <w:tab/>
            </w:r>
            <w:r w:rsidR="0028665F">
              <w:rPr>
                <w:noProof/>
                <w:webHidden/>
              </w:rPr>
              <w:fldChar w:fldCharType="begin"/>
            </w:r>
            <w:r w:rsidR="0028665F">
              <w:rPr>
                <w:noProof/>
                <w:webHidden/>
              </w:rPr>
              <w:instrText xml:space="preserve"> PAGEREF _Toc3211410 \h </w:instrText>
            </w:r>
            <w:r w:rsidR="0028665F">
              <w:rPr>
                <w:noProof/>
                <w:webHidden/>
              </w:rPr>
            </w:r>
            <w:r w:rsidR="0028665F">
              <w:rPr>
                <w:noProof/>
                <w:webHidden/>
              </w:rPr>
              <w:fldChar w:fldCharType="separate"/>
            </w:r>
            <w:r w:rsidR="0028665F">
              <w:rPr>
                <w:noProof/>
                <w:webHidden/>
              </w:rPr>
              <w:t>107</w:t>
            </w:r>
            <w:r w:rsidR="0028665F">
              <w:rPr>
                <w:noProof/>
                <w:webHidden/>
              </w:rPr>
              <w:fldChar w:fldCharType="end"/>
            </w:r>
          </w:hyperlink>
        </w:p>
        <w:p w14:paraId="194A746C" w14:textId="4045D370" w:rsidR="0028665F" w:rsidRDefault="00C2072C">
          <w:pPr>
            <w:pStyle w:val="TOC3"/>
            <w:rPr>
              <w:rFonts w:asciiTheme="minorHAnsi" w:eastAsiaTheme="minorEastAsia" w:hAnsiTheme="minorHAnsi" w:cstheme="minorBidi"/>
              <w:noProof/>
              <w:sz w:val="24"/>
              <w:szCs w:val="24"/>
              <w:lang w:val="en-GB"/>
            </w:rPr>
          </w:pPr>
          <w:hyperlink w:anchor="_Toc3211411" w:history="1">
            <w:r w:rsidR="0028665F" w:rsidRPr="00770FE3">
              <w:rPr>
                <w:rStyle w:val="Hyperlink"/>
                <w:noProof/>
              </w:rPr>
              <w:t>3.1.7 Top Candidate Analysis</w:t>
            </w:r>
            <w:r w:rsidR="0028665F">
              <w:rPr>
                <w:noProof/>
                <w:webHidden/>
              </w:rPr>
              <w:tab/>
            </w:r>
            <w:r w:rsidR="0028665F">
              <w:rPr>
                <w:noProof/>
                <w:webHidden/>
              </w:rPr>
              <w:fldChar w:fldCharType="begin"/>
            </w:r>
            <w:r w:rsidR="0028665F">
              <w:rPr>
                <w:noProof/>
                <w:webHidden/>
              </w:rPr>
              <w:instrText xml:space="preserve"> PAGEREF _Toc3211411 \h </w:instrText>
            </w:r>
            <w:r w:rsidR="0028665F">
              <w:rPr>
                <w:noProof/>
                <w:webHidden/>
              </w:rPr>
            </w:r>
            <w:r w:rsidR="0028665F">
              <w:rPr>
                <w:noProof/>
                <w:webHidden/>
              </w:rPr>
              <w:fldChar w:fldCharType="separate"/>
            </w:r>
            <w:r w:rsidR="0028665F">
              <w:rPr>
                <w:noProof/>
                <w:webHidden/>
              </w:rPr>
              <w:t>109</w:t>
            </w:r>
            <w:r w:rsidR="0028665F">
              <w:rPr>
                <w:noProof/>
                <w:webHidden/>
              </w:rPr>
              <w:fldChar w:fldCharType="end"/>
            </w:r>
          </w:hyperlink>
        </w:p>
        <w:p w14:paraId="58611F36" w14:textId="150DD68A" w:rsidR="0028665F" w:rsidRDefault="00C2072C">
          <w:pPr>
            <w:pStyle w:val="TOC2"/>
            <w:rPr>
              <w:rFonts w:asciiTheme="minorHAnsi" w:eastAsiaTheme="minorEastAsia" w:hAnsiTheme="minorHAnsi" w:cstheme="minorBidi"/>
              <w:bCs w:val="0"/>
              <w:noProof/>
              <w:sz w:val="24"/>
              <w:szCs w:val="24"/>
              <w:lang w:val="en-GB"/>
            </w:rPr>
          </w:pPr>
          <w:hyperlink w:anchor="_Toc3211412" w:history="1">
            <w:r w:rsidR="0028665F" w:rsidRPr="00770FE3">
              <w:rPr>
                <w:rStyle w:val="Hyperlink"/>
                <w:noProof/>
              </w:rPr>
              <w:t>3.2 Discussion</w:t>
            </w:r>
            <w:r w:rsidR="0028665F">
              <w:rPr>
                <w:noProof/>
                <w:webHidden/>
              </w:rPr>
              <w:tab/>
            </w:r>
            <w:r w:rsidR="0028665F">
              <w:rPr>
                <w:noProof/>
                <w:webHidden/>
              </w:rPr>
              <w:fldChar w:fldCharType="begin"/>
            </w:r>
            <w:r w:rsidR="0028665F">
              <w:rPr>
                <w:noProof/>
                <w:webHidden/>
              </w:rPr>
              <w:instrText xml:space="preserve"> PAGEREF _Toc3211412 \h </w:instrText>
            </w:r>
            <w:r w:rsidR="0028665F">
              <w:rPr>
                <w:noProof/>
                <w:webHidden/>
              </w:rPr>
            </w:r>
            <w:r w:rsidR="0028665F">
              <w:rPr>
                <w:noProof/>
                <w:webHidden/>
              </w:rPr>
              <w:fldChar w:fldCharType="separate"/>
            </w:r>
            <w:r w:rsidR="0028665F">
              <w:rPr>
                <w:noProof/>
                <w:webHidden/>
              </w:rPr>
              <w:t>112</w:t>
            </w:r>
            <w:r w:rsidR="0028665F">
              <w:rPr>
                <w:noProof/>
                <w:webHidden/>
              </w:rPr>
              <w:fldChar w:fldCharType="end"/>
            </w:r>
          </w:hyperlink>
        </w:p>
        <w:p w14:paraId="20F73B80" w14:textId="2759B9E1" w:rsidR="0028665F" w:rsidRDefault="00C2072C">
          <w:pPr>
            <w:pStyle w:val="TOC1"/>
            <w:rPr>
              <w:rFonts w:asciiTheme="minorHAnsi" w:eastAsiaTheme="minorEastAsia" w:hAnsiTheme="minorHAnsi" w:cstheme="minorBidi"/>
              <w:b w:val="0"/>
              <w:bCs w:val="0"/>
              <w:iCs w:val="0"/>
              <w:noProof/>
              <w:lang w:val="en-GB"/>
            </w:rPr>
          </w:pPr>
          <w:hyperlink w:anchor="_Toc3211413" w:history="1">
            <w:r w:rsidR="0028665F" w:rsidRPr="00770FE3">
              <w:rPr>
                <w:rStyle w:val="Hyperlink"/>
                <w:noProof/>
              </w:rPr>
              <w:t>Chapter</w:t>
            </w:r>
            <w:r w:rsidR="0028665F" w:rsidRPr="00770FE3">
              <w:rPr>
                <w:rStyle w:val="Hyperlink"/>
                <w:noProof/>
                <w:lang w:val="en-GB"/>
              </w:rPr>
              <w:t xml:space="preserve"> 4: Application to Autoimmune Arthritis</w:t>
            </w:r>
            <w:r w:rsidR="0028665F">
              <w:rPr>
                <w:noProof/>
                <w:webHidden/>
              </w:rPr>
              <w:tab/>
            </w:r>
            <w:r w:rsidR="0028665F">
              <w:rPr>
                <w:noProof/>
                <w:webHidden/>
              </w:rPr>
              <w:fldChar w:fldCharType="begin"/>
            </w:r>
            <w:r w:rsidR="0028665F">
              <w:rPr>
                <w:noProof/>
                <w:webHidden/>
              </w:rPr>
              <w:instrText xml:space="preserve"> PAGEREF _Toc3211413 \h </w:instrText>
            </w:r>
            <w:r w:rsidR="0028665F">
              <w:rPr>
                <w:noProof/>
                <w:webHidden/>
              </w:rPr>
            </w:r>
            <w:r w:rsidR="0028665F">
              <w:rPr>
                <w:noProof/>
                <w:webHidden/>
              </w:rPr>
              <w:fldChar w:fldCharType="separate"/>
            </w:r>
            <w:r w:rsidR="0028665F">
              <w:rPr>
                <w:noProof/>
                <w:webHidden/>
              </w:rPr>
              <w:t>113</w:t>
            </w:r>
            <w:r w:rsidR="0028665F">
              <w:rPr>
                <w:noProof/>
                <w:webHidden/>
              </w:rPr>
              <w:fldChar w:fldCharType="end"/>
            </w:r>
          </w:hyperlink>
        </w:p>
        <w:p w14:paraId="47B27205" w14:textId="3B68D4A3" w:rsidR="0028665F" w:rsidRDefault="00C2072C">
          <w:pPr>
            <w:pStyle w:val="TOC2"/>
            <w:rPr>
              <w:rFonts w:asciiTheme="minorHAnsi" w:eastAsiaTheme="minorEastAsia" w:hAnsiTheme="minorHAnsi" w:cstheme="minorBidi"/>
              <w:bCs w:val="0"/>
              <w:noProof/>
              <w:sz w:val="24"/>
              <w:szCs w:val="24"/>
              <w:lang w:val="en-GB"/>
            </w:rPr>
          </w:pPr>
          <w:hyperlink w:anchor="_Toc3211414" w:history="1">
            <w:r w:rsidR="0028665F" w:rsidRPr="00770FE3">
              <w:rPr>
                <w:rStyle w:val="Hyperlink"/>
                <w:noProof/>
              </w:rPr>
              <w:t>4.1 Introduction</w:t>
            </w:r>
            <w:r w:rsidR="0028665F">
              <w:rPr>
                <w:noProof/>
                <w:webHidden/>
              </w:rPr>
              <w:tab/>
            </w:r>
            <w:r w:rsidR="0028665F">
              <w:rPr>
                <w:noProof/>
                <w:webHidden/>
              </w:rPr>
              <w:fldChar w:fldCharType="begin"/>
            </w:r>
            <w:r w:rsidR="0028665F">
              <w:rPr>
                <w:noProof/>
                <w:webHidden/>
              </w:rPr>
              <w:instrText xml:space="preserve"> PAGEREF _Toc3211414 \h </w:instrText>
            </w:r>
            <w:r w:rsidR="0028665F">
              <w:rPr>
                <w:noProof/>
                <w:webHidden/>
              </w:rPr>
            </w:r>
            <w:r w:rsidR="0028665F">
              <w:rPr>
                <w:noProof/>
                <w:webHidden/>
              </w:rPr>
              <w:fldChar w:fldCharType="separate"/>
            </w:r>
            <w:r w:rsidR="0028665F">
              <w:rPr>
                <w:noProof/>
                <w:webHidden/>
              </w:rPr>
              <w:t>113</w:t>
            </w:r>
            <w:r w:rsidR="0028665F">
              <w:rPr>
                <w:noProof/>
                <w:webHidden/>
              </w:rPr>
              <w:fldChar w:fldCharType="end"/>
            </w:r>
          </w:hyperlink>
        </w:p>
        <w:p w14:paraId="23CCFF76" w14:textId="2E259B99" w:rsidR="0028665F" w:rsidRDefault="00C2072C">
          <w:pPr>
            <w:pStyle w:val="TOC3"/>
            <w:rPr>
              <w:rFonts w:asciiTheme="minorHAnsi" w:eastAsiaTheme="minorEastAsia" w:hAnsiTheme="minorHAnsi" w:cstheme="minorBidi"/>
              <w:noProof/>
              <w:sz w:val="24"/>
              <w:szCs w:val="24"/>
              <w:lang w:val="en-GB"/>
            </w:rPr>
          </w:pPr>
          <w:hyperlink w:anchor="_Toc3211415" w:history="1">
            <w:r w:rsidR="0028665F" w:rsidRPr="00770FE3">
              <w:rPr>
                <w:rStyle w:val="Hyperlink"/>
                <w:noProof/>
              </w:rPr>
              <w:t>4.1.1 Arthritis Overview</w:t>
            </w:r>
            <w:r w:rsidR="0028665F">
              <w:rPr>
                <w:noProof/>
                <w:webHidden/>
              </w:rPr>
              <w:tab/>
            </w:r>
            <w:r w:rsidR="0028665F">
              <w:rPr>
                <w:noProof/>
                <w:webHidden/>
              </w:rPr>
              <w:fldChar w:fldCharType="begin"/>
            </w:r>
            <w:r w:rsidR="0028665F">
              <w:rPr>
                <w:noProof/>
                <w:webHidden/>
              </w:rPr>
              <w:instrText xml:space="preserve"> PAGEREF _Toc3211415 \h </w:instrText>
            </w:r>
            <w:r w:rsidR="0028665F">
              <w:rPr>
                <w:noProof/>
                <w:webHidden/>
              </w:rPr>
            </w:r>
            <w:r w:rsidR="0028665F">
              <w:rPr>
                <w:noProof/>
                <w:webHidden/>
              </w:rPr>
              <w:fldChar w:fldCharType="separate"/>
            </w:r>
            <w:r w:rsidR="0028665F">
              <w:rPr>
                <w:noProof/>
                <w:webHidden/>
              </w:rPr>
              <w:t>113</w:t>
            </w:r>
            <w:r w:rsidR="0028665F">
              <w:rPr>
                <w:noProof/>
                <w:webHidden/>
              </w:rPr>
              <w:fldChar w:fldCharType="end"/>
            </w:r>
          </w:hyperlink>
        </w:p>
        <w:p w14:paraId="0A711CF3" w14:textId="258F4470" w:rsidR="0028665F" w:rsidRDefault="00C2072C">
          <w:pPr>
            <w:pStyle w:val="TOC3"/>
            <w:rPr>
              <w:rFonts w:asciiTheme="minorHAnsi" w:eastAsiaTheme="minorEastAsia" w:hAnsiTheme="minorHAnsi" w:cstheme="minorBidi"/>
              <w:noProof/>
              <w:sz w:val="24"/>
              <w:szCs w:val="24"/>
              <w:lang w:val="en-GB"/>
            </w:rPr>
          </w:pPr>
          <w:hyperlink w:anchor="_Toc3211416" w:history="1">
            <w:r w:rsidR="0028665F" w:rsidRPr="00770FE3">
              <w:rPr>
                <w:rStyle w:val="Hyperlink"/>
                <w:noProof/>
              </w:rPr>
              <w:t>4.1.2 Mechanisms of Arthritis</w:t>
            </w:r>
            <w:r w:rsidR="0028665F">
              <w:rPr>
                <w:noProof/>
                <w:webHidden/>
              </w:rPr>
              <w:tab/>
            </w:r>
            <w:r w:rsidR="0028665F">
              <w:rPr>
                <w:noProof/>
                <w:webHidden/>
              </w:rPr>
              <w:fldChar w:fldCharType="begin"/>
            </w:r>
            <w:r w:rsidR="0028665F">
              <w:rPr>
                <w:noProof/>
                <w:webHidden/>
              </w:rPr>
              <w:instrText xml:space="preserve"> PAGEREF _Toc3211416 \h </w:instrText>
            </w:r>
            <w:r w:rsidR="0028665F">
              <w:rPr>
                <w:noProof/>
                <w:webHidden/>
              </w:rPr>
            </w:r>
            <w:r w:rsidR="0028665F">
              <w:rPr>
                <w:noProof/>
                <w:webHidden/>
              </w:rPr>
              <w:fldChar w:fldCharType="separate"/>
            </w:r>
            <w:r w:rsidR="0028665F">
              <w:rPr>
                <w:noProof/>
                <w:webHidden/>
              </w:rPr>
              <w:t>113</w:t>
            </w:r>
            <w:r w:rsidR="0028665F">
              <w:rPr>
                <w:noProof/>
                <w:webHidden/>
              </w:rPr>
              <w:fldChar w:fldCharType="end"/>
            </w:r>
          </w:hyperlink>
        </w:p>
        <w:p w14:paraId="307049E7" w14:textId="1B4B7089" w:rsidR="0028665F" w:rsidRDefault="00C2072C">
          <w:pPr>
            <w:pStyle w:val="TOC3"/>
            <w:rPr>
              <w:rFonts w:asciiTheme="minorHAnsi" w:eastAsiaTheme="minorEastAsia" w:hAnsiTheme="minorHAnsi" w:cstheme="minorBidi"/>
              <w:noProof/>
              <w:sz w:val="24"/>
              <w:szCs w:val="24"/>
              <w:lang w:val="en-GB"/>
            </w:rPr>
          </w:pPr>
          <w:hyperlink w:anchor="_Toc3211417" w:history="1">
            <w:r w:rsidR="0028665F" w:rsidRPr="00770FE3">
              <w:rPr>
                <w:rStyle w:val="Hyperlink"/>
                <w:noProof/>
              </w:rPr>
              <w:t>4.1.3 Autoimmune Conditions with Arthritis</w:t>
            </w:r>
            <w:r w:rsidR="0028665F">
              <w:rPr>
                <w:noProof/>
                <w:webHidden/>
              </w:rPr>
              <w:tab/>
            </w:r>
            <w:r w:rsidR="0028665F">
              <w:rPr>
                <w:noProof/>
                <w:webHidden/>
              </w:rPr>
              <w:fldChar w:fldCharType="begin"/>
            </w:r>
            <w:r w:rsidR="0028665F">
              <w:rPr>
                <w:noProof/>
                <w:webHidden/>
              </w:rPr>
              <w:instrText xml:space="preserve"> PAGEREF _Toc3211417 \h </w:instrText>
            </w:r>
            <w:r w:rsidR="0028665F">
              <w:rPr>
                <w:noProof/>
                <w:webHidden/>
              </w:rPr>
            </w:r>
            <w:r w:rsidR="0028665F">
              <w:rPr>
                <w:noProof/>
                <w:webHidden/>
              </w:rPr>
              <w:fldChar w:fldCharType="separate"/>
            </w:r>
            <w:r w:rsidR="0028665F">
              <w:rPr>
                <w:noProof/>
                <w:webHidden/>
              </w:rPr>
              <w:t>115</w:t>
            </w:r>
            <w:r w:rsidR="0028665F">
              <w:rPr>
                <w:noProof/>
                <w:webHidden/>
              </w:rPr>
              <w:fldChar w:fldCharType="end"/>
            </w:r>
          </w:hyperlink>
        </w:p>
        <w:p w14:paraId="5ED00286" w14:textId="6C46C315" w:rsidR="0028665F" w:rsidRDefault="00C2072C">
          <w:pPr>
            <w:pStyle w:val="TOC4"/>
            <w:rPr>
              <w:rFonts w:asciiTheme="minorHAnsi" w:eastAsiaTheme="minorEastAsia" w:hAnsiTheme="minorHAnsi" w:cstheme="minorBidi"/>
              <w:noProof/>
              <w:sz w:val="24"/>
              <w:szCs w:val="24"/>
              <w:lang w:val="en-GB"/>
            </w:rPr>
          </w:pPr>
          <w:hyperlink w:anchor="_Toc3211418" w:history="1">
            <w:r w:rsidR="0028665F" w:rsidRPr="00770FE3">
              <w:rPr>
                <w:rStyle w:val="Hyperlink"/>
                <w:noProof/>
                <w:lang w:val="en-GB"/>
              </w:rPr>
              <w:t>4.1.3.1</w:t>
            </w:r>
            <w:r w:rsidR="0028665F" w:rsidRPr="00770FE3">
              <w:rPr>
                <w:rStyle w:val="Hyperlink"/>
                <w:noProof/>
              </w:rPr>
              <w:t xml:space="preserve"> Rheumatoid</w:t>
            </w:r>
            <w:r w:rsidR="0028665F" w:rsidRPr="00770FE3">
              <w:rPr>
                <w:rStyle w:val="Hyperlink"/>
                <w:noProof/>
                <w:lang w:val="en-GB"/>
              </w:rPr>
              <w:t xml:space="preserve"> Arthritis</w:t>
            </w:r>
            <w:r w:rsidR="0028665F">
              <w:rPr>
                <w:noProof/>
                <w:webHidden/>
              </w:rPr>
              <w:tab/>
            </w:r>
            <w:r w:rsidR="0028665F">
              <w:rPr>
                <w:noProof/>
                <w:webHidden/>
              </w:rPr>
              <w:fldChar w:fldCharType="begin"/>
            </w:r>
            <w:r w:rsidR="0028665F">
              <w:rPr>
                <w:noProof/>
                <w:webHidden/>
              </w:rPr>
              <w:instrText xml:space="preserve"> PAGEREF _Toc3211418 \h </w:instrText>
            </w:r>
            <w:r w:rsidR="0028665F">
              <w:rPr>
                <w:noProof/>
                <w:webHidden/>
              </w:rPr>
            </w:r>
            <w:r w:rsidR="0028665F">
              <w:rPr>
                <w:noProof/>
                <w:webHidden/>
              </w:rPr>
              <w:fldChar w:fldCharType="separate"/>
            </w:r>
            <w:r w:rsidR="0028665F">
              <w:rPr>
                <w:noProof/>
                <w:webHidden/>
              </w:rPr>
              <w:t>115</w:t>
            </w:r>
            <w:r w:rsidR="0028665F">
              <w:rPr>
                <w:noProof/>
                <w:webHidden/>
              </w:rPr>
              <w:fldChar w:fldCharType="end"/>
            </w:r>
          </w:hyperlink>
        </w:p>
        <w:p w14:paraId="6CFDC630" w14:textId="39BB153D" w:rsidR="0028665F" w:rsidRDefault="00C2072C">
          <w:pPr>
            <w:pStyle w:val="TOC4"/>
            <w:rPr>
              <w:rFonts w:asciiTheme="minorHAnsi" w:eastAsiaTheme="minorEastAsia" w:hAnsiTheme="minorHAnsi" w:cstheme="minorBidi"/>
              <w:noProof/>
              <w:sz w:val="24"/>
              <w:szCs w:val="24"/>
              <w:lang w:val="en-GB"/>
            </w:rPr>
          </w:pPr>
          <w:hyperlink w:anchor="_Toc3211419" w:history="1">
            <w:r w:rsidR="0028665F" w:rsidRPr="00770FE3">
              <w:rPr>
                <w:rStyle w:val="Hyperlink"/>
                <w:noProof/>
                <w:lang w:val="en-GB"/>
              </w:rPr>
              <w:t>4.1.3.2 Psoriatic Arthritis</w:t>
            </w:r>
            <w:r w:rsidR="0028665F">
              <w:rPr>
                <w:noProof/>
                <w:webHidden/>
              </w:rPr>
              <w:tab/>
            </w:r>
            <w:r w:rsidR="0028665F">
              <w:rPr>
                <w:noProof/>
                <w:webHidden/>
              </w:rPr>
              <w:fldChar w:fldCharType="begin"/>
            </w:r>
            <w:r w:rsidR="0028665F">
              <w:rPr>
                <w:noProof/>
                <w:webHidden/>
              </w:rPr>
              <w:instrText xml:space="preserve"> PAGEREF _Toc3211419 \h </w:instrText>
            </w:r>
            <w:r w:rsidR="0028665F">
              <w:rPr>
                <w:noProof/>
                <w:webHidden/>
              </w:rPr>
            </w:r>
            <w:r w:rsidR="0028665F">
              <w:rPr>
                <w:noProof/>
                <w:webHidden/>
              </w:rPr>
              <w:fldChar w:fldCharType="separate"/>
            </w:r>
            <w:r w:rsidR="0028665F">
              <w:rPr>
                <w:noProof/>
                <w:webHidden/>
              </w:rPr>
              <w:t>115</w:t>
            </w:r>
            <w:r w:rsidR="0028665F">
              <w:rPr>
                <w:noProof/>
                <w:webHidden/>
              </w:rPr>
              <w:fldChar w:fldCharType="end"/>
            </w:r>
          </w:hyperlink>
        </w:p>
        <w:p w14:paraId="5EA914C6" w14:textId="26FBE3A2" w:rsidR="0028665F" w:rsidRDefault="00C2072C">
          <w:pPr>
            <w:pStyle w:val="TOC4"/>
            <w:rPr>
              <w:rFonts w:asciiTheme="minorHAnsi" w:eastAsiaTheme="minorEastAsia" w:hAnsiTheme="minorHAnsi" w:cstheme="minorBidi"/>
              <w:noProof/>
              <w:sz w:val="24"/>
              <w:szCs w:val="24"/>
              <w:lang w:val="en-GB"/>
            </w:rPr>
          </w:pPr>
          <w:hyperlink w:anchor="_Toc3211420" w:history="1">
            <w:r w:rsidR="0028665F" w:rsidRPr="00770FE3">
              <w:rPr>
                <w:rStyle w:val="Hyperlink"/>
                <w:noProof/>
                <w:lang w:val="en-GB"/>
              </w:rPr>
              <w:t>4.1.3.3 Ankylosing Spondylitis</w:t>
            </w:r>
            <w:r w:rsidR="0028665F">
              <w:rPr>
                <w:noProof/>
                <w:webHidden/>
              </w:rPr>
              <w:tab/>
            </w:r>
            <w:r w:rsidR="0028665F">
              <w:rPr>
                <w:noProof/>
                <w:webHidden/>
              </w:rPr>
              <w:fldChar w:fldCharType="begin"/>
            </w:r>
            <w:r w:rsidR="0028665F">
              <w:rPr>
                <w:noProof/>
                <w:webHidden/>
              </w:rPr>
              <w:instrText xml:space="preserve"> PAGEREF _Toc3211420 \h </w:instrText>
            </w:r>
            <w:r w:rsidR="0028665F">
              <w:rPr>
                <w:noProof/>
                <w:webHidden/>
              </w:rPr>
            </w:r>
            <w:r w:rsidR="0028665F">
              <w:rPr>
                <w:noProof/>
                <w:webHidden/>
              </w:rPr>
              <w:fldChar w:fldCharType="separate"/>
            </w:r>
            <w:r w:rsidR="0028665F">
              <w:rPr>
                <w:noProof/>
                <w:webHidden/>
              </w:rPr>
              <w:t>116</w:t>
            </w:r>
            <w:r w:rsidR="0028665F">
              <w:rPr>
                <w:noProof/>
                <w:webHidden/>
              </w:rPr>
              <w:fldChar w:fldCharType="end"/>
            </w:r>
          </w:hyperlink>
        </w:p>
        <w:p w14:paraId="178EDB28" w14:textId="71E68C93" w:rsidR="0028665F" w:rsidRDefault="00C2072C">
          <w:pPr>
            <w:pStyle w:val="TOC4"/>
            <w:rPr>
              <w:rFonts w:asciiTheme="minorHAnsi" w:eastAsiaTheme="minorEastAsia" w:hAnsiTheme="minorHAnsi" w:cstheme="minorBidi"/>
              <w:noProof/>
              <w:sz w:val="24"/>
              <w:szCs w:val="24"/>
              <w:lang w:val="en-GB"/>
            </w:rPr>
          </w:pPr>
          <w:hyperlink w:anchor="_Toc3211421" w:history="1">
            <w:r w:rsidR="0028665F" w:rsidRPr="00770FE3">
              <w:rPr>
                <w:rStyle w:val="Hyperlink"/>
                <w:noProof/>
                <w:lang w:val="en-GB"/>
              </w:rPr>
              <w:t>4.1.3.4 Juvenile Idiopathic Arthritis</w:t>
            </w:r>
            <w:r w:rsidR="0028665F">
              <w:rPr>
                <w:noProof/>
                <w:webHidden/>
              </w:rPr>
              <w:tab/>
            </w:r>
            <w:r w:rsidR="0028665F">
              <w:rPr>
                <w:noProof/>
                <w:webHidden/>
              </w:rPr>
              <w:fldChar w:fldCharType="begin"/>
            </w:r>
            <w:r w:rsidR="0028665F">
              <w:rPr>
                <w:noProof/>
                <w:webHidden/>
              </w:rPr>
              <w:instrText xml:space="preserve"> PAGEREF _Toc3211421 \h </w:instrText>
            </w:r>
            <w:r w:rsidR="0028665F">
              <w:rPr>
                <w:noProof/>
                <w:webHidden/>
              </w:rPr>
            </w:r>
            <w:r w:rsidR="0028665F">
              <w:rPr>
                <w:noProof/>
                <w:webHidden/>
              </w:rPr>
              <w:fldChar w:fldCharType="separate"/>
            </w:r>
            <w:r w:rsidR="0028665F">
              <w:rPr>
                <w:noProof/>
                <w:webHidden/>
              </w:rPr>
              <w:t>116</w:t>
            </w:r>
            <w:r w:rsidR="0028665F">
              <w:rPr>
                <w:noProof/>
                <w:webHidden/>
              </w:rPr>
              <w:fldChar w:fldCharType="end"/>
            </w:r>
          </w:hyperlink>
        </w:p>
        <w:p w14:paraId="5E7A3E3C" w14:textId="17DBBDCF" w:rsidR="0028665F" w:rsidRDefault="00C2072C">
          <w:pPr>
            <w:pStyle w:val="TOC4"/>
            <w:rPr>
              <w:rFonts w:asciiTheme="minorHAnsi" w:eastAsiaTheme="minorEastAsia" w:hAnsiTheme="minorHAnsi" w:cstheme="minorBidi"/>
              <w:noProof/>
              <w:sz w:val="24"/>
              <w:szCs w:val="24"/>
              <w:lang w:val="en-GB"/>
            </w:rPr>
          </w:pPr>
          <w:hyperlink w:anchor="_Toc3211422" w:history="1">
            <w:r w:rsidR="0028665F" w:rsidRPr="00770FE3">
              <w:rPr>
                <w:rStyle w:val="Hyperlink"/>
                <w:noProof/>
                <w:lang w:val="en-GB"/>
              </w:rPr>
              <w:t>4.1.3.5 Adult-Onset Still’s Disease</w:t>
            </w:r>
            <w:r w:rsidR="0028665F">
              <w:rPr>
                <w:noProof/>
                <w:webHidden/>
              </w:rPr>
              <w:tab/>
            </w:r>
            <w:r w:rsidR="0028665F">
              <w:rPr>
                <w:noProof/>
                <w:webHidden/>
              </w:rPr>
              <w:fldChar w:fldCharType="begin"/>
            </w:r>
            <w:r w:rsidR="0028665F">
              <w:rPr>
                <w:noProof/>
                <w:webHidden/>
              </w:rPr>
              <w:instrText xml:space="preserve"> PAGEREF _Toc3211422 \h </w:instrText>
            </w:r>
            <w:r w:rsidR="0028665F">
              <w:rPr>
                <w:noProof/>
                <w:webHidden/>
              </w:rPr>
            </w:r>
            <w:r w:rsidR="0028665F">
              <w:rPr>
                <w:noProof/>
                <w:webHidden/>
              </w:rPr>
              <w:fldChar w:fldCharType="separate"/>
            </w:r>
            <w:r w:rsidR="0028665F">
              <w:rPr>
                <w:noProof/>
                <w:webHidden/>
              </w:rPr>
              <w:t>116</w:t>
            </w:r>
            <w:r w:rsidR="0028665F">
              <w:rPr>
                <w:noProof/>
                <w:webHidden/>
              </w:rPr>
              <w:fldChar w:fldCharType="end"/>
            </w:r>
          </w:hyperlink>
        </w:p>
        <w:p w14:paraId="12B26030" w14:textId="585F848F" w:rsidR="0028665F" w:rsidRDefault="00C2072C">
          <w:pPr>
            <w:pStyle w:val="TOC4"/>
            <w:rPr>
              <w:rFonts w:asciiTheme="minorHAnsi" w:eastAsiaTheme="minorEastAsia" w:hAnsiTheme="minorHAnsi" w:cstheme="minorBidi"/>
              <w:noProof/>
              <w:sz w:val="24"/>
              <w:szCs w:val="24"/>
              <w:lang w:val="en-GB"/>
            </w:rPr>
          </w:pPr>
          <w:hyperlink w:anchor="_Toc3211423" w:history="1">
            <w:r w:rsidR="0028665F" w:rsidRPr="00770FE3">
              <w:rPr>
                <w:rStyle w:val="Hyperlink"/>
                <w:noProof/>
                <w:lang w:val="en-GB"/>
              </w:rPr>
              <w:t>4.1.3.6 Systemic Lupus Erythematosus</w:t>
            </w:r>
            <w:r w:rsidR="0028665F">
              <w:rPr>
                <w:noProof/>
                <w:webHidden/>
              </w:rPr>
              <w:tab/>
            </w:r>
            <w:r w:rsidR="0028665F">
              <w:rPr>
                <w:noProof/>
                <w:webHidden/>
              </w:rPr>
              <w:fldChar w:fldCharType="begin"/>
            </w:r>
            <w:r w:rsidR="0028665F">
              <w:rPr>
                <w:noProof/>
                <w:webHidden/>
              </w:rPr>
              <w:instrText xml:space="preserve"> PAGEREF _Toc3211423 \h </w:instrText>
            </w:r>
            <w:r w:rsidR="0028665F">
              <w:rPr>
                <w:noProof/>
                <w:webHidden/>
              </w:rPr>
            </w:r>
            <w:r w:rsidR="0028665F">
              <w:rPr>
                <w:noProof/>
                <w:webHidden/>
              </w:rPr>
              <w:fldChar w:fldCharType="separate"/>
            </w:r>
            <w:r w:rsidR="0028665F">
              <w:rPr>
                <w:noProof/>
                <w:webHidden/>
              </w:rPr>
              <w:t>117</w:t>
            </w:r>
            <w:r w:rsidR="0028665F">
              <w:rPr>
                <w:noProof/>
                <w:webHidden/>
              </w:rPr>
              <w:fldChar w:fldCharType="end"/>
            </w:r>
          </w:hyperlink>
        </w:p>
        <w:p w14:paraId="6020C37D" w14:textId="11828110" w:rsidR="0028665F" w:rsidRDefault="00C2072C">
          <w:pPr>
            <w:pStyle w:val="TOC3"/>
            <w:rPr>
              <w:rFonts w:asciiTheme="minorHAnsi" w:eastAsiaTheme="minorEastAsia" w:hAnsiTheme="minorHAnsi" w:cstheme="minorBidi"/>
              <w:noProof/>
              <w:sz w:val="24"/>
              <w:szCs w:val="24"/>
              <w:lang w:val="en-GB"/>
            </w:rPr>
          </w:pPr>
          <w:hyperlink w:anchor="_Toc3211424" w:history="1">
            <w:r w:rsidR="0028665F" w:rsidRPr="00770FE3">
              <w:rPr>
                <w:rStyle w:val="Hyperlink"/>
                <w:noProof/>
              </w:rPr>
              <w:t>4.1.4 Building an Autoimmune Arthritis Signature</w:t>
            </w:r>
            <w:r w:rsidR="0028665F">
              <w:rPr>
                <w:noProof/>
                <w:webHidden/>
              </w:rPr>
              <w:tab/>
            </w:r>
            <w:r w:rsidR="0028665F">
              <w:rPr>
                <w:noProof/>
                <w:webHidden/>
              </w:rPr>
              <w:fldChar w:fldCharType="begin"/>
            </w:r>
            <w:r w:rsidR="0028665F">
              <w:rPr>
                <w:noProof/>
                <w:webHidden/>
              </w:rPr>
              <w:instrText xml:space="preserve"> PAGEREF _Toc3211424 \h </w:instrText>
            </w:r>
            <w:r w:rsidR="0028665F">
              <w:rPr>
                <w:noProof/>
                <w:webHidden/>
              </w:rPr>
            </w:r>
            <w:r w:rsidR="0028665F">
              <w:rPr>
                <w:noProof/>
                <w:webHidden/>
              </w:rPr>
              <w:fldChar w:fldCharType="separate"/>
            </w:r>
            <w:r w:rsidR="0028665F">
              <w:rPr>
                <w:noProof/>
                <w:webHidden/>
              </w:rPr>
              <w:t>117</w:t>
            </w:r>
            <w:r w:rsidR="0028665F">
              <w:rPr>
                <w:noProof/>
                <w:webHidden/>
              </w:rPr>
              <w:fldChar w:fldCharType="end"/>
            </w:r>
          </w:hyperlink>
        </w:p>
        <w:p w14:paraId="63F87923" w14:textId="01CA88D4" w:rsidR="0028665F" w:rsidRDefault="00C2072C">
          <w:pPr>
            <w:pStyle w:val="TOC2"/>
            <w:rPr>
              <w:rFonts w:asciiTheme="minorHAnsi" w:eastAsiaTheme="minorEastAsia" w:hAnsiTheme="minorHAnsi" w:cstheme="minorBidi"/>
              <w:bCs w:val="0"/>
              <w:noProof/>
              <w:sz w:val="24"/>
              <w:szCs w:val="24"/>
              <w:lang w:val="en-GB"/>
            </w:rPr>
          </w:pPr>
          <w:hyperlink w:anchor="_Toc3211425" w:history="1">
            <w:r w:rsidR="0028665F" w:rsidRPr="00770FE3">
              <w:rPr>
                <w:rStyle w:val="Hyperlink"/>
                <w:noProof/>
              </w:rPr>
              <w:t>4.2 Materials and Methods</w:t>
            </w:r>
            <w:r w:rsidR="0028665F">
              <w:rPr>
                <w:noProof/>
                <w:webHidden/>
              </w:rPr>
              <w:tab/>
            </w:r>
            <w:r w:rsidR="0028665F">
              <w:rPr>
                <w:noProof/>
                <w:webHidden/>
              </w:rPr>
              <w:fldChar w:fldCharType="begin"/>
            </w:r>
            <w:r w:rsidR="0028665F">
              <w:rPr>
                <w:noProof/>
                <w:webHidden/>
              </w:rPr>
              <w:instrText xml:space="preserve"> PAGEREF _Toc3211425 \h </w:instrText>
            </w:r>
            <w:r w:rsidR="0028665F">
              <w:rPr>
                <w:noProof/>
                <w:webHidden/>
              </w:rPr>
            </w:r>
            <w:r w:rsidR="0028665F">
              <w:rPr>
                <w:noProof/>
                <w:webHidden/>
              </w:rPr>
              <w:fldChar w:fldCharType="separate"/>
            </w:r>
            <w:r w:rsidR="0028665F">
              <w:rPr>
                <w:noProof/>
                <w:webHidden/>
              </w:rPr>
              <w:t>119</w:t>
            </w:r>
            <w:r w:rsidR="0028665F">
              <w:rPr>
                <w:noProof/>
                <w:webHidden/>
              </w:rPr>
              <w:fldChar w:fldCharType="end"/>
            </w:r>
          </w:hyperlink>
        </w:p>
        <w:p w14:paraId="4E4C0EAD" w14:textId="01D3B9F0" w:rsidR="0028665F" w:rsidRDefault="00C2072C">
          <w:pPr>
            <w:pStyle w:val="TOC3"/>
            <w:rPr>
              <w:rFonts w:asciiTheme="minorHAnsi" w:eastAsiaTheme="minorEastAsia" w:hAnsiTheme="minorHAnsi" w:cstheme="minorBidi"/>
              <w:noProof/>
              <w:sz w:val="24"/>
              <w:szCs w:val="24"/>
              <w:lang w:val="en-GB"/>
            </w:rPr>
          </w:pPr>
          <w:hyperlink w:anchor="_Toc3211426" w:history="1">
            <w:r w:rsidR="0028665F" w:rsidRPr="00770FE3">
              <w:rPr>
                <w:rStyle w:val="Hyperlink"/>
                <w:noProof/>
              </w:rPr>
              <w:t>4.2.1 Data Selection, Pre-processing, and Quality Control</w:t>
            </w:r>
            <w:r w:rsidR="0028665F">
              <w:rPr>
                <w:noProof/>
                <w:webHidden/>
              </w:rPr>
              <w:tab/>
            </w:r>
            <w:r w:rsidR="0028665F">
              <w:rPr>
                <w:noProof/>
                <w:webHidden/>
              </w:rPr>
              <w:fldChar w:fldCharType="begin"/>
            </w:r>
            <w:r w:rsidR="0028665F">
              <w:rPr>
                <w:noProof/>
                <w:webHidden/>
              </w:rPr>
              <w:instrText xml:space="preserve"> PAGEREF _Toc3211426 \h </w:instrText>
            </w:r>
            <w:r w:rsidR="0028665F">
              <w:rPr>
                <w:noProof/>
                <w:webHidden/>
              </w:rPr>
            </w:r>
            <w:r w:rsidR="0028665F">
              <w:rPr>
                <w:noProof/>
                <w:webHidden/>
              </w:rPr>
              <w:fldChar w:fldCharType="separate"/>
            </w:r>
            <w:r w:rsidR="0028665F">
              <w:rPr>
                <w:noProof/>
                <w:webHidden/>
              </w:rPr>
              <w:t>119</w:t>
            </w:r>
            <w:r w:rsidR="0028665F">
              <w:rPr>
                <w:noProof/>
                <w:webHidden/>
              </w:rPr>
              <w:fldChar w:fldCharType="end"/>
            </w:r>
          </w:hyperlink>
        </w:p>
        <w:p w14:paraId="56DBF051" w14:textId="331E4F4B" w:rsidR="0028665F" w:rsidRDefault="00C2072C">
          <w:pPr>
            <w:pStyle w:val="TOC3"/>
            <w:rPr>
              <w:rFonts w:asciiTheme="minorHAnsi" w:eastAsiaTheme="minorEastAsia" w:hAnsiTheme="minorHAnsi" w:cstheme="minorBidi"/>
              <w:noProof/>
              <w:sz w:val="24"/>
              <w:szCs w:val="24"/>
              <w:lang w:val="en-GB"/>
            </w:rPr>
          </w:pPr>
          <w:hyperlink w:anchor="_Toc3211427" w:history="1">
            <w:r w:rsidR="0028665F" w:rsidRPr="00770FE3">
              <w:rPr>
                <w:rStyle w:val="Hyperlink"/>
                <w:noProof/>
              </w:rPr>
              <w:t>4.2.2 Curation of Arthritis benchmark gene lists</w:t>
            </w:r>
            <w:r w:rsidR="0028665F">
              <w:rPr>
                <w:noProof/>
                <w:webHidden/>
              </w:rPr>
              <w:tab/>
            </w:r>
            <w:r w:rsidR="0028665F">
              <w:rPr>
                <w:noProof/>
                <w:webHidden/>
              </w:rPr>
              <w:fldChar w:fldCharType="begin"/>
            </w:r>
            <w:r w:rsidR="0028665F">
              <w:rPr>
                <w:noProof/>
                <w:webHidden/>
              </w:rPr>
              <w:instrText xml:space="preserve"> PAGEREF _Toc3211427 \h </w:instrText>
            </w:r>
            <w:r w:rsidR="0028665F">
              <w:rPr>
                <w:noProof/>
                <w:webHidden/>
              </w:rPr>
            </w:r>
            <w:r w:rsidR="0028665F">
              <w:rPr>
                <w:noProof/>
                <w:webHidden/>
              </w:rPr>
              <w:fldChar w:fldCharType="separate"/>
            </w:r>
            <w:r w:rsidR="0028665F">
              <w:rPr>
                <w:noProof/>
                <w:webHidden/>
              </w:rPr>
              <w:t>122</w:t>
            </w:r>
            <w:r w:rsidR="0028665F">
              <w:rPr>
                <w:noProof/>
                <w:webHidden/>
              </w:rPr>
              <w:fldChar w:fldCharType="end"/>
            </w:r>
          </w:hyperlink>
        </w:p>
        <w:p w14:paraId="4E9F3BBA" w14:textId="16C59597" w:rsidR="0028665F" w:rsidRDefault="00C2072C">
          <w:pPr>
            <w:pStyle w:val="TOC3"/>
            <w:rPr>
              <w:rFonts w:asciiTheme="minorHAnsi" w:eastAsiaTheme="minorEastAsia" w:hAnsiTheme="minorHAnsi" w:cstheme="minorBidi"/>
              <w:noProof/>
              <w:sz w:val="24"/>
              <w:szCs w:val="24"/>
              <w:lang w:val="en-GB"/>
            </w:rPr>
          </w:pPr>
          <w:hyperlink w:anchor="_Toc3211428" w:history="1">
            <w:r w:rsidR="0028665F" w:rsidRPr="00770FE3">
              <w:rPr>
                <w:rStyle w:val="Hyperlink"/>
                <w:noProof/>
              </w:rPr>
              <w:t>4.2.3 Prioritisation</w:t>
            </w:r>
            <w:r w:rsidR="0028665F">
              <w:rPr>
                <w:noProof/>
                <w:webHidden/>
              </w:rPr>
              <w:tab/>
            </w:r>
            <w:r w:rsidR="0028665F">
              <w:rPr>
                <w:noProof/>
                <w:webHidden/>
              </w:rPr>
              <w:fldChar w:fldCharType="begin"/>
            </w:r>
            <w:r w:rsidR="0028665F">
              <w:rPr>
                <w:noProof/>
                <w:webHidden/>
              </w:rPr>
              <w:instrText xml:space="preserve"> PAGEREF _Toc3211428 \h </w:instrText>
            </w:r>
            <w:r w:rsidR="0028665F">
              <w:rPr>
                <w:noProof/>
                <w:webHidden/>
              </w:rPr>
            </w:r>
            <w:r w:rsidR="0028665F">
              <w:rPr>
                <w:noProof/>
                <w:webHidden/>
              </w:rPr>
              <w:fldChar w:fldCharType="separate"/>
            </w:r>
            <w:r w:rsidR="0028665F">
              <w:rPr>
                <w:noProof/>
                <w:webHidden/>
              </w:rPr>
              <w:t>122</w:t>
            </w:r>
            <w:r w:rsidR="0028665F">
              <w:rPr>
                <w:noProof/>
                <w:webHidden/>
              </w:rPr>
              <w:fldChar w:fldCharType="end"/>
            </w:r>
          </w:hyperlink>
        </w:p>
        <w:p w14:paraId="4DC3226A" w14:textId="2A23BE41" w:rsidR="0028665F" w:rsidRDefault="00C2072C">
          <w:pPr>
            <w:pStyle w:val="TOC2"/>
            <w:rPr>
              <w:rFonts w:asciiTheme="minorHAnsi" w:eastAsiaTheme="minorEastAsia" w:hAnsiTheme="minorHAnsi" w:cstheme="minorBidi"/>
              <w:bCs w:val="0"/>
              <w:noProof/>
              <w:sz w:val="24"/>
              <w:szCs w:val="24"/>
              <w:lang w:val="en-GB"/>
            </w:rPr>
          </w:pPr>
          <w:hyperlink w:anchor="_Toc3211429" w:history="1">
            <w:r w:rsidR="0028665F" w:rsidRPr="00770FE3">
              <w:rPr>
                <w:rStyle w:val="Hyperlink"/>
                <w:noProof/>
              </w:rPr>
              <w:t>4.3 Results</w:t>
            </w:r>
            <w:r w:rsidR="0028665F">
              <w:rPr>
                <w:noProof/>
                <w:webHidden/>
              </w:rPr>
              <w:tab/>
            </w:r>
            <w:r w:rsidR="0028665F">
              <w:rPr>
                <w:noProof/>
                <w:webHidden/>
              </w:rPr>
              <w:fldChar w:fldCharType="begin"/>
            </w:r>
            <w:r w:rsidR="0028665F">
              <w:rPr>
                <w:noProof/>
                <w:webHidden/>
              </w:rPr>
              <w:instrText xml:space="preserve"> PAGEREF _Toc3211429 \h </w:instrText>
            </w:r>
            <w:r w:rsidR="0028665F">
              <w:rPr>
                <w:noProof/>
                <w:webHidden/>
              </w:rPr>
            </w:r>
            <w:r w:rsidR="0028665F">
              <w:rPr>
                <w:noProof/>
                <w:webHidden/>
              </w:rPr>
              <w:fldChar w:fldCharType="separate"/>
            </w:r>
            <w:r w:rsidR="0028665F">
              <w:rPr>
                <w:noProof/>
                <w:webHidden/>
              </w:rPr>
              <w:t>124</w:t>
            </w:r>
            <w:r w:rsidR="0028665F">
              <w:rPr>
                <w:noProof/>
                <w:webHidden/>
              </w:rPr>
              <w:fldChar w:fldCharType="end"/>
            </w:r>
          </w:hyperlink>
        </w:p>
        <w:p w14:paraId="520C2029" w14:textId="51163523" w:rsidR="0028665F" w:rsidRDefault="00C2072C">
          <w:pPr>
            <w:pStyle w:val="TOC3"/>
            <w:rPr>
              <w:rFonts w:asciiTheme="minorHAnsi" w:eastAsiaTheme="minorEastAsia" w:hAnsiTheme="minorHAnsi" w:cstheme="minorBidi"/>
              <w:noProof/>
              <w:sz w:val="24"/>
              <w:szCs w:val="24"/>
              <w:lang w:val="en-GB"/>
            </w:rPr>
          </w:pPr>
          <w:hyperlink w:anchor="_Toc3211430" w:history="1">
            <w:r w:rsidR="0028665F" w:rsidRPr="00770FE3">
              <w:rPr>
                <w:rStyle w:val="Hyperlink"/>
                <w:noProof/>
              </w:rPr>
              <w:t>4.3.1 Quality control of datasets</w:t>
            </w:r>
            <w:r w:rsidR="0028665F">
              <w:rPr>
                <w:noProof/>
                <w:webHidden/>
              </w:rPr>
              <w:tab/>
            </w:r>
            <w:r w:rsidR="0028665F">
              <w:rPr>
                <w:noProof/>
                <w:webHidden/>
              </w:rPr>
              <w:fldChar w:fldCharType="begin"/>
            </w:r>
            <w:r w:rsidR="0028665F">
              <w:rPr>
                <w:noProof/>
                <w:webHidden/>
              </w:rPr>
              <w:instrText xml:space="preserve"> PAGEREF _Toc3211430 \h </w:instrText>
            </w:r>
            <w:r w:rsidR="0028665F">
              <w:rPr>
                <w:noProof/>
                <w:webHidden/>
              </w:rPr>
            </w:r>
            <w:r w:rsidR="0028665F">
              <w:rPr>
                <w:noProof/>
                <w:webHidden/>
              </w:rPr>
              <w:fldChar w:fldCharType="separate"/>
            </w:r>
            <w:r w:rsidR="0028665F">
              <w:rPr>
                <w:noProof/>
                <w:webHidden/>
              </w:rPr>
              <w:t>124</w:t>
            </w:r>
            <w:r w:rsidR="0028665F">
              <w:rPr>
                <w:noProof/>
                <w:webHidden/>
              </w:rPr>
              <w:fldChar w:fldCharType="end"/>
            </w:r>
          </w:hyperlink>
        </w:p>
        <w:p w14:paraId="363AB510" w14:textId="0CC9AF45" w:rsidR="0028665F" w:rsidRDefault="00C2072C">
          <w:pPr>
            <w:pStyle w:val="TOC3"/>
            <w:rPr>
              <w:rFonts w:asciiTheme="minorHAnsi" w:eastAsiaTheme="minorEastAsia" w:hAnsiTheme="minorHAnsi" w:cstheme="minorBidi"/>
              <w:noProof/>
              <w:sz w:val="24"/>
              <w:szCs w:val="24"/>
              <w:lang w:val="en-GB"/>
            </w:rPr>
          </w:pPr>
          <w:hyperlink w:anchor="_Toc3211431" w:history="1">
            <w:r w:rsidR="0028665F" w:rsidRPr="00770FE3">
              <w:rPr>
                <w:rStyle w:val="Hyperlink"/>
                <w:noProof/>
              </w:rPr>
              <w:t>4.3.2 Identification of commonly differentially expressed genes</w:t>
            </w:r>
            <w:r w:rsidR="0028665F">
              <w:rPr>
                <w:noProof/>
                <w:webHidden/>
              </w:rPr>
              <w:tab/>
            </w:r>
            <w:r w:rsidR="0028665F">
              <w:rPr>
                <w:noProof/>
                <w:webHidden/>
              </w:rPr>
              <w:fldChar w:fldCharType="begin"/>
            </w:r>
            <w:r w:rsidR="0028665F">
              <w:rPr>
                <w:noProof/>
                <w:webHidden/>
              </w:rPr>
              <w:instrText xml:space="preserve"> PAGEREF _Toc3211431 \h </w:instrText>
            </w:r>
            <w:r w:rsidR="0028665F">
              <w:rPr>
                <w:noProof/>
                <w:webHidden/>
              </w:rPr>
            </w:r>
            <w:r w:rsidR="0028665F">
              <w:rPr>
                <w:noProof/>
                <w:webHidden/>
              </w:rPr>
              <w:fldChar w:fldCharType="separate"/>
            </w:r>
            <w:r w:rsidR="0028665F">
              <w:rPr>
                <w:noProof/>
                <w:webHidden/>
              </w:rPr>
              <w:t>124</w:t>
            </w:r>
            <w:r w:rsidR="0028665F">
              <w:rPr>
                <w:noProof/>
                <w:webHidden/>
              </w:rPr>
              <w:fldChar w:fldCharType="end"/>
            </w:r>
          </w:hyperlink>
        </w:p>
        <w:p w14:paraId="0540FD6F" w14:textId="04AF3469" w:rsidR="0028665F" w:rsidRDefault="00C2072C">
          <w:pPr>
            <w:pStyle w:val="TOC3"/>
            <w:rPr>
              <w:rFonts w:asciiTheme="minorHAnsi" w:eastAsiaTheme="minorEastAsia" w:hAnsiTheme="minorHAnsi" w:cstheme="minorBidi"/>
              <w:noProof/>
              <w:sz w:val="24"/>
              <w:szCs w:val="24"/>
              <w:lang w:val="en-GB"/>
            </w:rPr>
          </w:pPr>
          <w:hyperlink w:anchor="_Toc3211432" w:history="1">
            <w:r w:rsidR="0028665F" w:rsidRPr="00770FE3">
              <w:rPr>
                <w:rStyle w:val="Hyperlink"/>
                <w:noProof/>
              </w:rPr>
              <w:t>4.3.3 Generation of a protein-protein interaction network</w:t>
            </w:r>
            <w:r w:rsidR="0028665F">
              <w:rPr>
                <w:noProof/>
                <w:webHidden/>
              </w:rPr>
              <w:tab/>
            </w:r>
            <w:r w:rsidR="0028665F">
              <w:rPr>
                <w:noProof/>
                <w:webHidden/>
              </w:rPr>
              <w:fldChar w:fldCharType="begin"/>
            </w:r>
            <w:r w:rsidR="0028665F">
              <w:rPr>
                <w:noProof/>
                <w:webHidden/>
              </w:rPr>
              <w:instrText xml:space="preserve"> PAGEREF _Toc3211432 \h </w:instrText>
            </w:r>
            <w:r w:rsidR="0028665F">
              <w:rPr>
                <w:noProof/>
                <w:webHidden/>
              </w:rPr>
            </w:r>
            <w:r w:rsidR="0028665F">
              <w:rPr>
                <w:noProof/>
                <w:webHidden/>
              </w:rPr>
              <w:fldChar w:fldCharType="separate"/>
            </w:r>
            <w:r w:rsidR="0028665F">
              <w:rPr>
                <w:noProof/>
                <w:webHidden/>
              </w:rPr>
              <w:t>128</w:t>
            </w:r>
            <w:r w:rsidR="0028665F">
              <w:rPr>
                <w:noProof/>
                <w:webHidden/>
              </w:rPr>
              <w:fldChar w:fldCharType="end"/>
            </w:r>
          </w:hyperlink>
        </w:p>
        <w:p w14:paraId="29473DE7" w14:textId="2FB51E69" w:rsidR="0028665F" w:rsidRDefault="00C2072C">
          <w:pPr>
            <w:pStyle w:val="TOC3"/>
            <w:rPr>
              <w:rFonts w:asciiTheme="minorHAnsi" w:eastAsiaTheme="minorEastAsia" w:hAnsiTheme="minorHAnsi" w:cstheme="minorBidi"/>
              <w:noProof/>
              <w:sz w:val="24"/>
              <w:szCs w:val="24"/>
              <w:lang w:val="en-GB"/>
            </w:rPr>
          </w:pPr>
          <w:hyperlink w:anchor="_Toc3211433" w:history="1">
            <w:r w:rsidR="0028665F" w:rsidRPr="00770FE3">
              <w:rPr>
                <w:rStyle w:val="Hyperlink"/>
                <w:noProof/>
              </w:rPr>
              <w:t>4.3.4 Generation of a common coexpression module</w:t>
            </w:r>
            <w:r w:rsidR="0028665F">
              <w:rPr>
                <w:noProof/>
                <w:webHidden/>
              </w:rPr>
              <w:tab/>
            </w:r>
            <w:r w:rsidR="0028665F">
              <w:rPr>
                <w:noProof/>
                <w:webHidden/>
              </w:rPr>
              <w:fldChar w:fldCharType="begin"/>
            </w:r>
            <w:r w:rsidR="0028665F">
              <w:rPr>
                <w:noProof/>
                <w:webHidden/>
              </w:rPr>
              <w:instrText xml:space="preserve"> PAGEREF _Toc3211433 \h </w:instrText>
            </w:r>
            <w:r w:rsidR="0028665F">
              <w:rPr>
                <w:noProof/>
                <w:webHidden/>
              </w:rPr>
            </w:r>
            <w:r w:rsidR="0028665F">
              <w:rPr>
                <w:noProof/>
                <w:webHidden/>
              </w:rPr>
              <w:fldChar w:fldCharType="separate"/>
            </w:r>
            <w:r w:rsidR="0028665F">
              <w:rPr>
                <w:noProof/>
                <w:webHidden/>
              </w:rPr>
              <w:t>130</w:t>
            </w:r>
            <w:r w:rsidR="0028665F">
              <w:rPr>
                <w:noProof/>
                <w:webHidden/>
              </w:rPr>
              <w:fldChar w:fldCharType="end"/>
            </w:r>
          </w:hyperlink>
        </w:p>
        <w:p w14:paraId="2D1E91B3" w14:textId="36866099" w:rsidR="0028665F" w:rsidRDefault="00C2072C">
          <w:pPr>
            <w:pStyle w:val="TOC3"/>
            <w:rPr>
              <w:rFonts w:asciiTheme="minorHAnsi" w:eastAsiaTheme="minorEastAsia" w:hAnsiTheme="minorHAnsi" w:cstheme="minorBidi"/>
              <w:noProof/>
              <w:sz w:val="24"/>
              <w:szCs w:val="24"/>
              <w:lang w:val="en-GB"/>
            </w:rPr>
          </w:pPr>
          <w:hyperlink w:anchor="_Toc3211434" w:history="1">
            <w:r w:rsidR="0028665F" w:rsidRPr="00770FE3">
              <w:rPr>
                <w:rStyle w:val="Hyperlink"/>
                <w:noProof/>
              </w:rPr>
              <w:t>4.3.5 Prioritisation of in vitro candidates</w:t>
            </w:r>
            <w:r w:rsidR="0028665F">
              <w:rPr>
                <w:noProof/>
                <w:webHidden/>
              </w:rPr>
              <w:tab/>
            </w:r>
            <w:r w:rsidR="0028665F">
              <w:rPr>
                <w:noProof/>
                <w:webHidden/>
              </w:rPr>
              <w:fldChar w:fldCharType="begin"/>
            </w:r>
            <w:r w:rsidR="0028665F">
              <w:rPr>
                <w:noProof/>
                <w:webHidden/>
              </w:rPr>
              <w:instrText xml:space="preserve"> PAGEREF _Toc3211434 \h </w:instrText>
            </w:r>
            <w:r w:rsidR="0028665F">
              <w:rPr>
                <w:noProof/>
                <w:webHidden/>
              </w:rPr>
            </w:r>
            <w:r w:rsidR="0028665F">
              <w:rPr>
                <w:noProof/>
                <w:webHidden/>
              </w:rPr>
              <w:fldChar w:fldCharType="separate"/>
            </w:r>
            <w:r w:rsidR="0028665F">
              <w:rPr>
                <w:noProof/>
                <w:webHidden/>
              </w:rPr>
              <w:t>140</w:t>
            </w:r>
            <w:r w:rsidR="0028665F">
              <w:rPr>
                <w:noProof/>
                <w:webHidden/>
              </w:rPr>
              <w:fldChar w:fldCharType="end"/>
            </w:r>
          </w:hyperlink>
        </w:p>
        <w:p w14:paraId="08C83E26" w14:textId="0D70FF38" w:rsidR="0028665F" w:rsidRDefault="00C2072C">
          <w:pPr>
            <w:pStyle w:val="TOC3"/>
            <w:rPr>
              <w:rFonts w:asciiTheme="minorHAnsi" w:eastAsiaTheme="minorEastAsia" w:hAnsiTheme="minorHAnsi" w:cstheme="minorBidi"/>
              <w:noProof/>
              <w:sz w:val="24"/>
              <w:szCs w:val="24"/>
              <w:lang w:val="en-GB"/>
            </w:rPr>
          </w:pPr>
          <w:hyperlink w:anchor="_Toc3211435" w:history="1">
            <w:r w:rsidR="0028665F" w:rsidRPr="00770FE3">
              <w:rPr>
                <w:rStyle w:val="Hyperlink"/>
                <w:noProof/>
              </w:rPr>
              <w:t>4.3.6 Top Candidate Analysis</w:t>
            </w:r>
            <w:r w:rsidR="0028665F">
              <w:rPr>
                <w:noProof/>
                <w:webHidden/>
              </w:rPr>
              <w:tab/>
            </w:r>
            <w:r w:rsidR="0028665F">
              <w:rPr>
                <w:noProof/>
                <w:webHidden/>
              </w:rPr>
              <w:fldChar w:fldCharType="begin"/>
            </w:r>
            <w:r w:rsidR="0028665F">
              <w:rPr>
                <w:noProof/>
                <w:webHidden/>
              </w:rPr>
              <w:instrText xml:space="preserve"> PAGEREF _Toc3211435 \h </w:instrText>
            </w:r>
            <w:r w:rsidR="0028665F">
              <w:rPr>
                <w:noProof/>
                <w:webHidden/>
              </w:rPr>
            </w:r>
            <w:r w:rsidR="0028665F">
              <w:rPr>
                <w:noProof/>
                <w:webHidden/>
              </w:rPr>
              <w:fldChar w:fldCharType="separate"/>
            </w:r>
            <w:r w:rsidR="0028665F">
              <w:rPr>
                <w:noProof/>
                <w:webHidden/>
              </w:rPr>
              <w:t>141</w:t>
            </w:r>
            <w:r w:rsidR="0028665F">
              <w:rPr>
                <w:noProof/>
                <w:webHidden/>
              </w:rPr>
              <w:fldChar w:fldCharType="end"/>
            </w:r>
          </w:hyperlink>
        </w:p>
        <w:p w14:paraId="0504DB2D" w14:textId="6C2E2149" w:rsidR="0028665F" w:rsidRDefault="00C2072C">
          <w:pPr>
            <w:pStyle w:val="TOC2"/>
            <w:rPr>
              <w:rFonts w:asciiTheme="minorHAnsi" w:eastAsiaTheme="minorEastAsia" w:hAnsiTheme="minorHAnsi" w:cstheme="minorBidi"/>
              <w:bCs w:val="0"/>
              <w:noProof/>
              <w:sz w:val="24"/>
              <w:szCs w:val="24"/>
              <w:lang w:val="en-GB"/>
            </w:rPr>
          </w:pPr>
          <w:hyperlink w:anchor="_Toc3211436" w:history="1">
            <w:r w:rsidR="0028665F" w:rsidRPr="00770FE3">
              <w:rPr>
                <w:rStyle w:val="Hyperlink"/>
                <w:noProof/>
              </w:rPr>
              <w:t>4.4 Discussion</w:t>
            </w:r>
            <w:r w:rsidR="0028665F">
              <w:rPr>
                <w:noProof/>
                <w:webHidden/>
              </w:rPr>
              <w:tab/>
            </w:r>
            <w:r w:rsidR="0028665F">
              <w:rPr>
                <w:noProof/>
                <w:webHidden/>
              </w:rPr>
              <w:fldChar w:fldCharType="begin"/>
            </w:r>
            <w:r w:rsidR="0028665F">
              <w:rPr>
                <w:noProof/>
                <w:webHidden/>
              </w:rPr>
              <w:instrText xml:space="preserve"> PAGEREF _Toc3211436 \h </w:instrText>
            </w:r>
            <w:r w:rsidR="0028665F">
              <w:rPr>
                <w:noProof/>
                <w:webHidden/>
              </w:rPr>
            </w:r>
            <w:r w:rsidR="0028665F">
              <w:rPr>
                <w:noProof/>
                <w:webHidden/>
              </w:rPr>
              <w:fldChar w:fldCharType="separate"/>
            </w:r>
            <w:r w:rsidR="0028665F">
              <w:rPr>
                <w:noProof/>
                <w:webHidden/>
              </w:rPr>
              <w:t>147</w:t>
            </w:r>
            <w:r w:rsidR="0028665F">
              <w:rPr>
                <w:noProof/>
                <w:webHidden/>
              </w:rPr>
              <w:fldChar w:fldCharType="end"/>
            </w:r>
          </w:hyperlink>
        </w:p>
        <w:p w14:paraId="2658F6A3" w14:textId="0D253E41" w:rsidR="0028665F" w:rsidRDefault="00C2072C">
          <w:pPr>
            <w:pStyle w:val="TOC1"/>
            <w:rPr>
              <w:rFonts w:asciiTheme="minorHAnsi" w:eastAsiaTheme="minorEastAsia" w:hAnsiTheme="minorHAnsi" w:cstheme="minorBidi"/>
              <w:b w:val="0"/>
              <w:bCs w:val="0"/>
              <w:iCs w:val="0"/>
              <w:noProof/>
              <w:lang w:val="en-GB"/>
            </w:rPr>
          </w:pPr>
          <w:hyperlink w:anchor="_Toc3211437" w:history="1">
            <w:r w:rsidR="0028665F" w:rsidRPr="00770FE3">
              <w:rPr>
                <w:rStyle w:val="Hyperlink"/>
                <w:noProof/>
                <w:lang w:val="en-GB"/>
              </w:rPr>
              <w:t>Chapter 5: Review of Pipeline</w:t>
            </w:r>
            <w:r w:rsidR="0028665F">
              <w:rPr>
                <w:noProof/>
                <w:webHidden/>
              </w:rPr>
              <w:tab/>
            </w:r>
            <w:r w:rsidR="0028665F">
              <w:rPr>
                <w:noProof/>
                <w:webHidden/>
              </w:rPr>
              <w:fldChar w:fldCharType="begin"/>
            </w:r>
            <w:r w:rsidR="0028665F">
              <w:rPr>
                <w:noProof/>
                <w:webHidden/>
              </w:rPr>
              <w:instrText xml:space="preserve"> PAGEREF _Toc3211437 \h </w:instrText>
            </w:r>
            <w:r w:rsidR="0028665F">
              <w:rPr>
                <w:noProof/>
                <w:webHidden/>
              </w:rPr>
            </w:r>
            <w:r w:rsidR="0028665F">
              <w:rPr>
                <w:noProof/>
                <w:webHidden/>
              </w:rPr>
              <w:fldChar w:fldCharType="separate"/>
            </w:r>
            <w:r w:rsidR="0028665F">
              <w:rPr>
                <w:noProof/>
                <w:webHidden/>
              </w:rPr>
              <w:t>149</w:t>
            </w:r>
            <w:r w:rsidR="0028665F">
              <w:rPr>
                <w:noProof/>
                <w:webHidden/>
              </w:rPr>
              <w:fldChar w:fldCharType="end"/>
            </w:r>
          </w:hyperlink>
        </w:p>
        <w:p w14:paraId="3DFA81EA" w14:textId="627C8D07" w:rsidR="0028665F" w:rsidRDefault="00C2072C">
          <w:pPr>
            <w:pStyle w:val="TOC2"/>
            <w:rPr>
              <w:rFonts w:asciiTheme="minorHAnsi" w:eastAsiaTheme="minorEastAsia" w:hAnsiTheme="minorHAnsi" w:cstheme="minorBidi"/>
              <w:bCs w:val="0"/>
              <w:noProof/>
              <w:sz w:val="24"/>
              <w:szCs w:val="24"/>
              <w:lang w:val="en-GB"/>
            </w:rPr>
          </w:pPr>
          <w:hyperlink w:anchor="_Toc3211438" w:history="1">
            <w:r w:rsidR="0028665F" w:rsidRPr="00770FE3">
              <w:rPr>
                <w:rStyle w:val="Hyperlink"/>
                <w:noProof/>
              </w:rPr>
              <w:t>5.1 Introduction</w:t>
            </w:r>
            <w:r w:rsidR="0028665F">
              <w:rPr>
                <w:noProof/>
                <w:webHidden/>
              </w:rPr>
              <w:tab/>
            </w:r>
            <w:r w:rsidR="0028665F">
              <w:rPr>
                <w:noProof/>
                <w:webHidden/>
              </w:rPr>
              <w:fldChar w:fldCharType="begin"/>
            </w:r>
            <w:r w:rsidR="0028665F">
              <w:rPr>
                <w:noProof/>
                <w:webHidden/>
              </w:rPr>
              <w:instrText xml:space="preserve"> PAGEREF _Toc3211438 \h </w:instrText>
            </w:r>
            <w:r w:rsidR="0028665F">
              <w:rPr>
                <w:noProof/>
                <w:webHidden/>
              </w:rPr>
            </w:r>
            <w:r w:rsidR="0028665F">
              <w:rPr>
                <w:noProof/>
                <w:webHidden/>
              </w:rPr>
              <w:fldChar w:fldCharType="separate"/>
            </w:r>
            <w:r w:rsidR="0028665F">
              <w:rPr>
                <w:noProof/>
                <w:webHidden/>
              </w:rPr>
              <w:t>149</w:t>
            </w:r>
            <w:r w:rsidR="0028665F">
              <w:rPr>
                <w:noProof/>
                <w:webHidden/>
              </w:rPr>
              <w:fldChar w:fldCharType="end"/>
            </w:r>
          </w:hyperlink>
        </w:p>
        <w:p w14:paraId="4E56B869" w14:textId="7F4E2C28" w:rsidR="0028665F" w:rsidRDefault="00C2072C">
          <w:pPr>
            <w:pStyle w:val="TOC2"/>
            <w:rPr>
              <w:rFonts w:asciiTheme="minorHAnsi" w:eastAsiaTheme="minorEastAsia" w:hAnsiTheme="minorHAnsi" w:cstheme="minorBidi"/>
              <w:bCs w:val="0"/>
              <w:noProof/>
              <w:sz w:val="24"/>
              <w:szCs w:val="24"/>
              <w:lang w:val="en-GB"/>
            </w:rPr>
          </w:pPr>
          <w:hyperlink w:anchor="_Toc3211439" w:history="1">
            <w:r w:rsidR="0028665F" w:rsidRPr="00770FE3">
              <w:rPr>
                <w:rStyle w:val="Hyperlink"/>
                <w:noProof/>
              </w:rPr>
              <w:t>5.2 Number of Input Datasets</w:t>
            </w:r>
            <w:r w:rsidR="0028665F">
              <w:rPr>
                <w:noProof/>
                <w:webHidden/>
              </w:rPr>
              <w:tab/>
            </w:r>
            <w:r w:rsidR="0028665F">
              <w:rPr>
                <w:noProof/>
                <w:webHidden/>
              </w:rPr>
              <w:fldChar w:fldCharType="begin"/>
            </w:r>
            <w:r w:rsidR="0028665F">
              <w:rPr>
                <w:noProof/>
                <w:webHidden/>
              </w:rPr>
              <w:instrText xml:space="preserve"> PAGEREF _Toc3211439 \h </w:instrText>
            </w:r>
            <w:r w:rsidR="0028665F">
              <w:rPr>
                <w:noProof/>
                <w:webHidden/>
              </w:rPr>
            </w:r>
            <w:r w:rsidR="0028665F">
              <w:rPr>
                <w:noProof/>
                <w:webHidden/>
              </w:rPr>
              <w:fldChar w:fldCharType="separate"/>
            </w:r>
            <w:r w:rsidR="0028665F">
              <w:rPr>
                <w:noProof/>
                <w:webHidden/>
              </w:rPr>
              <w:t>149</w:t>
            </w:r>
            <w:r w:rsidR="0028665F">
              <w:rPr>
                <w:noProof/>
                <w:webHidden/>
              </w:rPr>
              <w:fldChar w:fldCharType="end"/>
            </w:r>
          </w:hyperlink>
        </w:p>
        <w:p w14:paraId="6FED7C24" w14:textId="7D739312" w:rsidR="0028665F" w:rsidRDefault="00C2072C">
          <w:pPr>
            <w:pStyle w:val="TOC3"/>
            <w:rPr>
              <w:rFonts w:asciiTheme="minorHAnsi" w:eastAsiaTheme="minorEastAsia" w:hAnsiTheme="minorHAnsi" w:cstheme="minorBidi"/>
              <w:noProof/>
              <w:sz w:val="24"/>
              <w:szCs w:val="24"/>
              <w:lang w:val="en-GB"/>
            </w:rPr>
          </w:pPr>
          <w:hyperlink w:anchor="_Toc3211440" w:history="1">
            <w:r w:rsidR="0028665F" w:rsidRPr="00770FE3">
              <w:rPr>
                <w:rStyle w:val="Hyperlink"/>
                <w:noProof/>
                <w:lang w:val="en-GB"/>
              </w:rPr>
              <w:t>5.2.1 Dataset Subset Selection</w:t>
            </w:r>
            <w:r w:rsidR="0028665F">
              <w:rPr>
                <w:noProof/>
                <w:webHidden/>
              </w:rPr>
              <w:tab/>
            </w:r>
            <w:r w:rsidR="0028665F">
              <w:rPr>
                <w:noProof/>
                <w:webHidden/>
              </w:rPr>
              <w:fldChar w:fldCharType="begin"/>
            </w:r>
            <w:r w:rsidR="0028665F">
              <w:rPr>
                <w:noProof/>
                <w:webHidden/>
              </w:rPr>
              <w:instrText xml:space="preserve"> PAGEREF _Toc3211440 \h </w:instrText>
            </w:r>
            <w:r w:rsidR="0028665F">
              <w:rPr>
                <w:noProof/>
                <w:webHidden/>
              </w:rPr>
            </w:r>
            <w:r w:rsidR="0028665F">
              <w:rPr>
                <w:noProof/>
                <w:webHidden/>
              </w:rPr>
              <w:fldChar w:fldCharType="separate"/>
            </w:r>
            <w:r w:rsidR="0028665F">
              <w:rPr>
                <w:noProof/>
                <w:webHidden/>
              </w:rPr>
              <w:t>150</w:t>
            </w:r>
            <w:r w:rsidR="0028665F">
              <w:rPr>
                <w:noProof/>
                <w:webHidden/>
              </w:rPr>
              <w:fldChar w:fldCharType="end"/>
            </w:r>
          </w:hyperlink>
        </w:p>
        <w:p w14:paraId="04C075C8" w14:textId="3DFB2A84" w:rsidR="0028665F" w:rsidRDefault="00C2072C">
          <w:pPr>
            <w:pStyle w:val="TOC3"/>
            <w:rPr>
              <w:rFonts w:asciiTheme="minorHAnsi" w:eastAsiaTheme="minorEastAsia" w:hAnsiTheme="minorHAnsi" w:cstheme="minorBidi"/>
              <w:noProof/>
              <w:sz w:val="24"/>
              <w:szCs w:val="24"/>
              <w:lang w:val="en-GB"/>
            </w:rPr>
          </w:pPr>
          <w:hyperlink w:anchor="_Toc3211441" w:history="1">
            <w:r w:rsidR="0028665F" w:rsidRPr="00770FE3">
              <w:rPr>
                <w:rStyle w:val="Hyperlink"/>
                <w:noProof/>
                <w:lang w:val="en-GB"/>
              </w:rPr>
              <w:t>5.2.2 Results</w:t>
            </w:r>
            <w:r w:rsidR="0028665F">
              <w:rPr>
                <w:noProof/>
                <w:webHidden/>
              </w:rPr>
              <w:tab/>
            </w:r>
            <w:r w:rsidR="0028665F">
              <w:rPr>
                <w:noProof/>
                <w:webHidden/>
              </w:rPr>
              <w:fldChar w:fldCharType="begin"/>
            </w:r>
            <w:r w:rsidR="0028665F">
              <w:rPr>
                <w:noProof/>
                <w:webHidden/>
              </w:rPr>
              <w:instrText xml:space="preserve"> PAGEREF _Toc3211441 \h </w:instrText>
            </w:r>
            <w:r w:rsidR="0028665F">
              <w:rPr>
                <w:noProof/>
                <w:webHidden/>
              </w:rPr>
            </w:r>
            <w:r w:rsidR="0028665F">
              <w:rPr>
                <w:noProof/>
                <w:webHidden/>
              </w:rPr>
              <w:fldChar w:fldCharType="separate"/>
            </w:r>
            <w:r w:rsidR="0028665F">
              <w:rPr>
                <w:noProof/>
                <w:webHidden/>
              </w:rPr>
              <w:t>153</w:t>
            </w:r>
            <w:r w:rsidR="0028665F">
              <w:rPr>
                <w:noProof/>
                <w:webHidden/>
              </w:rPr>
              <w:fldChar w:fldCharType="end"/>
            </w:r>
          </w:hyperlink>
        </w:p>
        <w:p w14:paraId="66732124" w14:textId="4269E03C" w:rsidR="0028665F" w:rsidRDefault="00C2072C">
          <w:pPr>
            <w:pStyle w:val="TOC2"/>
            <w:rPr>
              <w:rFonts w:asciiTheme="minorHAnsi" w:eastAsiaTheme="minorEastAsia" w:hAnsiTheme="minorHAnsi" w:cstheme="minorBidi"/>
              <w:bCs w:val="0"/>
              <w:noProof/>
              <w:sz w:val="24"/>
              <w:szCs w:val="24"/>
              <w:lang w:val="en-GB"/>
            </w:rPr>
          </w:pPr>
          <w:hyperlink w:anchor="_Toc3211442" w:history="1">
            <w:r w:rsidR="0028665F" w:rsidRPr="00770FE3">
              <w:rPr>
                <w:rStyle w:val="Hyperlink"/>
                <w:noProof/>
              </w:rPr>
              <w:t>5.3 Differential Expression of Genes</w:t>
            </w:r>
            <w:r w:rsidR="0028665F">
              <w:rPr>
                <w:noProof/>
                <w:webHidden/>
              </w:rPr>
              <w:tab/>
            </w:r>
            <w:r w:rsidR="0028665F">
              <w:rPr>
                <w:noProof/>
                <w:webHidden/>
              </w:rPr>
              <w:fldChar w:fldCharType="begin"/>
            </w:r>
            <w:r w:rsidR="0028665F">
              <w:rPr>
                <w:noProof/>
                <w:webHidden/>
              </w:rPr>
              <w:instrText xml:space="preserve"> PAGEREF _Toc3211442 \h </w:instrText>
            </w:r>
            <w:r w:rsidR="0028665F">
              <w:rPr>
                <w:noProof/>
                <w:webHidden/>
              </w:rPr>
            </w:r>
            <w:r w:rsidR="0028665F">
              <w:rPr>
                <w:noProof/>
                <w:webHidden/>
              </w:rPr>
              <w:fldChar w:fldCharType="separate"/>
            </w:r>
            <w:r w:rsidR="0028665F">
              <w:rPr>
                <w:noProof/>
                <w:webHidden/>
              </w:rPr>
              <w:t>156</w:t>
            </w:r>
            <w:r w:rsidR="0028665F">
              <w:rPr>
                <w:noProof/>
                <w:webHidden/>
              </w:rPr>
              <w:fldChar w:fldCharType="end"/>
            </w:r>
          </w:hyperlink>
        </w:p>
        <w:p w14:paraId="69CB57B7" w14:textId="7AB90FE6" w:rsidR="0028665F" w:rsidRDefault="00C2072C">
          <w:pPr>
            <w:pStyle w:val="TOC2"/>
            <w:rPr>
              <w:rFonts w:asciiTheme="minorHAnsi" w:eastAsiaTheme="minorEastAsia" w:hAnsiTheme="minorHAnsi" w:cstheme="minorBidi"/>
              <w:bCs w:val="0"/>
              <w:noProof/>
              <w:sz w:val="24"/>
              <w:szCs w:val="24"/>
              <w:lang w:val="en-GB"/>
            </w:rPr>
          </w:pPr>
          <w:hyperlink w:anchor="_Toc3211443" w:history="1">
            <w:r w:rsidR="0028665F" w:rsidRPr="00770FE3">
              <w:rPr>
                <w:rStyle w:val="Hyperlink"/>
                <w:noProof/>
              </w:rPr>
              <w:t>5.4 Overlap Between Signatures</w:t>
            </w:r>
            <w:r w:rsidR="0028665F">
              <w:rPr>
                <w:noProof/>
                <w:webHidden/>
              </w:rPr>
              <w:tab/>
            </w:r>
            <w:r w:rsidR="0028665F">
              <w:rPr>
                <w:noProof/>
                <w:webHidden/>
              </w:rPr>
              <w:fldChar w:fldCharType="begin"/>
            </w:r>
            <w:r w:rsidR="0028665F">
              <w:rPr>
                <w:noProof/>
                <w:webHidden/>
              </w:rPr>
              <w:instrText xml:space="preserve"> PAGEREF _Toc3211443 \h </w:instrText>
            </w:r>
            <w:r w:rsidR="0028665F">
              <w:rPr>
                <w:noProof/>
                <w:webHidden/>
              </w:rPr>
            </w:r>
            <w:r w:rsidR="0028665F">
              <w:rPr>
                <w:noProof/>
                <w:webHidden/>
              </w:rPr>
              <w:fldChar w:fldCharType="separate"/>
            </w:r>
            <w:r w:rsidR="0028665F">
              <w:rPr>
                <w:noProof/>
                <w:webHidden/>
              </w:rPr>
              <w:t>158</w:t>
            </w:r>
            <w:r w:rsidR="0028665F">
              <w:rPr>
                <w:noProof/>
                <w:webHidden/>
              </w:rPr>
              <w:fldChar w:fldCharType="end"/>
            </w:r>
          </w:hyperlink>
        </w:p>
        <w:p w14:paraId="38F0E810" w14:textId="59BC0221" w:rsidR="0028665F" w:rsidRDefault="00C2072C">
          <w:pPr>
            <w:pStyle w:val="TOC1"/>
            <w:rPr>
              <w:rFonts w:asciiTheme="minorHAnsi" w:eastAsiaTheme="minorEastAsia" w:hAnsiTheme="minorHAnsi" w:cstheme="minorBidi"/>
              <w:b w:val="0"/>
              <w:bCs w:val="0"/>
              <w:iCs w:val="0"/>
              <w:noProof/>
              <w:lang w:val="en-GB"/>
            </w:rPr>
          </w:pPr>
          <w:hyperlink w:anchor="_Toc3211444" w:history="1">
            <w:r w:rsidR="0028665F" w:rsidRPr="00770FE3">
              <w:rPr>
                <w:rStyle w:val="Hyperlink"/>
                <w:noProof/>
                <w:lang w:val="en-GB"/>
              </w:rPr>
              <w:t>Chapter 6: Conclusion and Future Work</w:t>
            </w:r>
            <w:r w:rsidR="0028665F">
              <w:rPr>
                <w:noProof/>
                <w:webHidden/>
              </w:rPr>
              <w:tab/>
            </w:r>
            <w:r w:rsidR="0028665F">
              <w:rPr>
                <w:noProof/>
                <w:webHidden/>
              </w:rPr>
              <w:fldChar w:fldCharType="begin"/>
            </w:r>
            <w:r w:rsidR="0028665F">
              <w:rPr>
                <w:noProof/>
                <w:webHidden/>
              </w:rPr>
              <w:instrText xml:space="preserve"> PAGEREF _Toc3211444 \h </w:instrText>
            </w:r>
            <w:r w:rsidR="0028665F">
              <w:rPr>
                <w:noProof/>
                <w:webHidden/>
              </w:rPr>
            </w:r>
            <w:r w:rsidR="0028665F">
              <w:rPr>
                <w:noProof/>
                <w:webHidden/>
              </w:rPr>
              <w:fldChar w:fldCharType="separate"/>
            </w:r>
            <w:r w:rsidR="0028665F">
              <w:rPr>
                <w:noProof/>
                <w:webHidden/>
              </w:rPr>
              <w:t>161</w:t>
            </w:r>
            <w:r w:rsidR="0028665F">
              <w:rPr>
                <w:noProof/>
                <w:webHidden/>
              </w:rPr>
              <w:fldChar w:fldCharType="end"/>
            </w:r>
          </w:hyperlink>
        </w:p>
        <w:p w14:paraId="0D038CD3" w14:textId="7ECA9DD5" w:rsidR="0028665F" w:rsidRDefault="00C2072C">
          <w:pPr>
            <w:pStyle w:val="TOC2"/>
            <w:rPr>
              <w:rFonts w:asciiTheme="minorHAnsi" w:eastAsiaTheme="minorEastAsia" w:hAnsiTheme="minorHAnsi" w:cstheme="minorBidi"/>
              <w:bCs w:val="0"/>
              <w:noProof/>
              <w:sz w:val="24"/>
              <w:szCs w:val="24"/>
              <w:lang w:val="en-GB"/>
            </w:rPr>
          </w:pPr>
          <w:hyperlink w:anchor="_Toc3211445" w:history="1">
            <w:r w:rsidR="0028665F" w:rsidRPr="00770FE3">
              <w:rPr>
                <w:rStyle w:val="Hyperlink"/>
                <w:noProof/>
              </w:rPr>
              <w:t>6.1 Summary</w:t>
            </w:r>
            <w:r w:rsidR="0028665F">
              <w:rPr>
                <w:noProof/>
                <w:webHidden/>
              </w:rPr>
              <w:tab/>
            </w:r>
            <w:r w:rsidR="0028665F">
              <w:rPr>
                <w:noProof/>
                <w:webHidden/>
              </w:rPr>
              <w:fldChar w:fldCharType="begin"/>
            </w:r>
            <w:r w:rsidR="0028665F">
              <w:rPr>
                <w:noProof/>
                <w:webHidden/>
              </w:rPr>
              <w:instrText xml:space="preserve"> PAGEREF _Toc3211445 \h </w:instrText>
            </w:r>
            <w:r w:rsidR="0028665F">
              <w:rPr>
                <w:noProof/>
                <w:webHidden/>
              </w:rPr>
            </w:r>
            <w:r w:rsidR="0028665F">
              <w:rPr>
                <w:noProof/>
                <w:webHidden/>
              </w:rPr>
              <w:fldChar w:fldCharType="separate"/>
            </w:r>
            <w:r w:rsidR="0028665F">
              <w:rPr>
                <w:noProof/>
                <w:webHidden/>
              </w:rPr>
              <w:t>161</w:t>
            </w:r>
            <w:r w:rsidR="0028665F">
              <w:rPr>
                <w:noProof/>
                <w:webHidden/>
              </w:rPr>
              <w:fldChar w:fldCharType="end"/>
            </w:r>
          </w:hyperlink>
        </w:p>
        <w:p w14:paraId="5C3E3A6A" w14:textId="3F65FC71" w:rsidR="0028665F" w:rsidRDefault="00C2072C">
          <w:pPr>
            <w:pStyle w:val="TOC3"/>
            <w:rPr>
              <w:rFonts w:asciiTheme="minorHAnsi" w:eastAsiaTheme="minorEastAsia" w:hAnsiTheme="minorHAnsi" w:cstheme="minorBidi"/>
              <w:noProof/>
              <w:sz w:val="24"/>
              <w:szCs w:val="24"/>
              <w:lang w:val="en-GB"/>
            </w:rPr>
          </w:pPr>
          <w:hyperlink w:anchor="_Toc3211446" w:history="1">
            <w:r w:rsidR="0028665F" w:rsidRPr="00770FE3">
              <w:rPr>
                <w:rStyle w:val="Hyperlink"/>
                <w:noProof/>
                <w:lang w:val="en-GB"/>
              </w:rPr>
              <w:t>6.1.1 Pipeline Development and TDP-43</w:t>
            </w:r>
            <w:r w:rsidR="0028665F">
              <w:rPr>
                <w:noProof/>
                <w:webHidden/>
              </w:rPr>
              <w:tab/>
            </w:r>
            <w:r w:rsidR="0028665F">
              <w:rPr>
                <w:noProof/>
                <w:webHidden/>
              </w:rPr>
              <w:fldChar w:fldCharType="begin"/>
            </w:r>
            <w:r w:rsidR="0028665F">
              <w:rPr>
                <w:noProof/>
                <w:webHidden/>
              </w:rPr>
              <w:instrText xml:space="preserve"> PAGEREF _Toc3211446 \h </w:instrText>
            </w:r>
            <w:r w:rsidR="0028665F">
              <w:rPr>
                <w:noProof/>
                <w:webHidden/>
              </w:rPr>
            </w:r>
            <w:r w:rsidR="0028665F">
              <w:rPr>
                <w:noProof/>
                <w:webHidden/>
              </w:rPr>
              <w:fldChar w:fldCharType="separate"/>
            </w:r>
            <w:r w:rsidR="0028665F">
              <w:rPr>
                <w:noProof/>
                <w:webHidden/>
              </w:rPr>
              <w:t>161</w:t>
            </w:r>
            <w:r w:rsidR="0028665F">
              <w:rPr>
                <w:noProof/>
                <w:webHidden/>
              </w:rPr>
              <w:fldChar w:fldCharType="end"/>
            </w:r>
          </w:hyperlink>
        </w:p>
        <w:p w14:paraId="5A53E473" w14:textId="48DB6CD0" w:rsidR="0028665F" w:rsidRDefault="00C2072C">
          <w:pPr>
            <w:pStyle w:val="TOC3"/>
            <w:rPr>
              <w:rFonts w:asciiTheme="minorHAnsi" w:eastAsiaTheme="minorEastAsia" w:hAnsiTheme="minorHAnsi" w:cstheme="minorBidi"/>
              <w:noProof/>
              <w:sz w:val="24"/>
              <w:szCs w:val="24"/>
              <w:lang w:val="en-GB"/>
            </w:rPr>
          </w:pPr>
          <w:hyperlink w:anchor="_Toc3211447" w:history="1">
            <w:r w:rsidR="0028665F" w:rsidRPr="00770FE3">
              <w:rPr>
                <w:rStyle w:val="Hyperlink"/>
                <w:noProof/>
              </w:rPr>
              <w:t>6.1.2 Further Applications</w:t>
            </w:r>
            <w:r w:rsidR="0028665F">
              <w:rPr>
                <w:noProof/>
                <w:webHidden/>
              </w:rPr>
              <w:tab/>
            </w:r>
            <w:r w:rsidR="0028665F">
              <w:rPr>
                <w:noProof/>
                <w:webHidden/>
              </w:rPr>
              <w:fldChar w:fldCharType="begin"/>
            </w:r>
            <w:r w:rsidR="0028665F">
              <w:rPr>
                <w:noProof/>
                <w:webHidden/>
              </w:rPr>
              <w:instrText xml:space="preserve"> PAGEREF _Toc3211447 \h </w:instrText>
            </w:r>
            <w:r w:rsidR="0028665F">
              <w:rPr>
                <w:noProof/>
                <w:webHidden/>
              </w:rPr>
            </w:r>
            <w:r w:rsidR="0028665F">
              <w:rPr>
                <w:noProof/>
                <w:webHidden/>
              </w:rPr>
              <w:fldChar w:fldCharType="separate"/>
            </w:r>
            <w:r w:rsidR="0028665F">
              <w:rPr>
                <w:noProof/>
                <w:webHidden/>
              </w:rPr>
              <w:t>162</w:t>
            </w:r>
            <w:r w:rsidR="0028665F">
              <w:rPr>
                <w:noProof/>
                <w:webHidden/>
              </w:rPr>
              <w:fldChar w:fldCharType="end"/>
            </w:r>
          </w:hyperlink>
        </w:p>
        <w:p w14:paraId="5F6FF7DA" w14:textId="4FDEF0AF" w:rsidR="0028665F" w:rsidRDefault="00C2072C">
          <w:pPr>
            <w:pStyle w:val="TOC3"/>
            <w:rPr>
              <w:rFonts w:asciiTheme="minorHAnsi" w:eastAsiaTheme="minorEastAsia" w:hAnsiTheme="minorHAnsi" w:cstheme="minorBidi"/>
              <w:noProof/>
              <w:sz w:val="24"/>
              <w:szCs w:val="24"/>
              <w:lang w:val="en-GB"/>
            </w:rPr>
          </w:pPr>
          <w:hyperlink w:anchor="_Toc3211448" w:history="1">
            <w:r w:rsidR="0028665F" w:rsidRPr="00770FE3">
              <w:rPr>
                <w:rStyle w:val="Hyperlink"/>
                <w:noProof/>
                <w:lang w:val="en-GB"/>
              </w:rPr>
              <w:t>6.1.3 Pipeline Strengths</w:t>
            </w:r>
            <w:r w:rsidR="0028665F">
              <w:rPr>
                <w:noProof/>
                <w:webHidden/>
              </w:rPr>
              <w:tab/>
            </w:r>
            <w:r w:rsidR="0028665F">
              <w:rPr>
                <w:noProof/>
                <w:webHidden/>
              </w:rPr>
              <w:fldChar w:fldCharType="begin"/>
            </w:r>
            <w:r w:rsidR="0028665F">
              <w:rPr>
                <w:noProof/>
                <w:webHidden/>
              </w:rPr>
              <w:instrText xml:space="preserve"> PAGEREF _Toc3211448 \h </w:instrText>
            </w:r>
            <w:r w:rsidR="0028665F">
              <w:rPr>
                <w:noProof/>
                <w:webHidden/>
              </w:rPr>
            </w:r>
            <w:r w:rsidR="0028665F">
              <w:rPr>
                <w:noProof/>
                <w:webHidden/>
              </w:rPr>
              <w:fldChar w:fldCharType="separate"/>
            </w:r>
            <w:r w:rsidR="0028665F">
              <w:rPr>
                <w:noProof/>
                <w:webHidden/>
              </w:rPr>
              <w:t>162</w:t>
            </w:r>
            <w:r w:rsidR="0028665F">
              <w:rPr>
                <w:noProof/>
                <w:webHidden/>
              </w:rPr>
              <w:fldChar w:fldCharType="end"/>
            </w:r>
          </w:hyperlink>
        </w:p>
        <w:p w14:paraId="65844B7F" w14:textId="5CFD6371" w:rsidR="0028665F" w:rsidRDefault="00C2072C">
          <w:pPr>
            <w:pStyle w:val="TOC2"/>
            <w:rPr>
              <w:rFonts w:asciiTheme="minorHAnsi" w:eastAsiaTheme="minorEastAsia" w:hAnsiTheme="minorHAnsi" w:cstheme="minorBidi"/>
              <w:bCs w:val="0"/>
              <w:noProof/>
              <w:sz w:val="24"/>
              <w:szCs w:val="24"/>
              <w:lang w:val="en-GB"/>
            </w:rPr>
          </w:pPr>
          <w:hyperlink w:anchor="_Toc3211449" w:history="1">
            <w:r w:rsidR="0028665F" w:rsidRPr="00770FE3">
              <w:rPr>
                <w:rStyle w:val="Hyperlink"/>
                <w:noProof/>
              </w:rPr>
              <w:t>6.2 Assessment and Future work</w:t>
            </w:r>
            <w:r w:rsidR="0028665F">
              <w:rPr>
                <w:noProof/>
                <w:webHidden/>
              </w:rPr>
              <w:tab/>
            </w:r>
            <w:r w:rsidR="0028665F">
              <w:rPr>
                <w:noProof/>
                <w:webHidden/>
              </w:rPr>
              <w:fldChar w:fldCharType="begin"/>
            </w:r>
            <w:r w:rsidR="0028665F">
              <w:rPr>
                <w:noProof/>
                <w:webHidden/>
              </w:rPr>
              <w:instrText xml:space="preserve"> PAGEREF _Toc3211449 \h </w:instrText>
            </w:r>
            <w:r w:rsidR="0028665F">
              <w:rPr>
                <w:noProof/>
                <w:webHidden/>
              </w:rPr>
            </w:r>
            <w:r w:rsidR="0028665F">
              <w:rPr>
                <w:noProof/>
                <w:webHidden/>
              </w:rPr>
              <w:fldChar w:fldCharType="separate"/>
            </w:r>
            <w:r w:rsidR="0028665F">
              <w:rPr>
                <w:noProof/>
                <w:webHidden/>
              </w:rPr>
              <w:t>164</w:t>
            </w:r>
            <w:r w:rsidR="0028665F">
              <w:rPr>
                <w:noProof/>
                <w:webHidden/>
              </w:rPr>
              <w:fldChar w:fldCharType="end"/>
            </w:r>
          </w:hyperlink>
        </w:p>
        <w:p w14:paraId="1F513728" w14:textId="6CBFB551" w:rsidR="0028665F" w:rsidRDefault="00C2072C">
          <w:pPr>
            <w:pStyle w:val="TOC3"/>
            <w:rPr>
              <w:rFonts w:asciiTheme="minorHAnsi" w:eastAsiaTheme="minorEastAsia" w:hAnsiTheme="minorHAnsi" w:cstheme="minorBidi"/>
              <w:noProof/>
              <w:sz w:val="24"/>
              <w:szCs w:val="24"/>
              <w:lang w:val="en-GB"/>
            </w:rPr>
          </w:pPr>
          <w:hyperlink w:anchor="_Toc3211450" w:history="1">
            <w:r w:rsidR="0028665F" w:rsidRPr="00770FE3">
              <w:rPr>
                <w:rStyle w:val="Hyperlink"/>
                <w:noProof/>
                <w:lang w:val="en-GB"/>
              </w:rPr>
              <w:t>6.2.1 Further validations</w:t>
            </w:r>
            <w:r w:rsidR="0028665F">
              <w:rPr>
                <w:noProof/>
                <w:webHidden/>
              </w:rPr>
              <w:tab/>
            </w:r>
            <w:r w:rsidR="0028665F">
              <w:rPr>
                <w:noProof/>
                <w:webHidden/>
              </w:rPr>
              <w:fldChar w:fldCharType="begin"/>
            </w:r>
            <w:r w:rsidR="0028665F">
              <w:rPr>
                <w:noProof/>
                <w:webHidden/>
              </w:rPr>
              <w:instrText xml:space="preserve"> PAGEREF _Toc3211450 \h </w:instrText>
            </w:r>
            <w:r w:rsidR="0028665F">
              <w:rPr>
                <w:noProof/>
                <w:webHidden/>
              </w:rPr>
            </w:r>
            <w:r w:rsidR="0028665F">
              <w:rPr>
                <w:noProof/>
                <w:webHidden/>
              </w:rPr>
              <w:fldChar w:fldCharType="separate"/>
            </w:r>
            <w:r w:rsidR="0028665F">
              <w:rPr>
                <w:noProof/>
                <w:webHidden/>
              </w:rPr>
              <w:t>164</w:t>
            </w:r>
            <w:r w:rsidR="0028665F">
              <w:rPr>
                <w:noProof/>
                <w:webHidden/>
              </w:rPr>
              <w:fldChar w:fldCharType="end"/>
            </w:r>
          </w:hyperlink>
        </w:p>
        <w:p w14:paraId="09BDC237" w14:textId="06FFD12A" w:rsidR="0028665F" w:rsidRDefault="00C2072C">
          <w:pPr>
            <w:pStyle w:val="TOC3"/>
            <w:rPr>
              <w:rFonts w:asciiTheme="minorHAnsi" w:eastAsiaTheme="minorEastAsia" w:hAnsiTheme="minorHAnsi" w:cstheme="minorBidi"/>
              <w:noProof/>
              <w:sz w:val="24"/>
              <w:szCs w:val="24"/>
              <w:lang w:val="en-GB"/>
            </w:rPr>
          </w:pPr>
          <w:hyperlink w:anchor="_Toc3211451" w:history="1">
            <w:r w:rsidR="0028665F" w:rsidRPr="00770FE3">
              <w:rPr>
                <w:rStyle w:val="Hyperlink"/>
                <w:noProof/>
                <w:lang w:val="en-GB"/>
              </w:rPr>
              <w:t>6.2.2 Further applications</w:t>
            </w:r>
            <w:r w:rsidR="0028665F">
              <w:rPr>
                <w:noProof/>
                <w:webHidden/>
              </w:rPr>
              <w:tab/>
            </w:r>
            <w:r w:rsidR="0028665F">
              <w:rPr>
                <w:noProof/>
                <w:webHidden/>
              </w:rPr>
              <w:fldChar w:fldCharType="begin"/>
            </w:r>
            <w:r w:rsidR="0028665F">
              <w:rPr>
                <w:noProof/>
                <w:webHidden/>
              </w:rPr>
              <w:instrText xml:space="preserve"> PAGEREF _Toc3211451 \h </w:instrText>
            </w:r>
            <w:r w:rsidR="0028665F">
              <w:rPr>
                <w:noProof/>
                <w:webHidden/>
              </w:rPr>
            </w:r>
            <w:r w:rsidR="0028665F">
              <w:rPr>
                <w:noProof/>
                <w:webHidden/>
              </w:rPr>
              <w:fldChar w:fldCharType="separate"/>
            </w:r>
            <w:r w:rsidR="0028665F">
              <w:rPr>
                <w:noProof/>
                <w:webHidden/>
              </w:rPr>
              <w:t>164</w:t>
            </w:r>
            <w:r w:rsidR="0028665F">
              <w:rPr>
                <w:noProof/>
                <w:webHidden/>
              </w:rPr>
              <w:fldChar w:fldCharType="end"/>
            </w:r>
          </w:hyperlink>
        </w:p>
        <w:p w14:paraId="4FD072CC" w14:textId="6B901669" w:rsidR="0028665F" w:rsidRDefault="00C2072C">
          <w:pPr>
            <w:pStyle w:val="TOC3"/>
            <w:rPr>
              <w:rFonts w:asciiTheme="minorHAnsi" w:eastAsiaTheme="minorEastAsia" w:hAnsiTheme="minorHAnsi" w:cstheme="minorBidi"/>
              <w:noProof/>
              <w:sz w:val="24"/>
              <w:szCs w:val="24"/>
              <w:lang w:val="en-GB"/>
            </w:rPr>
          </w:pPr>
          <w:hyperlink w:anchor="_Toc3211452" w:history="1">
            <w:r w:rsidR="0028665F" w:rsidRPr="00770FE3">
              <w:rPr>
                <w:rStyle w:val="Hyperlink"/>
                <w:noProof/>
                <w:lang w:val="en-GB"/>
              </w:rPr>
              <w:t>6.2.3 Pipeline Improvements</w:t>
            </w:r>
            <w:r w:rsidR="0028665F">
              <w:rPr>
                <w:noProof/>
                <w:webHidden/>
              </w:rPr>
              <w:tab/>
            </w:r>
            <w:r w:rsidR="0028665F">
              <w:rPr>
                <w:noProof/>
                <w:webHidden/>
              </w:rPr>
              <w:fldChar w:fldCharType="begin"/>
            </w:r>
            <w:r w:rsidR="0028665F">
              <w:rPr>
                <w:noProof/>
                <w:webHidden/>
              </w:rPr>
              <w:instrText xml:space="preserve"> PAGEREF _Toc3211452 \h </w:instrText>
            </w:r>
            <w:r w:rsidR="0028665F">
              <w:rPr>
                <w:noProof/>
                <w:webHidden/>
              </w:rPr>
            </w:r>
            <w:r w:rsidR="0028665F">
              <w:rPr>
                <w:noProof/>
                <w:webHidden/>
              </w:rPr>
              <w:fldChar w:fldCharType="separate"/>
            </w:r>
            <w:r w:rsidR="0028665F">
              <w:rPr>
                <w:noProof/>
                <w:webHidden/>
              </w:rPr>
              <w:t>164</w:t>
            </w:r>
            <w:r w:rsidR="0028665F">
              <w:rPr>
                <w:noProof/>
                <w:webHidden/>
              </w:rPr>
              <w:fldChar w:fldCharType="end"/>
            </w:r>
          </w:hyperlink>
        </w:p>
        <w:p w14:paraId="0AD0EC81" w14:textId="478CAC79" w:rsidR="0028665F" w:rsidRDefault="00C2072C">
          <w:pPr>
            <w:pStyle w:val="TOC4"/>
            <w:rPr>
              <w:rFonts w:asciiTheme="minorHAnsi" w:eastAsiaTheme="minorEastAsia" w:hAnsiTheme="minorHAnsi" w:cstheme="minorBidi"/>
              <w:noProof/>
              <w:sz w:val="24"/>
              <w:szCs w:val="24"/>
              <w:lang w:val="en-GB"/>
            </w:rPr>
          </w:pPr>
          <w:hyperlink w:anchor="_Toc3211453" w:history="1">
            <w:r w:rsidR="0028665F" w:rsidRPr="00770FE3">
              <w:rPr>
                <w:rStyle w:val="Hyperlink"/>
                <w:noProof/>
                <w:lang w:val="en-GB"/>
              </w:rPr>
              <w:t>6.2.3.1 Gene expression analysis</w:t>
            </w:r>
            <w:r w:rsidR="0028665F">
              <w:rPr>
                <w:noProof/>
                <w:webHidden/>
              </w:rPr>
              <w:tab/>
            </w:r>
            <w:r w:rsidR="0028665F">
              <w:rPr>
                <w:noProof/>
                <w:webHidden/>
              </w:rPr>
              <w:fldChar w:fldCharType="begin"/>
            </w:r>
            <w:r w:rsidR="0028665F">
              <w:rPr>
                <w:noProof/>
                <w:webHidden/>
              </w:rPr>
              <w:instrText xml:space="preserve"> PAGEREF _Toc3211453 \h </w:instrText>
            </w:r>
            <w:r w:rsidR="0028665F">
              <w:rPr>
                <w:noProof/>
                <w:webHidden/>
              </w:rPr>
            </w:r>
            <w:r w:rsidR="0028665F">
              <w:rPr>
                <w:noProof/>
                <w:webHidden/>
              </w:rPr>
              <w:fldChar w:fldCharType="separate"/>
            </w:r>
            <w:r w:rsidR="0028665F">
              <w:rPr>
                <w:noProof/>
                <w:webHidden/>
              </w:rPr>
              <w:t>164</w:t>
            </w:r>
            <w:r w:rsidR="0028665F">
              <w:rPr>
                <w:noProof/>
                <w:webHidden/>
              </w:rPr>
              <w:fldChar w:fldCharType="end"/>
            </w:r>
          </w:hyperlink>
        </w:p>
        <w:p w14:paraId="0C0DD607" w14:textId="447BEEF0" w:rsidR="0028665F" w:rsidRDefault="00C2072C">
          <w:pPr>
            <w:pStyle w:val="TOC4"/>
            <w:rPr>
              <w:rFonts w:asciiTheme="minorHAnsi" w:eastAsiaTheme="minorEastAsia" w:hAnsiTheme="minorHAnsi" w:cstheme="minorBidi"/>
              <w:noProof/>
              <w:sz w:val="24"/>
              <w:szCs w:val="24"/>
              <w:lang w:val="en-GB"/>
            </w:rPr>
          </w:pPr>
          <w:hyperlink w:anchor="_Toc3211454" w:history="1">
            <w:r w:rsidR="0028665F" w:rsidRPr="00770FE3">
              <w:rPr>
                <w:rStyle w:val="Hyperlink"/>
                <w:noProof/>
                <w:lang w:val="en-GB"/>
              </w:rPr>
              <w:t>6.2.3.2 Protein interaction analysis</w:t>
            </w:r>
            <w:r w:rsidR="0028665F">
              <w:rPr>
                <w:noProof/>
                <w:webHidden/>
              </w:rPr>
              <w:tab/>
            </w:r>
            <w:r w:rsidR="0028665F">
              <w:rPr>
                <w:noProof/>
                <w:webHidden/>
              </w:rPr>
              <w:fldChar w:fldCharType="begin"/>
            </w:r>
            <w:r w:rsidR="0028665F">
              <w:rPr>
                <w:noProof/>
                <w:webHidden/>
              </w:rPr>
              <w:instrText xml:space="preserve"> PAGEREF _Toc3211454 \h </w:instrText>
            </w:r>
            <w:r w:rsidR="0028665F">
              <w:rPr>
                <w:noProof/>
                <w:webHidden/>
              </w:rPr>
            </w:r>
            <w:r w:rsidR="0028665F">
              <w:rPr>
                <w:noProof/>
                <w:webHidden/>
              </w:rPr>
              <w:fldChar w:fldCharType="separate"/>
            </w:r>
            <w:r w:rsidR="0028665F">
              <w:rPr>
                <w:noProof/>
                <w:webHidden/>
              </w:rPr>
              <w:t>165</w:t>
            </w:r>
            <w:r w:rsidR="0028665F">
              <w:rPr>
                <w:noProof/>
                <w:webHidden/>
              </w:rPr>
              <w:fldChar w:fldCharType="end"/>
            </w:r>
          </w:hyperlink>
        </w:p>
        <w:p w14:paraId="09D870C3" w14:textId="0AF1D82F" w:rsidR="0028665F" w:rsidRDefault="00C2072C">
          <w:pPr>
            <w:pStyle w:val="TOC4"/>
            <w:rPr>
              <w:rFonts w:asciiTheme="minorHAnsi" w:eastAsiaTheme="minorEastAsia" w:hAnsiTheme="minorHAnsi" w:cstheme="minorBidi"/>
              <w:noProof/>
              <w:sz w:val="24"/>
              <w:szCs w:val="24"/>
              <w:lang w:val="en-GB"/>
            </w:rPr>
          </w:pPr>
          <w:hyperlink w:anchor="_Toc3211455" w:history="1">
            <w:r w:rsidR="0028665F" w:rsidRPr="00770FE3">
              <w:rPr>
                <w:rStyle w:val="Hyperlink"/>
                <w:noProof/>
                <w:lang w:val="en-GB"/>
              </w:rPr>
              <w:t>6.2.3.3 Common coexpression analysis</w:t>
            </w:r>
            <w:r w:rsidR="0028665F">
              <w:rPr>
                <w:noProof/>
                <w:webHidden/>
              </w:rPr>
              <w:tab/>
            </w:r>
            <w:r w:rsidR="0028665F">
              <w:rPr>
                <w:noProof/>
                <w:webHidden/>
              </w:rPr>
              <w:fldChar w:fldCharType="begin"/>
            </w:r>
            <w:r w:rsidR="0028665F">
              <w:rPr>
                <w:noProof/>
                <w:webHidden/>
              </w:rPr>
              <w:instrText xml:space="preserve"> PAGEREF _Toc3211455 \h </w:instrText>
            </w:r>
            <w:r w:rsidR="0028665F">
              <w:rPr>
                <w:noProof/>
                <w:webHidden/>
              </w:rPr>
            </w:r>
            <w:r w:rsidR="0028665F">
              <w:rPr>
                <w:noProof/>
                <w:webHidden/>
              </w:rPr>
              <w:fldChar w:fldCharType="separate"/>
            </w:r>
            <w:r w:rsidR="0028665F">
              <w:rPr>
                <w:noProof/>
                <w:webHidden/>
              </w:rPr>
              <w:t>166</w:t>
            </w:r>
            <w:r w:rsidR="0028665F">
              <w:rPr>
                <w:noProof/>
                <w:webHidden/>
              </w:rPr>
              <w:fldChar w:fldCharType="end"/>
            </w:r>
          </w:hyperlink>
        </w:p>
        <w:p w14:paraId="4F6A8E61" w14:textId="192D31B3" w:rsidR="0028665F" w:rsidRDefault="00C2072C">
          <w:pPr>
            <w:pStyle w:val="TOC4"/>
            <w:rPr>
              <w:rFonts w:asciiTheme="minorHAnsi" w:eastAsiaTheme="minorEastAsia" w:hAnsiTheme="minorHAnsi" w:cstheme="minorBidi"/>
              <w:noProof/>
              <w:sz w:val="24"/>
              <w:szCs w:val="24"/>
              <w:lang w:val="en-GB"/>
            </w:rPr>
          </w:pPr>
          <w:hyperlink w:anchor="_Toc3211456" w:history="1">
            <w:r w:rsidR="0028665F" w:rsidRPr="00770FE3">
              <w:rPr>
                <w:rStyle w:val="Hyperlink"/>
                <w:noProof/>
                <w:lang w:val="en-GB"/>
              </w:rPr>
              <w:t>6.2.3.4 Upstream analysis</w:t>
            </w:r>
            <w:r w:rsidR="0028665F">
              <w:rPr>
                <w:noProof/>
                <w:webHidden/>
              </w:rPr>
              <w:tab/>
            </w:r>
            <w:r w:rsidR="0028665F">
              <w:rPr>
                <w:noProof/>
                <w:webHidden/>
              </w:rPr>
              <w:fldChar w:fldCharType="begin"/>
            </w:r>
            <w:r w:rsidR="0028665F">
              <w:rPr>
                <w:noProof/>
                <w:webHidden/>
              </w:rPr>
              <w:instrText xml:space="preserve"> PAGEREF _Toc3211456 \h </w:instrText>
            </w:r>
            <w:r w:rsidR="0028665F">
              <w:rPr>
                <w:noProof/>
                <w:webHidden/>
              </w:rPr>
            </w:r>
            <w:r w:rsidR="0028665F">
              <w:rPr>
                <w:noProof/>
                <w:webHidden/>
              </w:rPr>
              <w:fldChar w:fldCharType="separate"/>
            </w:r>
            <w:r w:rsidR="0028665F">
              <w:rPr>
                <w:noProof/>
                <w:webHidden/>
              </w:rPr>
              <w:t>166</w:t>
            </w:r>
            <w:r w:rsidR="0028665F">
              <w:rPr>
                <w:noProof/>
                <w:webHidden/>
              </w:rPr>
              <w:fldChar w:fldCharType="end"/>
            </w:r>
          </w:hyperlink>
        </w:p>
        <w:p w14:paraId="45E4F927" w14:textId="695C4A86" w:rsidR="0028665F" w:rsidRDefault="00C2072C">
          <w:pPr>
            <w:pStyle w:val="TOC4"/>
            <w:rPr>
              <w:rFonts w:asciiTheme="minorHAnsi" w:eastAsiaTheme="minorEastAsia" w:hAnsiTheme="minorHAnsi" w:cstheme="minorBidi"/>
              <w:noProof/>
              <w:sz w:val="24"/>
              <w:szCs w:val="24"/>
              <w:lang w:val="en-GB"/>
            </w:rPr>
          </w:pPr>
          <w:hyperlink w:anchor="_Toc3211457" w:history="1">
            <w:r w:rsidR="0028665F" w:rsidRPr="00770FE3">
              <w:rPr>
                <w:rStyle w:val="Hyperlink"/>
                <w:noProof/>
                <w:lang w:val="en-GB"/>
              </w:rPr>
              <w:t>6.2.3.5 Target prioritisation</w:t>
            </w:r>
            <w:r w:rsidR="0028665F">
              <w:rPr>
                <w:noProof/>
                <w:webHidden/>
              </w:rPr>
              <w:tab/>
            </w:r>
            <w:r w:rsidR="0028665F">
              <w:rPr>
                <w:noProof/>
                <w:webHidden/>
              </w:rPr>
              <w:fldChar w:fldCharType="begin"/>
            </w:r>
            <w:r w:rsidR="0028665F">
              <w:rPr>
                <w:noProof/>
                <w:webHidden/>
              </w:rPr>
              <w:instrText xml:space="preserve"> PAGEREF _Toc3211457 \h </w:instrText>
            </w:r>
            <w:r w:rsidR="0028665F">
              <w:rPr>
                <w:noProof/>
                <w:webHidden/>
              </w:rPr>
            </w:r>
            <w:r w:rsidR="0028665F">
              <w:rPr>
                <w:noProof/>
                <w:webHidden/>
              </w:rPr>
              <w:fldChar w:fldCharType="separate"/>
            </w:r>
            <w:r w:rsidR="0028665F">
              <w:rPr>
                <w:noProof/>
                <w:webHidden/>
              </w:rPr>
              <w:t>167</w:t>
            </w:r>
            <w:r w:rsidR="0028665F">
              <w:rPr>
                <w:noProof/>
                <w:webHidden/>
              </w:rPr>
              <w:fldChar w:fldCharType="end"/>
            </w:r>
          </w:hyperlink>
        </w:p>
        <w:p w14:paraId="7C3725CE" w14:textId="4A10C30E" w:rsidR="0028665F" w:rsidRDefault="00C2072C">
          <w:pPr>
            <w:pStyle w:val="TOC2"/>
            <w:rPr>
              <w:rFonts w:asciiTheme="minorHAnsi" w:eastAsiaTheme="minorEastAsia" w:hAnsiTheme="minorHAnsi" w:cstheme="minorBidi"/>
              <w:bCs w:val="0"/>
              <w:noProof/>
              <w:sz w:val="24"/>
              <w:szCs w:val="24"/>
              <w:lang w:val="en-GB"/>
            </w:rPr>
          </w:pPr>
          <w:hyperlink w:anchor="_Toc3211458" w:history="1">
            <w:r w:rsidR="0028665F" w:rsidRPr="00770FE3">
              <w:rPr>
                <w:rStyle w:val="Hyperlink"/>
                <w:noProof/>
              </w:rPr>
              <w:t>6.3 Impact</w:t>
            </w:r>
            <w:r w:rsidR="0028665F">
              <w:rPr>
                <w:noProof/>
                <w:webHidden/>
              </w:rPr>
              <w:tab/>
            </w:r>
            <w:r w:rsidR="0028665F">
              <w:rPr>
                <w:noProof/>
                <w:webHidden/>
              </w:rPr>
              <w:fldChar w:fldCharType="begin"/>
            </w:r>
            <w:r w:rsidR="0028665F">
              <w:rPr>
                <w:noProof/>
                <w:webHidden/>
              </w:rPr>
              <w:instrText xml:space="preserve"> PAGEREF _Toc3211458 \h </w:instrText>
            </w:r>
            <w:r w:rsidR="0028665F">
              <w:rPr>
                <w:noProof/>
                <w:webHidden/>
              </w:rPr>
            </w:r>
            <w:r w:rsidR="0028665F">
              <w:rPr>
                <w:noProof/>
                <w:webHidden/>
              </w:rPr>
              <w:fldChar w:fldCharType="separate"/>
            </w:r>
            <w:r w:rsidR="0028665F">
              <w:rPr>
                <w:noProof/>
                <w:webHidden/>
              </w:rPr>
              <w:t>167</w:t>
            </w:r>
            <w:r w:rsidR="0028665F">
              <w:rPr>
                <w:noProof/>
                <w:webHidden/>
              </w:rPr>
              <w:fldChar w:fldCharType="end"/>
            </w:r>
          </w:hyperlink>
        </w:p>
        <w:p w14:paraId="6AB24B77" w14:textId="7DF48495" w:rsidR="0028665F" w:rsidRDefault="00C2072C">
          <w:pPr>
            <w:pStyle w:val="TOC1"/>
            <w:rPr>
              <w:rFonts w:asciiTheme="minorHAnsi" w:eastAsiaTheme="minorEastAsia" w:hAnsiTheme="minorHAnsi" w:cstheme="minorBidi"/>
              <w:b w:val="0"/>
              <w:bCs w:val="0"/>
              <w:iCs w:val="0"/>
              <w:noProof/>
              <w:lang w:val="en-GB"/>
            </w:rPr>
          </w:pPr>
          <w:hyperlink w:anchor="_Toc3211459" w:history="1">
            <w:r w:rsidR="0028665F" w:rsidRPr="00770FE3">
              <w:rPr>
                <w:rStyle w:val="Hyperlink"/>
                <w:noProof/>
                <w:color w:val="FFFFFF" w:themeColor="background1"/>
                <w:lang w:val="en-GB"/>
                <w14:textFill>
                  <w14:noFill/>
                </w14:textFill>
              </w:rPr>
              <w:t>3</w:t>
            </w:r>
            <w:r w:rsidR="0028665F">
              <w:rPr>
                <w:rFonts w:asciiTheme="minorHAnsi" w:eastAsiaTheme="minorEastAsia" w:hAnsiTheme="minorHAnsi" w:cstheme="minorBidi"/>
                <w:b w:val="0"/>
                <w:bCs w:val="0"/>
                <w:iCs w:val="0"/>
                <w:noProof/>
                <w:lang w:val="en-GB"/>
              </w:rPr>
              <w:tab/>
            </w:r>
            <w:r w:rsidR="0028665F" w:rsidRPr="00770FE3">
              <w:rPr>
                <w:rStyle w:val="Hyperlink"/>
                <w:noProof/>
                <w:lang w:val="en-GB"/>
              </w:rPr>
              <w:t>Appendix</w:t>
            </w:r>
            <w:r w:rsidR="0028665F">
              <w:rPr>
                <w:noProof/>
                <w:webHidden/>
              </w:rPr>
              <w:tab/>
            </w:r>
            <w:r w:rsidR="0028665F">
              <w:rPr>
                <w:noProof/>
                <w:webHidden/>
              </w:rPr>
              <w:fldChar w:fldCharType="begin"/>
            </w:r>
            <w:r w:rsidR="0028665F">
              <w:rPr>
                <w:noProof/>
                <w:webHidden/>
              </w:rPr>
              <w:instrText xml:space="preserve"> PAGEREF _Toc3211459 \h </w:instrText>
            </w:r>
            <w:r w:rsidR="0028665F">
              <w:rPr>
                <w:noProof/>
                <w:webHidden/>
              </w:rPr>
            </w:r>
            <w:r w:rsidR="0028665F">
              <w:rPr>
                <w:noProof/>
                <w:webHidden/>
              </w:rPr>
              <w:fldChar w:fldCharType="separate"/>
            </w:r>
            <w:r w:rsidR="0028665F">
              <w:rPr>
                <w:noProof/>
                <w:webHidden/>
              </w:rPr>
              <w:t>170</w:t>
            </w:r>
            <w:r w:rsidR="0028665F">
              <w:rPr>
                <w:noProof/>
                <w:webHidden/>
              </w:rPr>
              <w:fldChar w:fldCharType="end"/>
            </w:r>
          </w:hyperlink>
        </w:p>
        <w:p w14:paraId="55060958" w14:textId="50C0F4CB" w:rsidR="0028665F" w:rsidRDefault="00C2072C">
          <w:pPr>
            <w:pStyle w:val="TOC1"/>
            <w:rPr>
              <w:rFonts w:asciiTheme="minorHAnsi" w:eastAsiaTheme="minorEastAsia" w:hAnsiTheme="minorHAnsi" w:cstheme="minorBidi"/>
              <w:b w:val="0"/>
              <w:bCs w:val="0"/>
              <w:iCs w:val="0"/>
              <w:noProof/>
              <w:lang w:val="en-GB"/>
            </w:rPr>
          </w:pPr>
          <w:hyperlink w:anchor="_Toc3211460" w:history="1">
            <w:r w:rsidR="0028665F" w:rsidRPr="00770FE3">
              <w:rPr>
                <w:rStyle w:val="Hyperlink"/>
                <w:noProof/>
                <w:color w:val="FFFFFF" w:themeColor="background1"/>
                <w:lang w:val="en-GB"/>
                <w14:textFill>
                  <w14:noFill/>
                </w14:textFill>
              </w:rPr>
              <w:t>4</w:t>
            </w:r>
            <w:r w:rsidR="0028665F">
              <w:rPr>
                <w:rFonts w:asciiTheme="minorHAnsi" w:eastAsiaTheme="minorEastAsia" w:hAnsiTheme="minorHAnsi" w:cstheme="minorBidi"/>
                <w:b w:val="0"/>
                <w:bCs w:val="0"/>
                <w:iCs w:val="0"/>
                <w:noProof/>
                <w:lang w:val="en-GB"/>
              </w:rPr>
              <w:tab/>
            </w:r>
            <w:r w:rsidR="0028665F" w:rsidRPr="00770FE3">
              <w:rPr>
                <w:rStyle w:val="Hyperlink"/>
                <w:noProof/>
                <w:lang w:val="en-GB"/>
              </w:rPr>
              <w:t>Bibliography</w:t>
            </w:r>
            <w:r w:rsidR="0028665F">
              <w:rPr>
                <w:noProof/>
                <w:webHidden/>
              </w:rPr>
              <w:tab/>
            </w:r>
            <w:r w:rsidR="0028665F">
              <w:rPr>
                <w:noProof/>
                <w:webHidden/>
              </w:rPr>
              <w:fldChar w:fldCharType="begin"/>
            </w:r>
            <w:r w:rsidR="0028665F">
              <w:rPr>
                <w:noProof/>
                <w:webHidden/>
              </w:rPr>
              <w:instrText xml:space="preserve"> PAGEREF _Toc3211460 \h </w:instrText>
            </w:r>
            <w:r w:rsidR="0028665F">
              <w:rPr>
                <w:noProof/>
                <w:webHidden/>
              </w:rPr>
            </w:r>
            <w:r w:rsidR="0028665F">
              <w:rPr>
                <w:noProof/>
                <w:webHidden/>
              </w:rPr>
              <w:fldChar w:fldCharType="separate"/>
            </w:r>
            <w:r w:rsidR="0028665F">
              <w:rPr>
                <w:noProof/>
                <w:webHidden/>
              </w:rPr>
              <w:t>207</w:t>
            </w:r>
            <w:r w:rsidR="0028665F">
              <w:rPr>
                <w:noProof/>
                <w:webHidden/>
              </w:rPr>
              <w:fldChar w:fldCharType="end"/>
            </w:r>
          </w:hyperlink>
        </w:p>
        <w:p w14:paraId="2A6F2490" w14:textId="159D427F" w:rsidR="00534975" w:rsidRPr="0082680A" w:rsidRDefault="008530F4" w:rsidP="00534975">
          <w:pPr>
            <w:rPr>
              <w:lang w:val="en-GB"/>
            </w:rPr>
          </w:pPr>
          <w:r w:rsidRPr="0082680A">
            <w:rPr>
              <w:b/>
              <w:sz w:val="24"/>
              <w:szCs w:val="24"/>
              <w:lang w:val="en-GB"/>
            </w:rPr>
            <w:fldChar w:fldCharType="end"/>
          </w:r>
        </w:p>
      </w:sdtContent>
    </w:sdt>
    <w:p w14:paraId="622284E6" w14:textId="77777777" w:rsidR="00534975" w:rsidRPr="0082680A" w:rsidRDefault="00534975">
      <w:pPr>
        <w:rPr>
          <w:rFonts w:ascii="Arial" w:eastAsia="Arial" w:hAnsi="Arial" w:cs="Arial"/>
          <w:sz w:val="32"/>
          <w:szCs w:val="32"/>
          <w:lang w:val="en-GB"/>
        </w:rPr>
      </w:pPr>
      <w:r w:rsidRPr="0082680A">
        <w:rPr>
          <w:lang w:val="en-GB"/>
        </w:rPr>
        <w:br w:type="page"/>
      </w:r>
    </w:p>
    <w:p w14:paraId="74C38645" w14:textId="22020CF4" w:rsidR="00505488" w:rsidRPr="0082680A" w:rsidRDefault="00EC7B1C" w:rsidP="00505488">
      <w:pPr>
        <w:rPr>
          <w:rFonts w:ascii="Arial" w:hAnsi="Arial" w:cs="Arial"/>
          <w:sz w:val="44"/>
          <w:szCs w:val="44"/>
          <w:lang w:val="en-GB"/>
        </w:rPr>
      </w:pPr>
      <w:r w:rsidRPr="0082680A">
        <w:rPr>
          <w:rFonts w:ascii="Arial" w:hAnsi="Arial" w:cs="Arial"/>
          <w:sz w:val="44"/>
          <w:szCs w:val="44"/>
          <w:lang w:val="en-GB"/>
        </w:rPr>
        <w:lastRenderedPageBreak/>
        <w:t>List of Tables</w:t>
      </w:r>
    </w:p>
    <w:p w14:paraId="14209056" w14:textId="19699CAE" w:rsidR="000E46C0" w:rsidRDefault="002455E9">
      <w:pPr>
        <w:pStyle w:val="TableofFigures"/>
        <w:tabs>
          <w:tab w:val="right" w:leader="dot" w:pos="8834"/>
        </w:tabs>
        <w:rPr>
          <w:rFonts w:asciiTheme="minorHAnsi" w:eastAsiaTheme="minorEastAsia" w:hAnsiTheme="minorHAnsi" w:cstheme="minorBidi"/>
          <w:noProof/>
          <w:sz w:val="24"/>
          <w:szCs w:val="24"/>
          <w:lang w:val="en-GB"/>
        </w:rPr>
      </w:pPr>
      <w:r w:rsidRPr="0082680A">
        <w:rPr>
          <w:lang w:val="en-GB"/>
        </w:rPr>
        <w:fldChar w:fldCharType="begin"/>
      </w:r>
      <w:r w:rsidRPr="0082680A">
        <w:rPr>
          <w:lang w:val="en-GB"/>
        </w:rPr>
        <w:instrText xml:space="preserve"> TOC \h \z \c "Table" </w:instrText>
      </w:r>
      <w:r w:rsidRPr="0082680A">
        <w:rPr>
          <w:lang w:val="en-GB"/>
        </w:rPr>
        <w:fldChar w:fldCharType="separate"/>
      </w:r>
      <w:hyperlink w:anchor="_Toc3225915" w:history="1">
        <w:r w:rsidR="000E46C0" w:rsidRPr="00E07AFF">
          <w:rPr>
            <w:rStyle w:val="Hyperlink"/>
            <w:noProof/>
          </w:rPr>
          <w:t>Table 1: Table of common signature studies.</w:t>
        </w:r>
        <w:r w:rsidR="000E46C0">
          <w:rPr>
            <w:noProof/>
            <w:webHidden/>
          </w:rPr>
          <w:tab/>
        </w:r>
        <w:r w:rsidR="000E46C0">
          <w:rPr>
            <w:noProof/>
            <w:webHidden/>
          </w:rPr>
          <w:fldChar w:fldCharType="begin"/>
        </w:r>
        <w:r w:rsidR="000E46C0">
          <w:rPr>
            <w:noProof/>
            <w:webHidden/>
          </w:rPr>
          <w:instrText xml:space="preserve"> PAGEREF _Toc3225915 \h </w:instrText>
        </w:r>
        <w:r w:rsidR="000E46C0">
          <w:rPr>
            <w:noProof/>
            <w:webHidden/>
          </w:rPr>
        </w:r>
        <w:r w:rsidR="000E46C0">
          <w:rPr>
            <w:noProof/>
            <w:webHidden/>
          </w:rPr>
          <w:fldChar w:fldCharType="separate"/>
        </w:r>
        <w:r w:rsidR="000E46C0">
          <w:rPr>
            <w:noProof/>
            <w:webHidden/>
          </w:rPr>
          <w:t>20</w:t>
        </w:r>
        <w:r w:rsidR="000E46C0">
          <w:rPr>
            <w:noProof/>
            <w:webHidden/>
          </w:rPr>
          <w:fldChar w:fldCharType="end"/>
        </w:r>
      </w:hyperlink>
    </w:p>
    <w:p w14:paraId="404DE97E" w14:textId="5BEEDA5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16" w:history="1">
        <w:r w:rsidR="000E46C0" w:rsidRPr="00E07AFF">
          <w:rPr>
            <w:rStyle w:val="Hyperlink"/>
            <w:noProof/>
          </w:rPr>
          <w:t>Table 2: A summary of prevalence rates of TDP-43 pathology in various neurodegenerative conditions.</w:t>
        </w:r>
        <w:r w:rsidR="000E46C0">
          <w:rPr>
            <w:noProof/>
            <w:webHidden/>
          </w:rPr>
          <w:tab/>
        </w:r>
        <w:r w:rsidR="000E46C0">
          <w:rPr>
            <w:noProof/>
            <w:webHidden/>
          </w:rPr>
          <w:fldChar w:fldCharType="begin"/>
        </w:r>
        <w:r w:rsidR="000E46C0">
          <w:rPr>
            <w:noProof/>
            <w:webHidden/>
          </w:rPr>
          <w:instrText xml:space="preserve"> PAGEREF _Toc3225916 \h </w:instrText>
        </w:r>
        <w:r w:rsidR="000E46C0">
          <w:rPr>
            <w:noProof/>
            <w:webHidden/>
          </w:rPr>
        </w:r>
        <w:r w:rsidR="000E46C0">
          <w:rPr>
            <w:noProof/>
            <w:webHidden/>
          </w:rPr>
          <w:fldChar w:fldCharType="separate"/>
        </w:r>
        <w:r w:rsidR="000E46C0">
          <w:rPr>
            <w:noProof/>
            <w:webHidden/>
          </w:rPr>
          <w:t>25</w:t>
        </w:r>
        <w:r w:rsidR="000E46C0">
          <w:rPr>
            <w:noProof/>
            <w:webHidden/>
          </w:rPr>
          <w:fldChar w:fldCharType="end"/>
        </w:r>
      </w:hyperlink>
    </w:p>
    <w:p w14:paraId="08034DBC" w14:textId="103D2C9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0" w:anchor="_Toc3225917" w:history="1">
        <w:r w:rsidR="000E46C0" w:rsidRPr="00E07AFF">
          <w:rPr>
            <w:rStyle w:val="Hyperlink"/>
            <w:noProof/>
          </w:rPr>
          <w:t>Table 3: The Six datasets containing TDP-43 pathology-positive patients</w:t>
        </w:r>
        <w:r w:rsidR="000E46C0">
          <w:rPr>
            <w:noProof/>
            <w:webHidden/>
          </w:rPr>
          <w:tab/>
        </w:r>
        <w:r w:rsidR="000E46C0">
          <w:rPr>
            <w:noProof/>
            <w:webHidden/>
          </w:rPr>
          <w:fldChar w:fldCharType="begin"/>
        </w:r>
        <w:r w:rsidR="000E46C0">
          <w:rPr>
            <w:noProof/>
            <w:webHidden/>
          </w:rPr>
          <w:instrText xml:space="preserve"> PAGEREF _Toc3225917 \h </w:instrText>
        </w:r>
        <w:r w:rsidR="000E46C0">
          <w:rPr>
            <w:noProof/>
            <w:webHidden/>
          </w:rPr>
        </w:r>
        <w:r w:rsidR="000E46C0">
          <w:rPr>
            <w:noProof/>
            <w:webHidden/>
          </w:rPr>
          <w:fldChar w:fldCharType="separate"/>
        </w:r>
        <w:r w:rsidR="000E46C0">
          <w:rPr>
            <w:noProof/>
            <w:webHidden/>
          </w:rPr>
          <w:t>33</w:t>
        </w:r>
        <w:r w:rsidR="000E46C0">
          <w:rPr>
            <w:noProof/>
            <w:webHidden/>
          </w:rPr>
          <w:fldChar w:fldCharType="end"/>
        </w:r>
      </w:hyperlink>
    </w:p>
    <w:p w14:paraId="01C9D94D" w14:textId="0FCC9CEF"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18" w:history="1">
        <w:r w:rsidR="000E46C0" w:rsidRPr="00E07AFF">
          <w:rPr>
            <w:rStyle w:val="Hyperlink"/>
            <w:noProof/>
            <w:lang w:val="en-GB"/>
          </w:rPr>
          <w:t>Table 4: Number of differentially expressed genes recorded for each TDP-43 dataset under a P-value threshold of &lt;0.05, and a P-value threshold plus an absolute fold change threshold of 1.5.</w:t>
        </w:r>
        <w:r w:rsidR="000E46C0">
          <w:rPr>
            <w:noProof/>
            <w:webHidden/>
          </w:rPr>
          <w:tab/>
        </w:r>
        <w:r w:rsidR="000E46C0">
          <w:rPr>
            <w:noProof/>
            <w:webHidden/>
          </w:rPr>
          <w:fldChar w:fldCharType="begin"/>
        </w:r>
        <w:r w:rsidR="000E46C0">
          <w:rPr>
            <w:noProof/>
            <w:webHidden/>
          </w:rPr>
          <w:instrText xml:space="preserve"> PAGEREF _Toc3225918 \h </w:instrText>
        </w:r>
        <w:r w:rsidR="000E46C0">
          <w:rPr>
            <w:noProof/>
            <w:webHidden/>
          </w:rPr>
        </w:r>
        <w:r w:rsidR="000E46C0">
          <w:rPr>
            <w:noProof/>
            <w:webHidden/>
          </w:rPr>
          <w:fldChar w:fldCharType="separate"/>
        </w:r>
        <w:r w:rsidR="000E46C0">
          <w:rPr>
            <w:noProof/>
            <w:webHidden/>
          </w:rPr>
          <w:t>35</w:t>
        </w:r>
        <w:r w:rsidR="000E46C0">
          <w:rPr>
            <w:noProof/>
            <w:webHidden/>
          </w:rPr>
          <w:fldChar w:fldCharType="end"/>
        </w:r>
      </w:hyperlink>
    </w:p>
    <w:p w14:paraId="37A214B2" w14:textId="09B2B851"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19" w:history="1">
        <w:r w:rsidR="000E46C0" w:rsidRPr="00E07AFF">
          <w:rPr>
            <w:rStyle w:val="Hyperlink"/>
            <w:noProof/>
            <w:lang w:val="en-GB"/>
          </w:rPr>
          <w:t>Table 5: Total number of genes for each TDP-43 dataset after pre-processing and numbers of these genes which are upregulated or downregulated.</w:t>
        </w:r>
        <w:r w:rsidR="000E46C0">
          <w:rPr>
            <w:noProof/>
            <w:webHidden/>
          </w:rPr>
          <w:tab/>
        </w:r>
        <w:r w:rsidR="000E46C0">
          <w:rPr>
            <w:noProof/>
            <w:webHidden/>
          </w:rPr>
          <w:fldChar w:fldCharType="begin"/>
        </w:r>
        <w:r w:rsidR="000E46C0">
          <w:rPr>
            <w:noProof/>
            <w:webHidden/>
          </w:rPr>
          <w:instrText xml:space="preserve"> PAGEREF _Toc3225919 \h </w:instrText>
        </w:r>
        <w:r w:rsidR="000E46C0">
          <w:rPr>
            <w:noProof/>
            <w:webHidden/>
          </w:rPr>
        </w:r>
        <w:r w:rsidR="000E46C0">
          <w:rPr>
            <w:noProof/>
            <w:webHidden/>
          </w:rPr>
          <w:fldChar w:fldCharType="separate"/>
        </w:r>
        <w:r w:rsidR="000E46C0">
          <w:rPr>
            <w:noProof/>
            <w:webHidden/>
          </w:rPr>
          <w:t>38</w:t>
        </w:r>
        <w:r w:rsidR="000E46C0">
          <w:rPr>
            <w:noProof/>
            <w:webHidden/>
          </w:rPr>
          <w:fldChar w:fldCharType="end"/>
        </w:r>
      </w:hyperlink>
    </w:p>
    <w:p w14:paraId="6000D392" w14:textId="6797039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20" w:history="1">
        <w:r w:rsidR="000E46C0" w:rsidRPr="00E07AFF">
          <w:rPr>
            <w:rStyle w:val="Hyperlink"/>
            <w:noProof/>
            <w:lang w:val="en-GB"/>
          </w:rPr>
          <w:t>Table 6: Comparison of TDP-43 DEG results and those expected by random permutation.</w:t>
        </w:r>
        <w:r w:rsidR="000E46C0">
          <w:rPr>
            <w:noProof/>
            <w:webHidden/>
          </w:rPr>
          <w:tab/>
        </w:r>
        <w:r w:rsidR="000E46C0">
          <w:rPr>
            <w:noProof/>
            <w:webHidden/>
          </w:rPr>
          <w:fldChar w:fldCharType="begin"/>
        </w:r>
        <w:r w:rsidR="000E46C0">
          <w:rPr>
            <w:noProof/>
            <w:webHidden/>
          </w:rPr>
          <w:instrText xml:space="preserve"> PAGEREF _Toc3225920 \h </w:instrText>
        </w:r>
        <w:r w:rsidR="000E46C0">
          <w:rPr>
            <w:noProof/>
            <w:webHidden/>
          </w:rPr>
        </w:r>
        <w:r w:rsidR="000E46C0">
          <w:rPr>
            <w:noProof/>
            <w:webHidden/>
          </w:rPr>
          <w:fldChar w:fldCharType="separate"/>
        </w:r>
        <w:r w:rsidR="000E46C0">
          <w:rPr>
            <w:noProof/>
            <w:webHidden/>
          </w:rPr>
          <w:t>39</w:t>
        </w:r>
        <w:r w:rsidR="000E46C0">
          <w:rPr>
            <w:noProof/>
            <w:webHidden/>
          </w:rPr>
          <w:fldChar w:fldCharType="end"/>
        </w:r>
      </w:hyperlink>
    </w:p>
    <w:p w14:paraId="1AC16FE4" w14:textId="00A347F9"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1" w:anchor="_Toc3225921" w:history="1">
        <w:r w:rsidR="000E46C0" w:rsidRPr="00E07AFF">
          <w:rPr>
            <w:rStyle w:val="Hyperlink"/>
            <w:noProof/>
          </w:rPr>
          <w:t>Table 7: Datasets used to build tissue-nonspecific and condition generic signatures for TDP-43 DEG signature filtering.</w:t>
        </w:r>
        <w:r w:rsidR="000E46C0">
          <w:rPr>
            <w:noProof/>
            <w:webHidden/>
          </w:rPr>
          <w:tab/>
        </w:r>
        <w:r w:rsidR="000E46C0">
          <w:rPr>
            <w:noProof/>
            <w:webHidden/>
          </w:rPr>
          <w:fldChar w:fldCharType="begin"/>
        </w:r>
        <w:r w:rsidR="000E46C0">
          <w:rPr>
            <w:noProof/>
            <w:webHidden/>
          </w:rPr>
          <w:instrText xml:space="preserve"> PAGEREF _Toc3225921 \h </w:instrText>
        </w:r>
        <w:r w:rsidR="000E46C0">
          <w:rPr>
            <w:noProof/>
            <w:webHidden/>
          </w:rPr>
        </w:r>
        <w:r w:rsidR="000E46C0">
          <w:rPr>
            <w:noProof/>
            <w:webHidden/>
          </w:rPr>
          <w:fldChar w:fldCharType="separate"/>
        </w:r>
        <w:r w:rsidR="000E46C0">
          <w:rPr>
            <w:noProof/>
            <w:webHidden/>
          </w:rPr>
          <w:t>41</w:t>
        </w:r>
        <w:r w:rsidR="000E46C0">
          <w:rPr>
            <w:noProof/>
            <w:webHidden/>
          </w:rPr>
          <w:fldChar w:fldCharType="end"/>
        </w:r>
      </w:hyperlink>
    </w:p>
    <w:p w14:paraId="09EE4E3B" w14:textId="0D6645E9"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22" w:history="1">
        <w:r w:rsidR="000E46C0" w:rsidRPr="00E07AFF">
          <w:rPr>
            <w:rStyle w:val="Hyperlink"/>
            <w:noProof/>
            <w:lang w:val="en-GB"/>
          </w:rPr>
          <w:t>Table 8: Results of enrichment analysis for overlap between curated TDP-43-associated genes and the common DEG list.</w:t>
        </w:r>
        <w:r w:rsidR="000E46C0">
          <w:rPr>
            <w:noProof/>
            <w:webHidden/>
          </w:rPr>
          <w:tab/>
        </w:r>
        <w:r w:rsidR="000E46C0">
          <w:rPr>
            <w:noProof/>
            <w:webHidden/>
          </w:rPr>
          <w:fldChar w:fldCharType="begin"/>
        </w:r>
        <w:r w:rsidR="000E46C0">
          <w:rPr>
            <w:noProof/>
            <w:webHidden/>
          </w:rPr>
          <w:instrText xml:space="preserve"> PAGEREF _Toc3225922 \h </w:instrText>
        </w:r>
        <w:r w:rsidR="000E46C0">
          <w:rPr>
            <w:noProof/>
            <w:webHidden/>
          </w:rPr>
        </w:r>
        <w:r w:rsidR="000E46C0">
          <w:rPr>
            <w:noProof/>
            <w:webHidden/>
          </w:rPr>
          <w:fldChar w:fldCharType="separate"/>
        </w:r>
        <w:r w:rsidR="000E46C0">
          <w:rPr>
            <w:noProof/>
            <w:webHidden/>
          </w:rPr>
          <w:t>44</w:t>
        </w:r>
        <w:r w:rsidR="000E46C0">
          <w:rPr>
            <w:noProof/>
            <w:webHidden/>
          </w:rPr>
          <w:fldChar w:fldCharType="end"/>
        </w:r>
      </w:hyperlink>
    </w:p>
    <w:p w14:paraId="163BDD17" w14:textId="562AB0A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23" w:history="1">
        <w:r w:rsidR="000E46C0" w:rsidRPr="00E07AFF">
          <w:rPr>
            <w:rStyle w:val="Hyperlink"/>
            <w:noProof/>
            <w:lang w:val="en-GB"/>
          </w:rPr>
          <w:t>Table 9: Top 10 enriched pathways in each of the pathway databases for TDP-43-associated upregulated DEGs.</w:t>
        </w:r>
        <w:r w:rsidR="000E46C0">
          <w:rPr>
            <w:noProof/>
            <w:webHidden/>
          </w:rPr>
          <w:tab/>
        </w:r>
        <w:r w:rsidR="000E46C0">
          <w:rPr>
            <w:noProof/>
            <w:webHidden/>
          </w:rPr>
          <w:fldChar w:fldCharType="begin"/>
        </w:r>
        <w:r w:rsidR="000E46C0">
          <w:rPr>
            <w:noProof/>
            <w:webHidden/>
          </w:rPr>
          <w:instrText xml:space="preserve"> PAGEREF _Toc3225923 \h </w:instrText>
        </w:r>
        <w:r w:rsidR="000E46C0">
          <w:rPr>
            <w:noProof/>
            <w:webHidden/>
          </w:rPr>
        </w:r>
        <w:r w:rsidR="000E46C0">
          <w:rPr>
            <w:noProof/>
            <w:webHidden/>
          </w:rPr>
          <w:fldChar w:fldCharType="separate"/>
        </w:r>
        <w:r w:rsidR="000E46C0">
          <w:rPr>
            <w:noProof/>
            <w:webHidden/>
          </w:rPr>
          <w:t>45</w:t>
        </w:r>
        <w:r w:rsidR="000E46C0">
          <w:rPr>
            <w:noProof/>
            <w:webHidden/>
          </w:rPr>
          <w:fldChar w:fldCharType="end"/>
        </w:r>
      </w:hyperlink>
    </w:p>
    <w:p w14:paraId="119D82EA" w14:textId="12EAC1E2"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24" w:history="1">
        <w:r w:rsidR="000E46C0" w:rsidRPr="00E07AFF">
          <w:rPr>
            <w:rStyle w:val="Hyperlink"/>
            <w:noProof/>
            <w:lang w:val="en-GB"/>
          </w:rPr>
          <w:t>Table 10: Top 10 enriched pathways in each of the pathway databases for TDP-43-associated downregulated DEGs.</w:t>
        </w:r>
        <w:r w:rsidR="000E46C0">
          <w:rPr>
            <w:noProof/>
            <w:webHidden/>
          </w:rPr>
          <w:tab/>
        </w:r>
        <w:r w:rsidR="000E46C0">
          <w:rPr>
            <w:noProof/>
            <w:webHidden/>
          </w:rPr>
          <w:fldChar w:fldCharType="begin"/>
        </w:r>
        <w:r w:rsidR="000E46C0">
          <w:rPr>
            <w:noProof/>
            <w:webHidden/>
          </w:rPr>
          <w:instrText xml:space="preserve"> PAGEREF _Toc3225924 \h </w:instrText>
        </w:r>
        <w:r w:rsidR="000E46C0">
          <w:rPr>
            <w:noProof/>
            <w:webHidden/>
          </w:rPr>
        </w:r>
        <w:r w:rsidR="000E46C0">
          <w:rPr>
            <w:noProof/>
            <w:webHidden/>
          </w:rPr>
          <w:fldChar w:fldCharType="separate"/>
        </w:r>
        <w:r w:rsidR="000E46C0">
          <w:rPr>
            <w:noProof/>
            <w:webHidden/>
          </w:rPr>
          <w:t>45</w:t>
        </w:r>
        <w:r w:rsidR="000E46C0">
          <w:rPr>
            <w:noProof/>
            <w:webHidden/>
          </w:rPr>
          <w:fldChar w:fldCharType="end"/>
        </w:r>
      </w:hyperlink>
    </w:p>
    <w:p w14:paraId="62B41064" w14:textId="5176756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25" w:history="1">
        <w:r w:rsidR="000E46C0" w:rsidRPr="00E07AFF">
          <w:rPr>
            <w:rStyle w:val="Hyperlink"/>
            <w:noProof/>
            <w:lang w:val="en-GB"/>
          </w:rPr>
          <w:t>Table 11: Results of enrichment analysis for overlap between curated TDP-43-associated genes’ proteins and the PPI network proteins</w:t>
        </w:r>
        <w:r w:rsidR="000E46C0">
          <w:rPr>
            <w:noProof/>
            <w:webHidden/>
          </w:rPr>
          <w:tab/>
        </w:r>
        <w:r w:rsidR="000E46C0">
          <w:rPr>
            <w:noProof/>
            <w:webHidden/>
          </w:rPr>
          <w:fldChar w:fldCharType="begin"/>
        </w:r>
        <w:r w:rsidR="000E46C0">
          <w:rPr>
            <w:noProof/>
            <w:webHidden/>
          </w:rPr>
          <w:instrText xml:space="preserve"> PAGEREF _Toc3225925 \h </w:instrText>
        </w:r>
        <w:r w:rsidR="000E46C0">
          <w:rPr>
            <w:noProof/>
            <w:webHidden/>
          </w:rPr>
        </w:r>
        <w:r w:rsidR="000E46C0">
          <w:rPr>
            <w:noProof/>
            <w:webHidden/>
          </w:rPr>
          <w:fldChar w:fldCharType="separate"/>
        </w:r>
        <w:r w:rsidR="000E46C0">
          <w:rPr>
            <w:noProof/>
            <w:webHidden/>
          </w:rPr>
          <w:t>48</w:t>
        </w:r>
        <w:r w:rsidR="000E46C0">
          <w:rPr>
            <w:noProof/>
            <w:webHidden/>
          </w:rPr>
          <w:fldChar w:fldCharType="end"/>
        </w:r>
      </w:hyperlink>
    </w:p>
    <w:p w14:paraId="30E5ADD0" w14:textId="26CAD95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26" w:history="1">
        <w:r w:rsidR="000E46C0" w:rsidRPr="00E07AFF">
          <w:rPr>
            <w:rStyle w:val="Hyperlink"/>
            <w:noProof/>
            <w:lang w:val="en-GB"/>
          </w:rPr>
          <w:t>Table 12: Top 10 enriched pathways in KEGG, Wikipathways, and Reactome databases for TDP-43 protein interaction network</w:t>
        </w:r>
        <w:r w:rsidR="000E46C0">
          <w:rPr>
            <w:noProof/>
            <w:webHidden/>
          </w:rPr>
          <w:tab/>
        </w:r>
        <w:r w:rsidR="000E46C0">
          <w:rPr>
            <w:noProof/>
            <w:webHidden/>
          </w:rPr>
          <w:fldChar w:fldCharType="begin"/>
        </w:r>
        <w:r w:rsidR="000E46C0">
          <w:rPr>
            <w:noProof/>
            <w:webHidden/>
          </w:rPr>
          <w:instrText xml:space="preserve"> PAGEREF _Toc3225926 \h </w:instrText>
        </w:r>
        <w:r w:rsidR="000E46C0">
          <w:rPr>
            <w:noProof/>
            <w:webHidden/>
          </w:rPr>
        </w:r>
        <w:r w:rsidR="000E46C0">
          <w:rPr>
            <w:noProof/>
            <w:webHidden/>
          </w:rPr>
          <w:fldChar w:fldCharType="separate"/>
        </w:r>
        <w:r w:rsidR="000E46C0">
          <w:rPr>
            <w:noProof/>
            <w:webHidden/>
          </w:rPr>
          <w:t>49</w:t>
        </w:r>
        <w:r w:rsidR="000E46C0">
          <w:rPr>
            <w:noProof/>
            <w:webHidden/>
          </w:rPr>
          <w:fldChar w:fldCharType="end"/>
        </w:r>
      </w:hyperlink>
    </w:p>
    <w:p w14:paraId="7649C419" w14:textId="3901CFB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27" w:history="1">
        <w:r w:rsidR="000E46C0" w:rsidRPr="00E07AFF">
          <w:rPr>
            <w:rStyle w:val="Hyperlink"/>
            <w:noProof/>
            <w:lang w:val="en-GB"/>
          </w:rPr>
          <w:t>Table 13: Top 10 enriched terms in GO for TDP-43 protein interaction network.</w:t>
        </w:r>
        <w:r w:rsidR="000E46C0">
          <w:rPr>
            <w:noProof/>
            <w:webHidden/>
          </w:rPr>
          <w:tab/>
        </w:r>
        <w:r w:rsidR="000E46C0">
          <w:rPr>
            <w:noProof/>
            <w:webHidden/>
          </w:rPr>
          <w:fldChar w:fldCharType="begin"/>
        </w:r>
        <w:r w:rsidR="000E46C0">
          <w:rPr>
            <w:noProof/>
            <w:webHidden/>
          </w:rPr>
          <w:instrText xml:space="preserve"> PAGEREF _Toc3225927 \h </w:instrText>
        </w:r>
        <w:r w:rsidR="000E46C0">
          <w:rPr>
            <w:noProof/>
            <w:webHidden/>
          </w:rPr>
        </w:r>
        <w:r w:rsidR="000E46C0">
          <w:rPr>
            <w:noProof/>
            <w:webHidden/>
          </w:rPr>
          <w:fldChar w:fldCharType="separate"/>
        </w:r>
        <w:r w:rsidR="000E46C0">
          <w:rPr>
            <w:noProof/>
            <w:webHidden/>
          </w:rPr>
          <w:t>49</w:t>
        </w:r>
        <w:r w:rsidR="000E46C0">
          <w:rPr>
            <w:noProof/>
            <w:webHidden/>
          </w:rPr>
          <w:fldChar w:fldCharType="end"/>
        </w:r>
      </w:hyperlink>
    </w:p>
    <w:p w14:paraId="06F4F47D" w14:textId="58943A1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2" w:anchor="_Toc3225928" w:history="1">
        <w:r w:rsidR="000E46C0" w:rsidRPr="00E07AFF">
          <w:rPr>
            <w:rStyle w:val="Hyperlink"/>
            <w:noProof/>
          </w:rPr>
          <w:t>Table 14: A list of members of the TDP-43 dysfunction common coexpression network module</w:t>
        </w:r>
        <w:r w:rsidR="000E46C0">
          <w:rPr>
            <w:noProof/>
            <w:webHidden/>
          </w:rPr>
          <w:tab/>
        </w:r>
        <w:r w:rsidR="000E46C0">
          <w:rPr>
            <w:noProof/>
            <w:webHidden/>
          </w:rPr>
          <w:fldChar w:fldCharType="begin"/>
        </w:r>
        <w:r w:rsidR="000E46C0">
          <w:rPr>
            <w:noProof/>
            <w:webHidden/>
          </w:rPr>
          <w:instrText xml:space="preserve"> PAGEREF _Toc3225928 \h </w:instrText>
        </w:r>
        <w:r w:rsidR="000E46C0">
          <w:rPr>
            <w:noProof/>
            <w:webHidden/>
          </w:rPr>
        </w:r>
        <w:r w:rsidR="000E46C0">
          <w:rPr>
            <w:noProof/>
            <w:webHidden/>
          </w:rPr>
          <w:fldChar w:fldCharType="separate"/>
        </w:r>
        <w:r w:rsidR="000E46C0">
          <w:rPr>
            <w:noProof/>
            <w:webHidden/>
          </w:rPr>
          <w:t>55</w:t>
        </w:r>
        <w:r w:rsidR="000E46C0">
          <w:rPr>
            <w:noProof/>
            <w:webHidden/>
          </w:rPr>
          <w:fldChar w:fldCharType="end"/>
        </w:r>
      </w:hyperlink>
    </w:p>
    <w:p w14:paraId="7E540732" w14:textId="445EF16F"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29" w:history="1">
        <w:r w:rsidR="000E46C0" w:rsidRPr="00E07AFF">
          <w:rPr>
            <w:rStyle w:val="Hyperlink"/>
            <w:noProof/>
            <w:lang w:val="en-GB"/>
          </w:rPr>
          <w:t>Table 15: Results of enrichment analysis for overlap between curated TDP-43-associated genes’ proteins and the common coexpression module.</w:t>
        </w:r>
        <w:r w:rsidR="000E46C0">
          <w:rPr>
            <w:noProof/>
            <w:webHidden/>
          </w:rPr>
          <w:tab/>
        </w:r>
        <w:r w:rsidR="000E46C0">
          <w:rPr>
            <w:noProof/>
            <w:webHidden/>
          </w:rPr>
          <w:fldChar w:fldCharType="begin"/>
        </w:r>
        <w:r w:rsidR="000E46C0">
          <w:rPr>
            <w:noProof/>
            <w:webHidden/>
          </w:rPr>
          <w:instrText xml:space="preserve"> PAGEREF _Toc3225929 \h </w:instrText>
        </w:r>
        <w:r w:rsidR="000E46C0">
          <w:rPr>
            <w:noProof/>
            <w:webHidden/>
          </w:rPr>
        </w:r>
        <w:r w:rsidR="000E46C0">
          <w:rPr>
            <w:noProof/>
            <w:webHidden/>
          </w:rPr>
          <w:fldChar w:fldCharType="separate"/>
        </w:r>
        <w:r w:rsidR="000E46C0">
          <w:rPr>
            <w:noProof/>
            <w:webHidden/>
          </w:rPr>
          <w:t>56</w:t>
        </w:r>
        <w:r w:rsidR="000E46C0">
          <w:rPr>
            <w:noProof/>
            <w:webHidden/>
          </w:rPr>
          <w:fldChar w:fldCharType="end"/>
        </w:r>
      </w:hyperlink>
    </w:p>
    <w:p w14:paraId="78A4F44F" w14:textId="798AB7DC"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0" w:history="1">
        <w:r w:rsidR="000E46C0" w:rsidRPr="00E07AFF">
          <w:rPr>
            <w:rStyle w:val="Hyperlink"/>
            <w:noProof/>
            <w:lang w:val="en-GB"/>
          </w:rPr>
          <w:t>Table 16: Top 10 enriched pathways in KEGG, Wikipathways, and Reactome databases for TDP-43 common coexpression module.</w:t>
        </w:r>
        <w:r w:rsidR="000E46C0">
          <w:rPr>
            <w:noProof/>
            <w:webHidden/>
          </w:rPr>
          <w:tab/>
        </w:r>
        <w:r w:rsidR="000E46C0">
          <w:rPr>
            <w:noProof/>
            <w:webHidden/>
          </w:rPr>
          <w:fldChar w:fldCharType="begin"/>
        </w:r>
        <w:r w:rsidR="000E46C0">
          <w:rPr>
            <w:noProof/>
            <w:webHidden/>
          </w:rPr>
          <w:instrText xml:space="preserve"> PAGEREF _Toc3225930 \h </w:instrText>
        </w:r>
        <w:r w:rsidR="000E46C0">
          <w:rPr>
            <w:noProof/>
            <w:webHidden/>
          </w:rPr>
        </w:r>
        <w:r w:rsidR="000E46C0">
          <w:rPr>
            <w:noProof/>
            <w:webHidden/>
          </w:rPr>
          <w:fldChar w:fldCharType="separate"/>
        </w:r>
        <w:r w:rsidR="000E46C0">
          <w:rPr>
            <w:noProof/>
            <w:webHidden/>
          </w:rPr>
          <w:t>57</w:t>
        </w:r>
        <w:r w:rsidR="000E46C0">
          <w:rPr>
            <w:noProof/>
            <w:webHidden/>
          </w:rPr>
          <w:fldChar w:fldCharType="end"/>
        </w:r>
      </w:hyperlink>
    </w:p>
    <w:p w14:paraId="6B3D714F" w14:textId="754F11A5"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1" w:history="1">
        <w:r w:rsidR="000E46C0" w:rsidRPr="00E07AFF">
          <w:rPr>
            <w:rStyle w:val="Hyperlink"/>
            <w:noProof/>
            <w:lang w:val="en-GB"/>
          </w:rPr>
          <w:t>Table 17: Top 10 enriched GO terms in each category for the TDP-43 common coexpression module</w:t>
        </w:r>
        <w:r w:rsidR="000E46C0">
          <w:rPr>
            <w:noProof/>
            <w:webHidden/>
          </w:rPr>
          <w:tab/>
        </w:r>
        <w:r w:rsidR="000E46C0">
          <w:rPr>
            <w:noProof/>
            <w:webHidden/>
          </w:rPr>
          <w:fldChar w:fldCharType="begin"/>
        </w:r>
        <w:r w:rsidR="000E46C0">
          <w:rPr>
            <w:noProof/>
            <w:webHidden/>
          </w:rPr>
          <w:instrText xml:space="preserve"> PAGEREF _Toc3225931 \h </w:instrText>
        </w:r>
        <w:r w:rsidR="000E46C0">
          <w:rPr>
            <w:noProof/>
            <w:webHidden/>
          </w:rPr>
        </w:r>
        <w:r w:rsidR="000E46C0">
          <w:rPr>
            <w:noProof/>
            <w:webHidden/>
          </w:rPr>
          <w:fldChar w:fldCharType="separate"/>
        </w:r>
        <w:r w:rsidR="000E46C0">
          <w:rPr>
            <w:noProof/>
            <w:webHidden/>
          </w:rPr>
          <w:t>57</w:t>
        </w:r>
        <w:r w:rsidR="000E46C0">
          <w:rPr>
            <w:noProof/>
            <w:webHidden/>
          </w:rPr>
          <w:fldChar w:fldCharType="end"/>
        </w:r>
      </w:hyperlink>
    </w:p>
    <w:p w14:paraId="2F30D238" w14:textId="0A7B827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2" w:history="1">
        <w:r w:rsidR="000E46C0" w:rsidRPr="00E07AFF">
          <w:rPr>
            <w:rStyle w:val="Hyperlink"/>
            <w:noProof/>
            <w:lang w:val="en-GB"/>
          </w:rPr>
          <w:t>Table 18: Results of random permutation test for expected number of protein interaction edges with TDP-43 Disease Genes</w:t>
        </w:r>
        <w:r w:rsidR="000E46C0">
          <w:rPr>
            <w:noProof/>
            <w:webHidden/>
          </w:rPr>
          <w:tab/>
        </w:r>
        <w:r w:rsidR="000E46C0">
          <w:rPr>
            <w:noProof/>
            <w:webHidden/>
          </w:rPr>
          <w:fldChar w:fldCharType="begin"/>
        </w:r>
        <w:r w:rsidR="000E46C0">
          <w:rPr>
            <w:noProof/>
            <w:webHidden/>
          </w:rPr>
          <w:instrText xml:space="preserve"> PAGEREF _Toc3225932 \h </w:instrText>
        </w:r>
        <w:r w:rsidR="000E46C0">
          <w:rPr>
            <w:noProof/>
            <w:webHidden/>
          </w:rPr>
        </w:r>
        <w:r w:rsidR="000E46C0">
          <w:rPr>
            <w:noProof/>
            <w:webHidden/>
          </w:rPr>
          <w:fldChar w:fldCharType="separate"/>
        </w:r>
        <w:r w:rsidR="000E46C0">
          <w:rPr>
            <w:noProof/>
            <w:webHidden/>
          </w:rPr>
          <w:t>59</w:t>
        </w:r>
        <w:r w:rsidR="000E46C0">
          <w:rPr>
            <w:noProof/>
            <w:webHidden/>
          </w:rPr>
          <w:fldChar w:fldCharType="end"/>
        </w:r>
      </w:hyperlink>
    </w:p>
    <w:p w14:paraId="7EFD852F" w14:textId="7FB43D7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3" w:history="1">
        <w:r w:rsidR="000E46C0" w:rsidRPr="00E07AFF">
          <w:rPr>
            <w:rStyle w:val="Hyperlink"/>
            <w:noProof/>
            <w:lang w:val="en-GB"/>
          </w:rPr>
          <w:t>Table 19: Enrichment results for overlap between TDP-43 common coexpression module and GWAS Catalog entries for four TDP-43-associated neurodegenerative conditions</w:t>
        </w:r>
        <w:r w:rsidR="000E46C0">
          <w:rPr>
            <w:noProof/>
            <w:webHidden/>
          </w:rPr>
          <w:tab/>
        </w:r>
        <w:r w:rsidR="000E46C0">
          <w:rPr>
            <w:noProof/>
            <w:webHidden/>
          </w:rPr>
          <w:fldChar w:fldCharType="begin"/>
        </w:r>
        <w:r w:rsidR="000E46C0">
          <w:rPr>
            <w:noProof/>
            <w:webHidden/>
          </w:rPr>
          <w:instrText xml:space="preserve"> PAGEREF _Toc3225933 \h </w:instrText>
        </w:r>
        <w:r w:rsidR="000E46C0">
          <w:rPr>
            <w:noProof/>
            <w:webHidden/>
          </w:rPr>
        </w:r>
        <w:r w:rsidR="000E46C0">
          <w:rPr>
            <w:noProof/>
            <w:webHidden/>
          </w:rPr>
          <w:fldChar w:fldCharType="separate"/>
        </w:r>
        <w:r w:rsidR="000E46C0">
          <w:rPr>
            <w:noProof/>
            <w:webHidden/>
          </w:rPr>
          <w:t>61</w:t>
        </w:r>
        <w:r w:rsidR="000E46C0">
          <w:rPr>
            <w:noProof/>
            <w:webHidden/>
          </w:rPr>
          <w:fldChar w:fldCharType="end"/>
        </w:r>
      </w:hyperlink>
    </w:p>
    <w:p w14:paraId="5EEB49EB" w14:textId="056CE8B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4" w:history="1">
        <w:r w:rsidR="000E46C0" w:rsidRPr="00E07AFF">
          <w:rPr>
            <w:rStyle w:val="Hyperlink"/>
            <w:noProof/>
            <w:lang w:val="en-GB"/>
          </w:rPr>
          <w:t>Table 20: Overview of scoring method used for each data source.</w:t>
        </w:r>
        <w:r w:rsidR="000E46C0">
          <w:rPr>
            <w:noProof/>
            <w:webHidden/>
          </w:rPr>
          <w:tab/>
        </w:r>
        <w:r w:rsidR="000E46C0">
          <w:rPr>
            <w:noProof/>
            <w:webHidden/>
          </w:rPr>
          <w:fldChar w:fldCharType="begin"/>
        </w:r>
        <w:r w:rsidR="000E46C0">
          <w:rPr>
            <w:noProof/>
            <w:webHidden/>
          </w:rPr>
          <w:instrText xml:space="preserve"> PAGEREF _Toc3225934 \h </w:instrText>
        </w:r>
        <w:r w:rsidR="000E46C0">
          <w:rPr>
            <w:noProof/>
            <w:webHidden/>
          </w:rPr>
        </w:r>
        <w:r w:rsidR="000E46C0">
          <w:rPr>
            <w:noProof/>
            <w:webHidden/>
          </w:rPr>
          <w:fldChar w:fldCharType="separate"/>
        </w:r>
        <w:r w:rsidR="000E46C0">
          <w:rPr>
            <w:noProof/>
            <w:webHidden/>
          </w:rPr>
          <w:t>63</w:t>
        </w:r>
        <w:r w:rsidR="000E46C0">
          <w:rPr>
            <w:noProof/>
            <w:webHidden/>
          </w:rPr>
          <w:fldChar w:fldCharType="end"/>
        </w:r>
      </w:hyperlink>
    </w:p>
    <w:p w14:paraId="037FA14E" w14:textId="01A3C5F4"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5" w:history="1">
        <w:r w:rsidR="000E46C0" w:rsidRPr="00E07AFF">
          <w:rPr>
            <w:rStyle w:val="Hyperlink"/>
            <w:noProof/>
          </w:rPr>
          <w:t>Table 21: Top 10 prioritisation scoring results for the TDP-43 common coexpression module.</w:t>
        </w:r>
        <w:r w:rsidR="000E46C0">
          <w:rPr>
            <w:noProof/>
            <w:webHidden/>
          </w:rPr>
          <w:tab/>
        </w:r>
        <w:r w:rsidR="000E46C0">
          <w:rPr>
            <w:noProof/>
            <w:webHidden/>
          </w:rPr>
          <w:fldChar w:fldCharType="begin"/>
        </w:r>
        <w:r w:rsidR="000E46C0">
          <w:rPr>
            <w:noProof/>
            <w:webHidden/>
          </w:rPr>
          <w:instrText xml:space="preserve"> PAGEREF _Toc3225935 \h </w:instrText>
        </w:r>
        <w:r w:rsidR="000E46C0">
          <w:rPr>
            <w:noProof/>
            <w:webHidden/>
          </w:rPr>
        </w:r>
        <w:r w:rsidR="000E46C0">
          <w:rPr>
            <w:noProof/>
            <w:webHidden/>
          </w:rPr>
          <w:fldChar w:fldCharType="separate"/>
        </w:r>
        <w:r w:rsidR="000E46C0">
          <w:rPr>
            <w:noProof/>
            <w:webHidden/>
          </w:rPr>
          <w:t>66</w:t>
        </w:r>
        <w:r w:rsidR="000E46C0">
          <w:rPr>
            <w:noProof/>
            <w:webHidden/>
          </w:rPr>
          <w:fldChar w:fldCharType="end"/>
        </w:r>
      </w:hyperlink>
    </w:p>
    <w:p w14:paraId="525BD426" w14:textId="4AB75E1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6" w:history="1">
        <w:r w:rsidR="000E46C0" w:rsidRPr="00E07AFF">
          <w:rPr>
            <w:rStyle w:val="Hyperlink"/>
            <w:noProof/>
            <w:lang w:val="en-GB"/>
          </w:rPr>
          <w:t>Table 22: Datasets used to build a PD population-generic signature.</w:t>
        </w:r>
        <w:r w:rsidR="000E46C0">
          <w:rPr>
            <w:noProof/>
            <w:webHidden/>
          </w:rPr>
          <w:tab/>
        </w:r>
        <w:r w:rsidR="000E46C0">
          <w:rPr>
            <w:noProof/>
            <w:webHidden/>
          </w:rPr>
          <w:fldChar w:fldCharType="begin"/>
        </w:r>
        <w:r w:rsidR="000E46C0">
          <w:rPr>
            <w:noProof/>
            <w:webHidden/>
          </w:rPr>
          <w:instrText xml:space="preserve"> PAGEREF _Toc3225936 \h </w:instrText>
        </w:r>
        <w:r w:rsidR="000E46C0">
          <w:rPr>
            <w:noProof/>
            <w:webHidden/>
          </w:rPr>
        </w:r>
        <w:r w:rsidR="000E46C0">
          <w:rPr>
            <w:noProof/>
            <w:webHidden/>
          </w:rPr>
          <w:fldChar w:fldCharType="separate"/>
        </w:r>
        <w:r w:rsidR="000E46C0">
          <w:rPr>
            <w:noProof/>
            <w:webHidden/>
          </w:rPr>
          <w:t>90</w:t>
        </w:r>
        <w:r w:rsidR="000E46C0">
          <w:rPr>
            <w:noProof/>
            <w:webHidden/>
          </w:rPr>
          <w:fldChar w:fldCharType="end"/>
        </w:r>
      </w:hyperlink>
    </w:p>
    <w:p w14:paraId="27E69318" w14:textId="6D68D9C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7" w:history="1">
        <w:r w:rsidR="000E46C0" w:rsidRPr="00E07AFF">
          <w:rPr>
            <w:rStyle w:val="Hyperlink"/>
            <w:noProof/>
            <w:lang w:val="en-GB"/>
          </w:rPr>
          <w:t>Table 23: Datasets used to build a PD tissue-nonspecific signature.</w:t>
        </w:r>
        <w:r w:rsidR="000E46C0">
          <w:rPr>
            <w:noProof/>
            <w:webHidden/>
          </w:rPr>
          <w:tab/>
        </w:r>
        <w:r w:rsidR="000E46C0">
          <w:rPr>
            <w:noProof/>
            <w:webHidden/>
          </w:rPr>
          <w:fldChar w:fldCharType="begin"/>
        </w:r>
        <w:r w:rsidR="000E46C0">
          <w:rPr>
            <w:noProof/>
            <w:webHidden/>
          </w:rPr>
          <w:instrText xml:space="preserve"> PAGEREF _Toc3225937 \h </w:instrText>
        </w:r>
        <w:r w:rsidR="000E46C0">
          <w:rPr>
            <w:noProof/>
            <w:webHidden/>
          </w:rPr>
        </w:r>
        <w:r w:rsidR="000E46C0">
          <w:rPr>
            <w:noProof/>
            <w:webHidden/>
          </w:rPr>
          <w:fldChar w:fldCharType="separate"/>
        </w:r>
        <w:r w:rsidR="000E46C0">
          <w:rPr>
            <w:noProof/>
            <w:webHidden/>
          </w:rPr>
          <w:t>90</w:t>
        </w:r>
        <w:r w:rsidR="000E46C0">
          <w:rPr>
            <w:noProof/>
            <w:webHidden/>
          </w:rPr>
          <w:fldChar w:fldCharType="end"/>
        </w:r>
      </w:hyperlink>
    </w:p>
    <w:p w14:paraId="53A5B8AA" w14:textId="2230D46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3" w:anchor="_Toc3225938" w:history="1">
        <w:r w:rsidR="000E46C0" w:rsidRPr="000E46C0">
          <w:rPr>
            <w:rStyle w:val="Hyperlink"/>
            <w:noProof/>
          </w:rPr>
          <w:t>Table 24: Datasets from</w:t>
        </w:r>
        <w:r w:rsidR="000E46C0" w:rsidRPr="00E07AFF">
          <w:rPr>
            <w:rStyle w:val="Hyperlink"/>
            <w:b/>
            <w:noProof/>
          </w:rPr>
          <w:t xml:space="preserve"> </w:t>
        </w:r>
        <w:r w:rsidR="000E46C0" w:rsidRPr="000E46C0">
          <w:rPr>
            <w:rStyle w:val="Hyperlink"/>
            <w:noProof/>
          </w:rPr>
          <w:t>sporadic or LRRK2 PD</w:t>
        </w:r>
        <w:r w:rsidR="000E46C0" w:rsidRPr="00E07AFF">
          <w:rPr>
            <w:rStyle w:val="Hyperlink"/>
            <w:b/>
            <w:noProof/>
          </w:rPr>
          <w:t xml:space="preserve"> </w:t>
        </w:r>
        <w:r w:rsidR="000E46C0" w:rsidRPr="000E46C0">
          <w:rPr>
            <w:rStyle w:val="Hyperlink"/>
            <w:noProof/>
          </w:rPr>
          <w:t>patients.</w:t>
        </w:r>
        <w:r w:rsidR="000E46C0">
          <w:rPr>
            <w:noProof/>
            <w:webHidden/>
          </w:rPr>
          <w:tab/>
        </w:r>
        <w:r w:rsidR="000E46C0">
          <w:rPr>
            <w:noProof/>
            <w:webHidden/>
          </w:rPr>
          <w:fldChar w:fldCharType="begin"/>
        </w:r>
        <w:r w:rsidR="000E46C0">
          <w:rPr>
            <w:noProof/>
            <w:webHidden/>
          </w:rPr>
          <w:instrText xml:space="preserve"> PAGEREF _Toc3225938 \h </w:instrText>
        </w:r>
        <w:r w:rsidR="000E46C0">
          <w:rPr>
            <w:noProof/>
            <w:webHidden/>
          </w:rPr>
        </w:r>
        <w:r w:rsidR="000E46C0">
          <w:rPr>
            <w:noProof/>
            <w:webHidden/>
          </w:rPr>
          <w:fldChar w:fldCharType="separate"/>
        </w:r>
        <w:r w:rsidR="000E46C0">
          <w:rPr>
            <w:noProof/>
            <w:webHidden/>
          </w:rPr>
          <w:t>91</w:t>
        </w:r>
        <w:r w:rsidR="000E46C0">
          <w:rPr>
            <w:noProof/>
            <w:webHidden/>
          </w:rPr>
          <w:fldChar w:fldCharType="end"/>
        </w:r>
      </w:hyperlink>
    </w:p>
    <w:p w14:paraId="17AA2D66" w14:textId="4956729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39" w:history="1">
        <w:r w:rsidR="000E46C0" w:rsidRPr="00E07AFF">
          <w:rPr>
            <w:rStyle w:val="Hyperlink"/>
            <w:noProof/>
            <w:lang w:val="en-GB"/>
          </w:rPr>
          <w:t>Table 25: Total numbers of genes passing quality control in each PD dataset, along with numbers of up and downregulated genes.</w:t>
        </w:r>
        <w:r w:rsidR="000E46C0">
          <w:rPr>
            <w:noProof/>
            <w:webHidden/>
          </w:rPr>
          <w:tab/>
        </w:r>
        <w:r w:rsidR="000E46C0">
          <w:rPr>
            <w:noProof/>
            <w:webHidden/>
          </w:rPr>
          <w:fldChar w:fldCharType="begin"/>
        </w:r>
        <w:r w:rsidR="000E46C0">
          <w:rPr>
            <w:noProof/>
            <w:webHidden/>
          </w:rPr>
          <w:instrText xml:space="preserve"> PAGEREF _Toc3225939 \h </w:instrText>
        </w:r>
        <w:r w:rsidR="000E46C0">
          <w:rPr>
            <w:noProof/>
            <w:webHidden/>
          </w:rPr>
        </w:r>
        <w:r w:rsidR="000E46C0">
          <w:rPr>
            <w:noProof/>
            <w:webHidden/>
          </w:rPr>
          <w:fldChar w:fldCharType="separate"/>
        </w:r>
        <w:r w:rsidR="000E46C0">
          <w:rPr>
            <w:noProof/>
            <w:webHidden/>
          </w:rPr>
          <w:t>95</w:t>
        </w:r>
        <w:r w:rsidR="000E46C0">
          <w:rPr>
            <w:noProof/>
            <w:webHidden/>
          </w:rPr>
          <w:fldChar w:fldCharType="end"/>
        </w:r>
      </w:hyperlink>
    </w:p>
    <w:p w14:paraId="769C5B26" w14:textId="69D202D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0" w:history="1">
        <w:r w:rsidR="000E46C0" w:rsidRPr="00E07AFF">
          <w:rPr>
            <w:rStyle w:val="Hyperlink"/>
            <w:noProof/>
            <w:lang w:val="en-GB"/>
          </w:rPr>
          <w:t>Table 26: Comparison of PD common DEG results (</w:t>
        </w:r>
        <w:r w:rsidR="000E46C0" w:rsidRPr="00E07AFF">
          <w:rPr>
            <w:rStyle w:val="Hyperlink"/>
            <w:i/>
            <w:noProof/>
            <w:lang w:val="en-GB"/>
          </w:rPr>
          <w:t>Actual Value</w:t>
        </w:r>
        <w:r w:rsidR="000E46C0" w:rsidRPr="00E07AFF">
          <w:rPr>
            <w:rStyle w:val="Hyperlink"/>
            <w:noProof/>
            <w:lang w:val="en-GB"/>
          </w:rPr>
          <w:t>) and those expected by chance according to random permutation testing (</w:t>
        </w:r>
        <w:r w:rsidR="000E46C0" w:rsidRPr="00E07AFF">
          <w:rPr>
            <w:rStyle w:val="Hyperlink"/>
            <w:i/>
            <w:noProof/>
            <w:lang w:val="en-GB"/>
          </w:rPr>
          <w:t xml:space="preserve">Expected Mean </w:t>
        </w:r>
        <w:r w:rsidR="000E46C0" w:rsidRPr="00E07AFF">
          <w:rPr>
            <w:rStyle w:val="Hyperlink"/>
            <w:noProof/>
            <w:lang w:val="en-GB"/>
          </w:rPr>
          <w:t>and</w:t>
        </w:r>
        <w:r w:rsidR="000E46C0" w:rsidRPr="00E07AFF">
          <w:rPr>
            <w:rStyle w:val="Hyperlink"/>
            <w:i/>
            <w:noProof/>
            <w:lang w:val="en-GB"/>
          </w:rPr>
          <w:t xml:space="preserve"> Expected Range</w:t>
        </w:r>
        <w:r w:rsidR="000E46C0" w:rsidRPr="00E07AFF">
          <w:rPr>
            <w:rStyle w:val="Hyperlink"/>
            <w:noProof/>
            <w:lang w:val="en-GB"/>
          </w:rPr>
          <w:t>)</w:t>
        </w:r>
        <w:r w:rsidR="000E46C0">
          <w:rPr>
            <w:noProof/>
            <w:webHidden/>
          </w:rPr>
          <w:tab/>
        </w:r>
        <w:r w:rsidR="000E46C0">
          <w:rPr>
            <w:noProof/>
            <w:webHidden/>
          </w:rPr>
          <w:fldChar w:fldCharType="begin"/>
        </w:r>
        <w:r w:rsidR="000E46C0">
          <w:rPr>
            <w:noProof/>
            <w:webHidden/>
          </w:rPr>
          <w:instrText xml:space="preserve"> PAGEREF _Toc3225940 \h </w:instrText>
        </w:r>
        <w:r w:rsidR="000E46C0">
          <w:rPr>
            <w:noProof/>
            <w:webHidden/>
          </w:rPr>
        </w:r>
        <w:r w:rsidR="000E46C0">
          <w:rPr>
            <w:noProof/>
            <w:webHidden/>
          </w:rPr>
          <w:fldChar w:fldCharType="separate"/>
        </w:r>
        <w:r w:rsidR="000E46C0">
          <w:rPr>
            <w:noProof/>
            <w:webHidden/>
          </w:rPr>
          <w:t>95</w:t>
        </w:r>
        <w:r w:rsidR="000E46C0">
          <w:rPr>
            <w:noProof/>
            <w:webHidden/>
          </w:rPr>
          <w:fldChar w:fldCharType="end"/>
        </w:r>
      </w:hyperlink>
    </w:p>
    <w:p w14:paraId="6761AA60" w14:textId="0F5BF54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1" w:history="1">
        <w:r w:rsidR="000E46C0" w:rsidRPr="00E07AFF">
          <w:rPr>
            <w:rStyle w:val="Hyperlink"/>
            <w:noProof/>
            <w:lang w:val="en-GB"/>
          </w:rPr>
          <w:t>Table 27: Results of enrichment analysis for overlap between curated PD-associated genes and common DEG list</w:t>
        </w:r>
        <w:r w:rsidR="000E46C0">
          <w:rPr>
            <w:noProof/>
            <w:webHidden/>
          </w:rPr>
          <w:tab/>
        </w:r>
        <w:r w:rsidR="000E46C0">
          <w:rPr>
            <w:noProof/>
            <w:webHidden/>
          </w:rPr>
          <w:fldChar w:fldCharType="begin"/>
        </w:r>
        <w:r w:rsidR="000E46C0">
          <w:rPr>
            <w:noProof/>
            <w:webHidden/>
          </w:rPr>
          <w:instrText xml:space="preserve"> PAGEREF _Toc3225941 \h </w:instrText>
        </w:r>
        <w:r w:rsidR="000E46C0">
          <w:rPr>
            <w:noProof/>
            <w:webHidden/>
          </w:rPr>
        </w:r>
        <w:r w:rsidR="000E46C0">
          <w:rPr>
            <w:noProof/>
            <w:webHidden/>
          </w:rPr>
          <w:fldChar w:fldCharType="separate"/>
        </w:r>
        <w:r w:rsidR="000E46C0">
          <w:rPr>
            <w:noProof/>
            <w:webHidden/>
          </w:rPr>
          <w:t>96</w:t>
        </w:r>
        <w:r w:rsidR="000E46C0">
          <w:rPr>
            <w:noProof/>
            <w:webHidden/>
          </w:rPr>
          <w:fldChar w:fldCharType="end"/>
        </w:r>
      </w:hyperlink>
    </w:p>
    <w:p w14:paraId="28D22288" w14:textId="57A0C9B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2" w:history="1">
        <w:r w:rsidR="000E46C0" w:rsidRPr="00E07AFF">
          <w:rPr>
            <w:rStyle w:val="Hyperlink"/>
            <w:noProof/>
            <w:lang w:val="en-GB"/>
          </w:rPr>
          <w:t>Table 28: Top 10 enriched pathways in each of the pathway databases for PD upregulated DEGs</w:t>
        </w:r>
        <w:r w:rsidR="000E46C0">
          <w:rPr>
            <w:noProof/>
            <w:webHidden/>
          </w:rPr>
          <w:tab/>
        </w:r>
        <w:r w:rsidR="000E46C0">
          <w:rPr>
            <w:noProof/>
            <w:webHidden/>
          </w:rPr>
          <w:fldChar w:fldCharType="begin"/>
        </w:r>
        <w:r w:rsidR="000E46C0">
          <w:rPr>
            <w:noProof/>
            <w:webHidden/>
          </w:rPr>
          <w:instrText xml:space="preserve"> PAGEREF _Toc3225942 \h </w:instrText>
        </w:r>
        <w:r w:rsidR="000E46C0">
          <w:rPr>
            <w:noProof/>
            <w:webHidden/>
          </w:rPr>
        </w:r>
        <w:r w:rsidR="000E46C0">
          <w:rPr>
            <w:noProof/>
            <w:webHidden/>
          </w:rPr>
          <w:fldChar w:fldCharType="separate"/>
        </w:r>
        <w:r w:rsidR="000E46C0">
          <w:rPr>
            <w:noProof/>
            <w:webHidden/>
          </w:rPr>
          <w:t>97</w:t>
        </w:r>
        <w:r w:rsidR="000E46C0">
          <w:rPr>
            <w:noProof/>
            <w:webHidden/>
          </w:rPr>
          <w:fldChar w:fldCharType="end"/>
        </w:r>
      </w:hyperlink>
    </w:p>
    <w:p w14:paraId="20838656" w14:textId="29B29DDC"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3" w:history="1">
        <w:r w:rsidR="000E46C0" w:rsidRPr="00E07AFF">
          <w:rPr>
            <w:rStyle w:val="Hyperlink"/>
            <w:noProof/>
            <w:lang w:val="en-GB"/>
          </w:rPr>
          <w:t>Table 29: Top 10 enriched pathways in each of the pathway databases for PD downregulated DEGs..</w:t>
        </w:r>
        <w:r w:rsidR="000E46C0">
          <w:rPr>
            <w:noProof/>
            <w:webHidden/>
          </w:rPr>
          <w:tab/>
        </w:r>
        <w:r w:rsidR="000E46C0">
          <w:rPr>
            <w:noProof/>
            <w:webHidden/>
          </w:rPr>
          <w:fldChar w:fldCharType="begin"/>
        </w:r>
        <w:r w:rsidR="000E46C0">
          <w:rPr>
            <w:noProof/>
            <w:webHidden/>
          </w:rPr>
          <w:instrText xml:space="preserve"> PAGEREF _Toc3225943 \h </w:instrText>
        </w:r>
        <w:r w:rsidR="000E46C0">
          <w:rPr>
            <w:noProof/>
            <w:webHidden/>
          </w:rPr>
        </w:r>
        <w:r w:rsidR="000E46C0">
          <w:rPr>
            <w:noProof/>
            <w:webHidden/>
          </w:rPr>
          <w:fldChar w:fldCharType="separate"/>
        </w:r>
        <w:r w:rsidR="000E46C0">
          <w:rPr>
            <w:noProof/>
            <w:webHidden/>
          </w:rPr>
          <w:t>97</w:t>
        </w:r>
        <w:r w:rsidR="000E46C0">
          <w:rPr>
            <w:noProof/>
            <w:webHidden/>
          </w:rPr>
          <w:fldChar w:fldCharType="end"/>
        </w:r>
      </w:hyperlink>
    </w:p>
    <w:p w14:paraId="70C55D4B" w14:textId="716A561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4" w:history="1">
        <w:r w:rsidR="000E46C0" w:rsidRPr="00E07AFF">
          <w:rPr>
            <w:rStyle w:val="Hyperlink"/>
            <w:noProof/>
            <w:lang w:val="en-GB"/>
          </w:rPr>
          <w:t>Table 30: Enrichment of PD-associated gene lists in PD PPI network</w:t>
        </w:r>
        <w:r w:rsidR="000E46C0">
          <w:rPr>
            <w:noProof/>
            <w:webHidden/>
          </w:rPr>
          <w:tab/>
        </w:r>
        <w:r w:rsidR="000E46C0">
          <w:rPr>
            <w:noProof/>
            <w:webHidden/>
          </w:rPr>
          <w:fldChar w:fldCharType="begin"/>
        </w:r>
        <w:r w:rsidR="000E46C0">
          <w:rPr>
            <w:noProof/>
            <w:webHidden/>
          </w:rPr>
          <w:instrText xml:space="preserve"> PAGEREF _Toc3225944 \h </w:instrText>
        </w:r>
        <w:r w:rsidR="000E46C0">
          <w:rPr>
            <w:noProof/>
            <w:webHidden/>
          </w:rPr>
        </w:r>
        <w:r w:rsidR="000E46C0">
          <w:rPr>
            <w:noProof/>
            <w:webHidden/>
          </w:rPr>
          <w:fldChar w:fldCharType="separate"/>
        </w:r>
        <w:r w:rsidR="000E46C0">
          <w:rPr>
            <w:noProof/>
            <w:webHidden/>
          </w:rPr>
          <w:t>98</w:t>
        </w:r>
        <w:r w:rsidR="000E46C0">
          <w:rPr>
            <w:noProof/>
            <w:webHidden/>
          </w:rPr>
          <w:fldChar w:fldCharType="end"/>
        </w:r>
      </w:hyperlink>
    </w:p>
    <w:p w14:paraId="5E98EE18" w14:textId="5887B212"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5" w:history="1">
        <w:r w:rsidR="000E46C0" w:rsidRPr="00E07AFF">
          <w:rPr>
            <w:rStyle w:val="Hyperlink"/>
            <w:noProof/>
            <w:lang w:val="en-GB"/>
          </w:rPr>
          <w:t>Table 31: Top 10 enriched pathways in KEGG, Wikipathways and Reactome for PD protein interaction network</w:t>
        </w:r>
        <w:r w:rsidR="000E46C0">
          <w:rPr>
            <w:noProof/>
            <w:webHidden/>
          </w:rPr>
          <w:tab/>
        </w:r>
        <w:r w:rsidR="000E46C0">
          <w:rPr>
            <w:noProof/>
            <w:webHidden/>
          </w:rPr>
          <w:fldChar w:fldCharType="begin"/>
        </w:r>
        <w:r w:rsidR="000E46C0">
          <w:rPr>
            <w:noProof/>
            <w:webHidden/>
          </w:rPr>
          <w:instrText xml:space="preserve"> PAGEREF _Toc3225945 \h </w:instrText>
        </w:r>
        <w:r w:rsidR="000E46C0">
          <w:rPr>
            <w:noProof/>
            <w:webHidden/>
          </w:rPr>
        </w:r>
        <w:r w:rsidR="000E46C0">
          <w:rPr>
            <w:noProof/>
            <w:webHidden/>
          </w:rPr>
          <w:fldChar w:fldCharType="separate"/>
        </w:r>
        <w:r w:rsidR="000E46C0">
          <w:rPr>
            <w:noProof/>
            <w:webHidden/>
          </w:rPr>
          <w:t>99</w:t>
        </w:r>
        <w:r w:rsidR="000E46C0">
          <w:rPr>
            <w:noProof/>
            <w:webHidden/>
          </w:rPr>
          <w:fldChar w:fldCharType="end"/>
        </w:r>
      </w:hyperlink>
    </w:p>
    <w:p w14:paraId="2BF305A2" w14:textId="1E876CAF"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6" w:history="1">
        <w:r w:rsidR="000E46C0" w:rsidRPr="00E07AFF">
          <w:rPr>
            <w:rStyle w:val="Hyperlink"/>
            <w:noProof/>
            <w:lang w:val="en-GB"/>
          </w:rPr>
          <w:t>Table 32: Top 10 enriched GO terms in each category for the PD protein interaction network. P-Values are adjusted.</w:t>
        </w:r>
        <w:r w:rsidR="000E46C0">
          <w:rPr>
            <w:noProof/>
            <w:webHidden/>
          </w:rPr>
          <w:tab/>
        </w:r>
        <w:r w:rsidR="000E46C0">
          <w:rPr>
            <w:noProof/>
            <w:webHidden/>
          </w:rPr>
          <w:fldChar w:fldCharType="begin"/>
        </w:r>
        <w:r w:rsidR="000E46C0">
          <w:rPr>
            <w:noProof/>
            <w:webHidden/>
          </w:rPr>
          <w:instrText xml:space="preserve"> PAGEREF _Toc3225946 \h </w:instrText>
        </w:r>
        <w:r w:rsidR="000E46C0">
          <w:rPr>
            <w:noProof/>
            <w:webHidden/>
          </w:rPr>
        </w:r>
        <w:r w:rsidR="000E46C0">
          <w:rPr>
            <w:noProof/>
            <w:webHidden/>
          </w:rPr>
          <w:fldChar w:fldCharType="separate"/>
        </w:r>
        <w:r w:rsidR="000E46C0">
          <w:rPr>
            <w:noProof/>
            <w:webHidden/>
          </w:rPr>
          <w:t>99</w:t>
        </w:r>
        <w:r w:rsidR="000E46C0">
          <w:rPr>
            <w:noProof/>
            <w:webHidden/>
          </w:rPr>
          <w:fldChar w:fldCharType="end"/>
        </w:r>
      </w:hyperlink>
    </w:p>
    <w:p w14:paraId="252BD572" w14:textId="0DF25FCF"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7" w:history="1">
        <w:r w:rsidR="000E46C0" w:rsidRPr="00E07AFF">
          <w:rPr>
            <w:rStyle w:val="Hyperlink"/>
            <w:noProof/>
            <w:lang w:val="en-GB"/>
          </w:rPr>
          <w:t>Table 33: Numbers of nodes and edges overlapping between the filter datasets and the PD common coexpression module</w:t>
        </w:r>
        <w:r w:rsidR="000E46C0">
          <w:rPr>
            <w:noProof/>
            <w:webHidden/>
          </w:rPr>
          <w:tab/>
        </w:r>
        <w:r w:rsidR="000E46C0">
          <w:rPr>
            <w:noProof/>
            <w:webHidden/>
          </w:rPr>
          <w:fldChar w:fldCharType="begin"/>
        </w:r>
        <w:r w:rsidR="000E46C0">
          <w:rPr>
            <w:noProof/>
            <w:webHidden/>
          </w:rPr>
          <w:instrText xml:space="preserve"> PAGEREF _Toc3225947 \h </w:instrText>
        </w:r>
        <w:r w:rsidR="000E46C0">
          <w:rPr>
            <w:noProof/>
            <w:webHidden/>
          </w:rPr>
        </w:r>
        <w:r w:rsidR="000E46C0">
          <w:rPr>
            <w:noProof/>
            <w:webHidden/>
          </w:rPr>
          <w:fldChar w:fldCharType="separate"/>
        </w:r>
        <w:r w:rsidR="000E46C0">
          <w:rPr>
            <w:noProof/>
            <w:webHidden/>
          </w:rPr>
          <w:t>102</w:t>
        </w:r>
        <w:r w:rsidR="000E46C0">
          <w:rPr>
            <w:noProof/>
            <w:webHidden/>
          </w:rPr>
          <w:fldChar w:fldCharType="end"/>
        </w:r>
      </w:hyperlink>
    </w:p>
    <w:p w14:paraId="1DA835BB" w14:textId="73FB18D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8" w:history="1">
        <w:r w:rsidR="000E46C0" w:rsidRPr="00E07AFF">
          <w:rPr>
            <w:rStyle w:val="Hyperlink"/>
            <w:noProof/>
            <w:lang w:val="en-GB"/>
          </w:rPr>
          <w:t>Table 34: Members of the PD common coexpression module</w:t>
        </w:r>
        <w:r w:rsidR="000E46C0">
          <w:rPr>
            <w:noProof/>
            <w:webHidden/>
          </w:rPr>
          <w:tab/>
        </w:r>
        <w:r w:rsidR="000E46C0">
          <w:rPr>
            <w:noProof/>
            <w:webHidden/>
          </w:rPr>
          <w:fldChar w:fldCharType="begin"/>
        </w:r>
        <w:r w:rsidR="000E46C0">
          <w:rPr>
            <w:noProof/>
            <w:webHidden/>
          </w:rPr>
          <w:instrText xml:space="preserve"> PAGEREF _Toc3225948 \h </w:instrText>
        </w:r>
        <w:r w:rsidR="000E46C0">
          <w:rPr>
            <w:noProof/>
            <w:webHidden/>
          </w:rPr>
        </w:r>
        <w:r w:rsidR="000E46C0">
          <w:rPr>
            <w:noProof/>
            <w:webHidden/>
          </w:rPr>
          <w:fldChar w:fldCharType="separate"/>
        </w:r>
        <w:r w:rsidR="000E46C0">
          <w:rPr>
            <w:noProof/>
            <w:webHidden/>
          </w:rPr>
          <w:t>102</w:t>
        </w:r>
        <w:r w:rsidR="000E46C0">
          <w:rPr>
            <w:noProof/>
            <w:webHidden/>
          </w:rPr>
          <w:fldChar w:fldCharType="end"/>
        </w:r>
      </w:hyperlink>
    </w:p>
    <w:p w14:paraId="59220D11" w14:textId="230B3835"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49" w:history="1">
        <w:r w:rsidR="000E46C0" w:rsidRPr="00E07AFF">
          <w:rPr>
            <w:rStyle w:val="Hyperlink"/>
            <w:noProof/>
            <w:lang w:val="en-GB"/>
          </w:rPr>
          <w:t>Table 35: Enrichment of PD-associated genes in the common coexpression module</w:t>
        </w:r>
        <w:r w:rsidR="000E46C0">
          <w:rPr>
            <w:noProof/>
            <w:webHidden/>
          </w:rPr>
          <w:tab/>
        </w:r>
        <w:r w:rsidR="000E46C0">
          <w:rPr>
            <w:noProof/>
            <w:webHidden/>
          </w:rPr>
          <w:fldChar w:fldCharType="begin"/>
        </w:r>
        <w:r w:rsidR="000E46C0">
          <w:rPr>
            <w:noProof/>
            <w:webHidden/>
          </w:rPr>
          <w:instrText xml:space="preserve"> PAGEREF _Toc3225949 \h </w:instrText>
        </w:r>
        <w:r w:rsidR="000E46C0">
          <w:rPr>
            <w:noProof/>
            <w:webHidden/>
          </w:rPr>
        </w:r>
        <w:r w:rsidR="000E46C0">
          <w:rPr>
            <w:noProof/>
            <w:webHidden/>
          </w:rPr>
          <w:fldChar w:fldCharType="separate"/>
        </w:r>
        <w:r w:rsidR="000E46C0">
          <w:rPr>
            <w:noProof/>
            <w:webHidden/>
          </w:rPr>
          <w:t>104</w:t>
        </w:r>
        <w:r w:rsidR="000E46C0">
          <w:rPr>
            <w:noProof/>
            <w:webHidden/>
          </w:rPr>
          <w:fldChar w:fldCharType="end"/>
        </w:r>
      </w:hyperlink>
    </w:p>
    <w:p w14:paraId="0A5C1F9E" w14:textId="231765CE"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0" w:history="1">
        <w:r w:rsidR="000E46C0" w:rsidRPr="00E07AFF">
          <w:rPr>
            <w:rStyle w:val="Hyperlink"/>
            <w:noProof/>
            <w:lang w:val="en-GB"/>
          </w:rPr>
          <w:t>Table 36: Top 10 enriched pathways in KEGG, Wikipathways, and Reactome databases for the PD common coexpression module.</w:t>
        </w:r>
        <w:r w:rsidR="000E46C0">
          <w:rPr>
            <w:noProof/>
            <w:webHidden/>
          </w:rPr>
          <w:tab/>
        </w:r>
        <w:r w:rsidR="000E46C0">
          <w:rPr>
            <w:noProof/>
            <w:webHidden/>
          </w:rPr>
          <w:fldChar w:fldCharType="begin"/>
        </w:r>
        <w:r w:rsidR="000E46C0">
          <w:rPr>
            <w:noProof/>
            <w:webHidden/>
          </w:rPr>
          <w:instrText xml:space="preserve"> PAGEREF _Toc3225950 \h </w:instrText>
        </w:r>
        <w:r w:rsidR="000E46C0">
          <w:rPr>
            <w:noProof/>
            <w:webHidden/>
          </w:rPr>
        </w:r>
        <w:r w:rsidR="000E46C0">
          <w:rPr>
            <w:noProof/>
            <w:webHidden/>
          </w:rPr>
          <w:fldChar w:fldCharType="separate"/>
        </w:r>
        <w:r w:rsidR="000E46C0">
          <w:rPr>
            <w:noProof/>
            <w:webHidden/>
          </w:rPr>
          <w:t>104</w:t>
        </w:r>
        <w:r w:rsidR="000E46C0">
          <w:rPr>
            <w:noProof/>
            <w:webHidden/>
          </w:rPr>
          <w:fldChar w:fldCharType="end"/>
        </w:r>
      </w:hyperlink>
    </w:p>
    <w:p w14:paraId="0B35AD18" w14:textId="2B219F9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1" w:history="1">
        <w:r w:rsidR="000E46C0" w:rsidRPr="00E07AFF">
          <w:rPr>
            <w:rStyle w:val="Hyperlink"/>
            <w:noProof/>
            <w:lang w:val="en-GB"/>
          </w:rPr>
          <w:t>Table 37: Top 10 enriched GO terms in each category for the PD common coexpression module.</w:t>
        </w:r>
        <w:r w:rsidR="000E46C0">
          <w:rPr>
            <w:noProof/>
            <w:webHidden/>
          </w:rPr>
          <w:tab/>
        </w:r>
        <w:r w:rsidR="000E46C0">
          <w:rPr>
            <w:noProof/>
            <w:webHidden/>
          </w:rPr>
          <w:fldChar w:fldCharType="begin"/>
        </w:r>
        <w:r w:rsidR="000E46C0">
          <w:rPr>
            <w:noProof/>
            <w:webHidden/>
          </w:rPr>
          <w:instrText xml:space="preserve"> PAGEREF _Toc3225951 \h </w:instrText>
        </w:r>
        <w:r w:rsidR="000E46C0">
          <w:rPr>
            <w:noProof/>
            <w:webHidden/>
          </w:rPr>
        </w:r>
        <w:r w:rsidR="000E46C0">
          <w:rPr>
            <w:noProof/>
            <w:webHidden/>
          </w:rPr>
          <w:fldChar w:fldCharType="separate"/>
        </w:r>
        <w:r w:rsidR="000E46C0">
          <w:rPr>
            <w:noProof/>
            <w:webHidden/>
          </w:rPr>
          <w:t>105</w:t>
        </w:r>
        <w:r w:rsidR="000E46C0">
          <w:rPr>
            <w:noProof/>
            <w:webHidden/>
          </w:rPr>
          <w:fldChar w:fldCharType="end"/>
        </w:r>
      </w:hyperlink>
    </w:p>
    <w:p w14:paraId="253E2A24" w14:textId="46A3744F"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2" w:history="1">
        <w:r w:rsidR="000E46C0" w:rsidRPr="00E07AFF">
          <w:rPr>
            <w:rStyle w:val="Hyperlink"/>
            <w:noProof/>
            <w:lang w:val="en-GB"/>
          </w:rPr>
          <w:t>Table 38: Thirteen genes contained predicted LoF mutations in PD patients..</w:t>
        </w:r>
        <w:r w:rsidR="000E46C0">
          <w:rPr>
            <w:noProof/>
            <w:webHidden/>
          </w:rPr>
          <w:tab/>
        </w:r>
        <w:r w:rsidR="000E46C0">
          <w:rPr>
            <w:noProof/>
            <w:webHidden/>
          </w:rPr>
          <w:fldChar w:fldCharType="begin"/>
        </w:r>
        <w:r w:rsidR="000E46C0">
          <w:rPr>
            <w:noProof/>
            <w:webHidden/>
          </w:rPr>
          <w:instrText xml:space="preserve"> PAGEREF _Toc3225952 \h </w:instrText>
        </w:r>
        <w:r w:rsidR="000E46C0">
          <w:rPr>
            <w:noProof/>
            <w:webHidden/>
          </w:rPr>
        </w:r>
        <w:r w:rsidR="000E46C0">
          <w:rPr>
            <w:noProof/>
            <w:webHidden/>
          </w:rPr>
          <w:fldChar w:fldCharType="separate"/>
        </w:r>
        <w:r w:rsidR="000E46C0">
          <w:rPr>
            <w:noProof/>
            <w:webHidden/>
          </w:rPr>
          <w:t>108</w:t>
        </w:r>
        <w:r w:rsidR="000E46C0">
          <w:rPr>
            <w:noProof/>
            <w:webHidden/>
          </w:rPr>
          <w:fldChar w:fldCharType="end"/>
        </w:r>
      </w:hyperlink>
    </w:p>
    <w:p w14:paraId="5CE3784D" w14:textId="3C1FEC0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3" w:history="1">
        <w:r w:rsidR="000E46C0" w:rsidRPr="00E07AFF">
          <w:rPr>
            <w:rStyle w:val="Hyperlink"/>
            <w:noProof/>
            <w:lang w:val="en-GB"/>
          </w:rPr>
          <w:t>Table 39: Top 9 scoring PD network module genes</w:t>
        </w:r>
        <w:r w:rsidR="000E46C0">
          <w:rPr>
            <w:noProof/>
            <w:webHidden/>
          </w:rPr>
          <w:tab/>
        </w:r>
        <w:r w:rsidR="000E46C0">
          <w:rPr>
            <w:noProof/>
            <w:webHidden/>
          </w:rPr>
          <w:fldChar w:fldCharType="begin"/>
        </w:r>
        <w:r w:rsidR="000E46C0">
          <w:rPr>
            <w:noProof/>
            <w:webHidden/>
          </w:rPr>
          <w:instrText xml:space="preserve"> PAGEREF _Toc3225953 \h </w:instrText>
        </w:r>
        <w:r w:rsidR="000E46C0">
          <w:rPr>
            <w:noProof/>
            <w:webHidden/>
          </w:rPr>
        </w:r>
        <w:r w:rsidR="000E46C0">
          <w:rPr>
            <w:noProof/>
            <w:webHidden/>
          </w:rPr>
          <w:fldChar w:fldCharType="separate"/>
        </w:r>
        <w:r w:rsidR="000E46C0">
          <w:rPr>
            <w:noProof/>
            <w:webHidden/>
          </w:rPr>
          <w:t>109</w:t>
        </w:r>
        <w:r w:rsidR="000E46C0">
          <w:rPr>
            <w:noProof/>
            <w:webHidden/>
          </w:rPr>
          <w:fldChar w:fldCharType="end"/>
        </w:r>
      </w:hyperlink>
    </w:p>
    <w:p w14:paraId="1D8AF7EB" w14:textId="67F0E502"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4" w:history="1">
        <w:r w:rsidR="000E46C0" w:rsidRPr="00E07AFF">
          <w:rPr>
            <w:rStyle w:val="Hyperlink"/>
            <w:noProof/>
            <w:lang w:val="en-GB"/>
          </w:rPr>
          <w:t>Table 40: Autoimmune arthritis datasets.</w:t>
        </w:r>
        <w:r w:rsidR="000E46C0">
          <w:rPr>
            <w:noProof/>
            <w:webHidden/>
          </w:rPr>
          <w:tab/>
        </w:r>
        <w:r w:rsidR="000E46C0">
          <w:rPr>
            <w:noProof/>
            <w:webHidden/>
          </w:rPr>
          <w:fldChar w:fldCharType="begin"/>
        </w:r>
        <w:r w:rsidR="000E46C0">
          <w:rPr>
            <w:noProof/>
            <w:webHidden/>
          </w:rPr>
          <w:instrText xml:space="preserve"> PAGEREF _Toc3225954 \h </w:instrText>
        </w:r>
        <w:r w:rsidR="000E46C0">
          <w:rPr>
            <w:noProof/>
            <w:webHidden/>
          </w:rPr>
        </w:r>
        <w:r w:rsidR="000E46C0">
          <w:rPr>
            <w:noProof/>
            <w:webHidden/>
          </w:rPr>
          <w:fldChar w:fldCharType="separate"/>
        </w:r>
        <w:r w:rsidR="000E46C0">
          <w:rPr>
            <w:noProof/>
            <w:webHidden/>
          </w:rPr>
          <w:t>120</w:t>
        </w:r>
        <w:r w:rsidR="000E46C0">
          <w:rPr>
            <w:noProof/>
            <w:webHidden/>
          </w:rPr>
          <w:fldChar w:fldCharType="end"/>
        </w:r>
      </w:hyperlink>
    </w:p>
    <w:p w14:paraId="7755B2F5" w14:textId="53A4FBEC"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5" w:history="1">
        <w:r w:rsidR="000E46C0" w:rsidRPr="00E07AFF">
          <w:rPr>
            <w:rStyle w:val="Hyperlink"/>
            <w:noProof/>
            <w:lang w:val="en-GB"/>
          </w:rPr>
          <w:t>Table 41: Osteoarthritis datasets representing a population-generic signature.</w:t>
        </w:r>
        <w:r w:rsidR="000E46C0">
          <w:rPr>
            <w:noProof/>
            <w:webHidden/>
          </w:rPr>
          <w:tab/>
        </w:r>
        <w:r w:rsidR="000E46C0">
          <w:rPr>
            <w:noProof/>
            <w:webHidden/>
          </w:rPr>
          <w:fldChar w:fldCharType="begin"/>
        </w:r>
        <w:r w:rsidR="000E46C0">
          <w:rPr>
            <w:noProof/>
            <w:webHidden/>
          </w:rPr>
          <w:instrText xml:space="preserve"> PAGEREF _Toc3225955 \h </w:instrText>
        </w:r>
        <w:r w:rsidR="000E46C0">
          <w:rPr>
            <w:noProof/>
            <w:webHidden/>
          </w:rPr>
        </w:r>
        <w:r w:rsidR="000E46C0">
          <w:rPr>
            <w:noProof/>
            <w:webHidden/>
          </w:rPr>
          <w:fldChar w:fldCharType="separate"/>
        </w:r>
        <w:r w:rsidR="000E46C0">
          <w:rPr>
            <w:noProof/>
            <w:webHidden/>
          </w:rPr>
          <w:t>120</w:t>
        </w:r>
        <w:r w:rsidR="000E46C0">
          <w:rPr>
            <w:noProof/>
            <w:webHidden/>
          </w:rPr>
          <w:fldChar w:fldCharType="end"/>
        </w:r>
      </w:hyperlink>
    </w:p>
    <w:p w14:paraId="2DBF50E0" w14:textId="61D5958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6" w:history="1">
        <w:r w:rsidR="000E46C0" w:rsidRPr="00E07AFF">
          <w:rPr>
            <w:rStyle w:val="Hyperlink"/>
            <w:noProof/>
            <w:lang w:val="en-GB"/>
          </w:rPr>
          <w:t>Table 42: Tendinopathy dataset representing a population-generic signature.</w:t>
        </w:r>
        <w:r w:rsidR="000E46C0">
          <w:rPr>
            <w:noProof/>
            <w:webHidden/>
          </w:rPr>
          <w:tab/>
        </w:r>
        <w:r w:rsidR="000E46C0">
          <w:rPr>
            <w:noProof/>
            <w:webHidden/>
          </w:rPr>
          <w:fldChar w:fldCharType="begin"/>
        </w:r>
        <w:r w:rsidR="000E46C0">
          <w:rPr>
            <w:noProof/>
            <w:webHidden/>
          </w:rPr>
          <w:instrText xml:space="preserve"> PAGEREF _Toc3225956 \h </w:instrText>
        </w:r>
        <w:r w:rsidR="000E46C0">
          <w:rPr>
            <w:noProof/>
            <w:webHidden/>
          </w:rPr>
        </w:r>
        <w:r w:rsidR="000E46C0">
          <w:rPr>
            <w:noProof/>
            <w:webHidden/>
          </w:rPr>
          <w:fldChar w:fldCharType="separate"/>
        </w:r>
        <w:r w:rsidR="000E46C0">
          <w:rPr>
            <w:noProof/>
            <w:webHidden/>
          </w:rPr>
          <w:t>121</w:t>
        </w:r>
        <w:r w:rsidR="000E46C0">
          <w:rPr>
            <w:noProof/>
            <w:webHidden/>
          </w:rPr>
          <w:fldChar w:fldCharType="end"/>
        </w:r>
      </w:hyperlink>
    </w:p>
    <w:p w14:paraId="1F8E5C32" w14:textId="64F021C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7" w:history="1">
        <w:r w:rsidR="000E46C0" w:rsidRPr="00E07AFF">
          <w:rPr>
            <w:rStyle w:val="Hyperlink"/>
            <w:noProof/>
            <w:lang w:val="en-GB"/>
          </w:rPr>
          <w:t>Table 43: Rheumatoid and Psoriatic arthritis datasets representing a tissue non-specific signature</w:t>
        </w:r>
        <w:r w:rsidR="000E46C0">
          <w:rPr>
            <w:noProof/>
            <w:webHidden/>
          </w:rPr>
          <w:tab/>
        </w:r>
        <w:r w:rsidR="000E46C0">
          <w:rPr>
            <w:noProof/>
            <w:webHidden/>
          </w:rPr>
          <w:fldChar w:fldCharType="begin"/>
        </w:r>
        <w:r w:rsidR="000E46C0">
          <w:rPr>
            <w:noProof/>
            <w:webHidden/>
          </w:rPr>
          <w:instrText xml:space="preserve"> PAGEREF _Toc3225957 \h </w:instrText>
        </w:r>
        <w:r w:rsidR="000E46C0">
          <w:rPr>
            <w:noProof/>
            <w:webHidden/>
          </w:rPr>
        </w:r>
        <w:r w:rsidR="000E46C0">
          <w:rPr>
            <w:noProof/>
            <w:webHidden/>
          </w:rPr>
          <w:fldChar w:fldCharType="separate"/>
        </w:r>
        <w:r w:rsidR="000E46C0">
          <w:rPr>
            <w:noProof/>
            <w:webHidden/>
          </w:rPr>
          <w:t>121</w:t>
        </w:r>
        <w:r w:rsidR="000E46C0">
          <w:rPr>
            <w:noProof/>
            <w:webHidden/>
          </w:rPr>
          <w:fldChar w:fldCharType="end"/>
        </w:r>
      </w:hyperlink>
    </w:p>
    <w:p w14:paraId="3373B432" w14:textId="5C2932A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8" w:history="1">
        <w:r w:rsidR="000E46C0" w:rsidRPr="00E07AFF">
          <w:rPr>
            <w:rStyle w:val="Hyperlink"/>
            <w:noProof/>
            <w:lang w:val="en-GB"/>
          </w:rPr>
          <w:t>Table 44: Total number of genes in each AA dataset and numbers of upregulated and downregulated genes used for each autoimmune arthritis dataset in random permutation testing</w:t>
        </w:r>
        <w:r w:rsidR="000E46C0">
          <w:rPr>
            <w:noProof/>
            <w:webHidden/>
          </w:rPr>
          <w:tab/>
        </w:r>
        <w:r w:rsidR="000E46C0">
          <w:rPr>
            <w:noProof/>
            <w:webHidden/>
          </w:rPr>
          <w:fldChar w:fldCharType="begin"/>
        </w:r>
        <w:r w:rsidR="000E46C0">
          <w:rPr>
            <w:noProof/>
            <w:webHidden/>
          </w:rPr>
          <w:instrText xml:space="preserve"> PAGEREF _Toc3225958 \h </w:instrText>
        </w:r>
        <w:r w:rsidR="000E46C0">
          <w:rPr>
            <w:noProof/>
            <w:webHidden/>
          </w:rPr>
        </w:r>
        <w:r w:rsidR="000E46C0">
          <w:rPr>
            <w:noProof/>
            <w:webHidden/>
          </w:rPr>
          <w:fldChar w:fldCharType="separate"/>
        </w:r>
        <w:r w:rsidR="000E46C0">
          <w:rPr>
            <w:noProof/>
            <w:webHidden/>
          </w:rPr>
          <w:t>125</w:t>
        </w:r>
        <w:r w:rsidR="000E46C0">
          <w:rPr>
            <w:noProof/>
            <w:webHidden/>
          </w:rPr>
          <w:fldChar w:fldCharType="end"/>
        </w:r>
      </w:hyperlink>
    </w:p>
    <w:p w14:paraId="78D4A752" w14:textId="723E264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59" w:history="1">
        <w:r w:rsidR="000E46C0" w:rsidRPr="00E07AFF">
          <w:rPr>
            <w:rStyle w:val="Hyperlink"/>
            <w:noProof/>
            <w:lang w:val="en-GB"/>
          </w:rPr>
          <w:t>Table 45: Results of random permutation tests indicating observed and expected numbers of common genes for autoimmune arthritis</w:t>
        </w:r>
        <w:r w:rsidR="000E46C0">
          <w:rPr>
            <w:noProof/>
            <w:webHidden/>
          </w:rPr>
          <w:tab/>
        </w:r>
        <w:r w:rsidR="000E46C0">
          <w:rPr>
            <w:noProof/>
            <w:webHidden/>
          </w:rPr>
          <w:fldChar w:fldCharType="begin"/>
        </w:r>
        <w:r w:rsidR="000E46C0">
          <w:rPr>
            <w:noProof/>
            <w:webHidden/>
          </w:rPr>
          <w:instrText xml:space="preserve"> PAGEREF _Toc3225959 \h </w:instrText>
        </w:r>
        <w:r w:rsidR="000E46C0">
          <w:rPr>
            <w:noProof/>
            <w:webHidden/>
          </w:rPr>
        </w:r>
        <w:r w:rsidR="000E46C0">
          <w:rPr>
            <w:noProof/>
            <w:webHidden/>
          </w:rPr>
          <w:fldChar w:fldCharType="separate"/>
        </w:r>
        <w:r w:rsidR="000E46C0">
          <w:rPr>
            <w:noProof/>
            <w:webHidden/>
          </w:rPr>
          <w:t>125</w:t>
        </w:r>
        <w:r w:rsidR="000E46C0">
          <w:rPr>
            <w:noProof/>
            <w:webHidden/>
          </w:rPr>
          <w:fldChar w:fldCharType="end"/>
        </w:r>
      </w:hyperlink>
    </w:p>
    <w:p w14:paraId="1123E7BB" w14:textId="508AA3C4"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0" w:history="1">
        <w:r w:rsidR="000E46C0" w:rsidRPr="00E07AFF">
          <w:rPr>
            <w:rStyle w:val="Hyperlink"/>
            <w:noProof/>
            <w:lang w:val="en-GB"/>
          </w:rPr>
          <w:t>Table 46: Enrichment of RA and PA Malacards and GWAS catalog entries in DEGs</w:t>
        </w:r>
        <w:r w:rsidR="000E46C0">
          <w:rPr>
            <w:noProof/>
            <w:webHidden/>
          </w:rPr>
          <w:tab/>
        </w:r>
        <w:r w:rsidR="000E46C0">
          <w:rPr>
            <w:noProof/>
            <w:webHidden/>
          </w:rPr>
          <w:fldChar w:fldCharType="begin"/>
        </w:r>
        <w:r w:rsidR="000E46C0">
          <w:rPr>
            <w:noProof/>
            <w:webHidden/>
          </w:rPr>
          <w:instrText xml:space="preserve"> PAGEREF _Toc3225960 \h </w:instrText>
        </w:r>
        <w:r w:rsidR="000E46C0">
          <w:rPr>
            <w:noProof/>
            <w:webHidden/>
          </w:rPr>
        </w:r>
        <w:r w:rsidR="000E46C0">
          <w:rPr>
            <w:noProof/>
            <w:webHidden/>
          </w:rPr>
          <w:fldChar w:fldCharType="separate"/>
        </w:r>
        <w:r w:rsidR="000E46C0">
          <w:rPr>
            <w:noProof/>
            <w:webHidden/>
          </w:rPr>
          <w:t>126</w:t>
        </w:r>
        <w:r w:rsidR="000E46C0">
          <w:rPr>
            <w:noProof/>
            <w:webHidden/>
          </w:rPr>
          <w:fldChar w:fldCharType="end"/>
        </w:r>
      </w:hyperlink>
    </w:p>
    <w:p w14:paraId="297DBCFD" w14:textId="60FE1B64"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1" w:history="1">
        <w:r w:rsidR="000E46C0" w:rsidRPr="00E07AFF">
          <w:rPr>
            <w:rStyle w:val="Hyperlink"/>
            <w:noProof/>
            <w:lang w:val="en-GB"/>
          </w:rPr>
          <w:t>Table 47: Pathway enrichment of common autoimmune arthritis upregulated DEGs</w:t>
        </w:r>
        <w:r w:rsidR="000E46C0">
          <w:rPr>
            <w:noProof/>
            <w:webHidden/>
          </w:rPr>
          <w:tab/>
        </w:r>
        <w:r w:rsidR="000E46C0">
          <w:rPr>
            <w:noProof/>
            <w:webHidden/>
          </w:rPr>
          <w:fldChar w:fldCharType="begin"/>
        </w:r>
        <w:r w:rsidR="000E46C0">
          <w:rPr>
            <w:noProof/>
            <w:webHidden/>
          </w:rPr>
          <w:instrText xml:space="preserve"> PAGEREF _Toc3225961 \h </w:instrText>
        </w:r>
        <w:r w:rsidR="000E46C0">
          <w:rPr>
            <w:noProof/>
            <w:webHidden/>
          </w:rPr>
        </w:r>
        <w:r w:rsidR="000E46C0">
          <w:rPr>
            <w:noProof/>
            <w:webHidden/>
          </w:rPr>
          <w:fldChar w:fldCharType="separate"/>
        </w:r>
        <w:r w:rsidR="000E46C0">
          <w:rPr>
            <w:noProof/>
            <w:webHidden/>
          </w:rPr>
          <w:t>126</w:t>
        </w:r>
        <w:r w:rsidR="000E46C0">
          <w:rPr>
            <w:noProof/>
            <w:webHidden/>
          </w:rPr>
          <w:fldChar w:fldCharType="end"/>
        </w:r>
      </w:hyperlink>
    </w:p>
    <w:p w14:paraId="57C7F765" w14:textId="77BDF059"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2" w:history="1">
        <w:r w:rsidR="000E46C0" w:rsidRPr="00E07AFF">
          <w:rPr>
            <w:rStyle w:val="Hyperlink"/>
            <w:noProof/>
            <w:lang w:val="en-GB"/>
          </w:rPr>
          <w:t>Table 48: Pathway enrichment of common autoimmune arthritis downregulated DEGs</w:t>
        </w:r>
        <w:r w:rsidR="000E46C0">
          <w:rPr>
            <w:noProof/>
            <w:webHidden/>
          </w:rPr>
          <w:tab/>
        </w:r>
        <w:r w:rsidR="000E46C0">
          <w:rPr>
            <w:noProof/>
            <w:webHidden/>
          </w:rPr>
          <w:fldChar w:fldCharType="begin"/>
        </w:r>
        <w:r w:rsidR="000E46C0">
          <w:rPr>
            <w:noProof/>
            <w:webHidden/>
          </w:rPr>
          <w:instrText xml:space="preserve"> PAGEREF _Toc3225962 \h </w:instrText>
        </w:r>
        <w:r w:rsidR="000E46C0">
          <w:rPr>
            <w:noProof/>
            <w:webHidden/>
          </w:rPr>
        </w:r>
        <w:r w:rsidR="000E46C0">
          <w:rPr>
            <w:noProof/>
            <w:webHidden/>
          </w:rPr>
          <w:fldChar w:fldCharType="separate"/>
        </w:r>
        <w:r w:rsidR="000E46C0">
          <w:rPr>
            <w:noProof/>
            <w:webHidden/>
          </w:rPr>
          <w:t>127</w:t>
        </w:r>
        <w:r w:rsidR="000E46C0">
          <w:rPr>
            <w:noProof/>
            <w:webHidden/>
          </w:rPr>
          <w:fldChar w:fldCharType="end"/>
        </w:r>
      </w:hyperlink>
    </w:p>
    <w:p w14:paraId="2D6AD474" w14:textId="63396735"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3" w:history="1">
        <w:r w:rsidR="000E46C0" w:rsidRPr="00E07AFF">
          <w:rPr>
            <w:rStyle w:val="Hyperlink"/>
            <w:noProof/>
            <w:lang w:val="en-GB"/>
          </w:rPr>
          <w:t>Table 49: Enrichment of RA and PA Malacards and GWAS catalog entries in PPI network</w:t>
        </w:r>
        <w:r w:rsidR="000E46C0">
          <w:rPr>
            <w:noProof/>
            <w:webHidden/>
          </w:rPr>
          <w:tab/>
        </w:r>
        <w:r w:rsidR="000E46C0">
          <w:rPr>
            <w:noProof/>
            <w:webHidden/>
          </w:rPr>
          <w:fldChar w:fldCharType="begin"/>
        </w:r>
        <w:r w:rsidR="000E46C0">
          <w:rPr>
            <w:noProof/>
            <w:webHidden/>
          </w:rPr>
          <w:instrText xml:space="preserve"> PAGEREF _Toc3225963 \h </w:instrText>
        </w:r>
        <w:r w:rsidR="000E46C0">
          <w:rPr>
            <w:noProof/>
            <w:webHidden/>
          </w:rPr>
        </w:r>
        <w:r w:rsidR="000E46C0">
          <w:rPr>
            <w:noProof/>
            <w:webHidden/>
          </w:rPr>
          <w:fldChar w:fldCharType="separate"/>
        </w:r>
        <w:r w:rsidR="000E46C0">
          <w:rPr>
            <w:noProof/>
            <w:webHidden/>
          </w:rPr>
          <w:t>128</w:t>
        </w:r>
        <w:r w:rsidR="000E46C0">
          <w:rPr>
            <w:noProof/>
            <w:webHidden/>
          </w:rPr>
          <w:fldChar w:fldCharType="end"/>
        </w:r>
      </w:hyperlink>
    </w:p>
    <w:p w14:paraId="76653C28" w14:textId="0A919EF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4" w:history="1">
        <w:r w:rsidR="000E46C0" w:rsidRPr="00E07AFF">
          <w:rPr>
            <w:rStyle w:val="Hyperlink"/>
            <w:noProof/>
            <w:lang w:val="en-GB"/>
          </w:rPr>
          <w:t>Table 50: Top 10 enriched pathways in KEGG, Wikipathways and Reactome for the autoimmune arthritis PPI network.</w:t>
        </w:r>
        <w:r w:rsidR="000E46C0">
          <w:rPr>
            <w:noProof/>
            <w:webHidden/>
          </w:rPr>
          <w:tab/>
        </w:r>
        <w:r w:rsidR="000E46C0">
          <w:rPr>
            <w:noProof/>
            <w:webHidden/>
          </w:rPr>
          <w:fldChar w:fldCharType="begin"/>
        </w:r>
        <w:r w:rsidR="000E46C0">
          <w:rPr>
            <w:noProof/>
            <w:webHidden/>
          </w:rPr>
          <w:instrText xml:space="preserve"> PAGEREF _Toc3225964 \h </w:instrText>
        </w:r>
        <w:r w:rsidR="000E46C0">
          <w:rPr>
            <w:noProof/>
            <w:webHidden/>
          </w:rPr>
        </w:r>
        <w:r w:rsidR="000E46C0">
          <w:rPr>
            <w:noProof/>
            <w:webHidden/>
          </w:rPr>
          <w:fldChar w:fldCharType="separate"/>
        </w:r>
        <w:r w:rsidR="000E46C0">
          <w:rPr>
            <w:noProof/>
            <w:webHidden/>
          </w:rPr>
          <w:t>129</w:t>
        </w:r>
        <w:r w:rsidR="000E46C0">
          <w:rPr>
            <w:noProof/>
            <w:webHidden/>
          </w:rPr>
          <w:fldChar w:fldCharType="end"/>
        </w:r>
      </w:hyperlink>
    </w:p>
    <w:p w14:paraId="24C1B874" w14:textId="0616C06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5" w:history="1">
        <w:r w:rsidR="000E46C0" w:rsidRPr="00E07AFF">
          <w:rPr>
            <w:rStyle w:val="Hyperlink"/>
            <w:noProof/>
            <w:lang w:val="en-GB"/>
          </w:rPr>
          <w:t>Table 51: Top 10 enriched GO terms in each category for the autoimmune arthritis protein interaction network</w:t>
        </w:r>
        <w:r w:rsidR="000E46C0">
          <w:rPr>
            <w:noProof/>
            <w:webHidden/>
          </w:rPr>
          <w:tab/>
        </w:r>
        <w:r w:rsidR="000E46C0">
          <w:rPr>
            <w:noProof/>
            <w:webHidden/>
          </w:rPr>
          <w:fldChar w:fldCharType="begin"/>
        </w:r>
        <w:r w:rsidR="000E46C0">
          <w:rPr>
            <w:noProof/>
            <w:webHidden/>
          </w:rPr>
          <w:instrText xml:space="preserve"> PAGEREF _Toc3225965 \h </w:instrText>
        </w:r>
        <w:r w:rsidR="000E46C0">
          <w:rPr>
            <w:noProof/>
            <w:webHidden/>
          </w:rPr>
        </w:r>
        <w:r w:rsidR="000E46C0">
          <w:rPr>
            <w:noProof/>
            <w:webHidden/>
          </w:rPr>
          <w:fldChar w:fldCharType="separate"/>
        </w:r>
        <w:r w:rsidR="000E46C0">
          <w:rPr>
            <w:noProof/>
            <w:webHidden/>
          </w:rPr>
          <w:t>129</w:t>
        </w:r>
        <w:r w:rsidR="000E46C0">
          <w:rPr>
            <w:noProof/>
            <w:webHidden/>
          </w:rPr>
          <w:fldChar w:fldCharType="end"/>
        </w:r>
      </w:hyperlink>
    </w:p>
    <w:p w14:paraId="36CDFF9A" w14:textId="39483F9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4" w:anchor="_Toc3225966" w:history="1">
        <w:r w:rsidR="000E46C0" w:rsidRPr="00E07AFF">
          <w:rPr>
            <w:rStyle w:val="Hyperlink"/>
            <w:noProof/>
          </w:rPr>
          <w:t>Table 53: Members of the autoimmune arthritis common coexpression network</w:t>
        </w:r>
        <w:r w:rsidR="000E46C0">
          <w:rPr>
            <w:noProof/>
            <w:webHidden/>
          </w:rPr>
          <w:tab/>
        </w:r>
        <w:r w:rsidR="000E46C0">
          <w:rPr>
            <w:noProof/>
            <w:webHidden/>
          </w:rPr>
          <w:fldChar w:fldCharType="begin"/>
        </w:r>
        <w:r w:rsidR="000E46C0">
          <w:rPr>
            <w:noProof/>
            <w:webHidden/>
          </w:rPr>
          <w:instrText xml:space="preserve"> PAGEREF _Toc3225966 \h </w:instrText>
        </w:r>
        <w:r w:rsidR="000E46C0">
          <w:rPr>
            <w:noProof/>
            <w:webHidden/>
          </w:rPr>
        </w:r>
        <w:r w:rsidR="000E46C0">
          <w:rPr>
            <w:noProof/>
            <w:webHidden/>
          </w:rPr>
          <w:fldChar w:fldCharType="separate"/>
        </w:r>
        <w:r w:rsidR="000E46C0">
          <w:rPr>
            <w:noProof/>
            <w:webHidden/>
          </w:rPr>
          <w:t>133</w:t>
        </w:r>
        <w:r w:rsidR="000E46C0">
          <w:rPr>
            <w:noProof/>
            <w:webHidden/>
          </w:rPr>
          <w:fldChar w:fldCharType="end"/>
        </w:r>
      </w:hyperlink>
    </w:p>
    <w:p w14:paraId="17D37909" w14:textId="5933BFDC"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7" w:history="1">
        <w:r w:rsidR="000E46C0" w:rsidRPr="00E07AFF">
          <w:rPr>
            <w:rStyle w:val="Hyperlink"/>
            <w:noProof/>
            <w:lang w:val="en-GB"/>
          </w:rPr>
          <w:t>Table 53: Enrichment of rheumatoid and psoriatic arthritis Malacards genes in the autoimmune arthritis common coexpression network</w:t>
        </w:r>
        <w:r w:rsidR="000E46C0">
          <w:rPr>
            <w:noProof/>
            <w:webHidden/>
          </w:rPr>
          <w:tab/>
        </w:r>
        <w:r w:rsidR="000E46C0">
          <w:rPr>
            <w:noProof/>
            <w:webHidden/>
          </w:rPr>
          <w:fldChar w:fldCharType="begin"/>
        </w:r>
        <w:r w:rsidR="000E46C0">
          <w:rPr>
            <w:noProof/>
            <w:webHidden/>
          </w:rPr>
          <w:instrText xml:space="preserve"> PAGEREF _Toc3225967 \h </w:instrText>
        </w:r>
        <w:r w:rsidR="000E46C0">
          <w:rPr>
            <w:noProof/>
            <w:webHidden/>
          </w:rPr>
        </w:r>
        <w:r w:rsidR="000E46C0">
          <w:rPr>
            <w:noProof/>
            <w:webHidden/>
          </w:rPr>
          <w:fldChar w:fldCharType="separate"/>
        </w:r>
        <w:r w:rsidR="000E46C0">
          <w:rPr>
            <w:noProof/>
            <w:webHidden/>
          </w:rPr>
          <w:t>136</w:t>
        </w:r>
        <w:r w:rsidR="000E46C0">
          <w:rPr>
            <w:noProof/>
            <w:webHidden/>
          </w:rPr>
          <w:fldChar w:fldCharType="end"/>
        </w:r>
      </w:hyperlink>
    </w:p>
    <w:p w14:paraId="26D709B1" w14:textId="225AE891"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8" w:history="1">
        <w:r w:rsidR="000E46C0" w:rsidRPr="00E07AFF">
          <w:rPr>
            <w:rStyle w:val="Hyperlink"/>
            <w:noProof/>
            <w:lang w:val="en-GB"/>
          </w:rPr>
          <w:t>Table 54: Enrichment of GWAS hits for five autoimmune arthritis conditions</w:t>
        </w:r>
        <w:r w:rsidR="000E46C0">
          <w:rPr>
            <w:noProof/>
            <w:webHidden/>
          </w:rPr>
          <w:tab/>
        </w:r>
        <w:r w:rsidR="000E46C0">
          <w:rPr>
            <w:noProof/>
            <w:webHidden/>
          </w:rPr>
          <w:fldChar w:fldCharType="begin"/>
        </w:r>
        <w:r w:rsidR="000E46C0">
          <w:rPr>
            <w:noProof/>
            <w:webHidden/>
          </w:rPr>
          <w:instrText xml:space="preserve"> PAGEREF _Toc3225968 \h </w:instrText>
        </w:r>
        <w:r w:rsidR="000E46C0">
          <w:rPr>
            <w:noProof/>
            <w:webHidden/>
          </w:rPr>
        </w:r>
        <w:r w:rsidR="000E46C0">
          <w:rPr>
            <w:noProof/>
            <w:webHidden/>
          </w:rPr>
          <w:fldChar w:fldCharType="separate"/>
        </w:r>
        <w:r w:rsidR="000E46C0">
          <w:rPr>
            <w:noProof/>
            <w:webHidden/>
          </w:rPr>
          <w:t>136</w:t>
        </w:r>
        <w:r w:rsidR="000E46C0">
          <w:rPr>
            <w:noProof/>
            <w:webHidden/>
          </w:rPr>
          <w:fldChar w:fldCharType="end"/>
        </w:r>
      </w:hyperlink>
    </w:p>
    <w:p w14:paraId="229B805A" w14:textId="5D6B4B44"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69" w:history="1">
        <w:r w:rsidR="000E46C0" w:rsidRPr="00E07AFF">
          <w:rPr>
            <w:rStyle w:val="Hyperlink"/>
            <w:noProof/>
            <w:lang w:val="en-GB"/>
          </w:rPr>
          <w:t>Table 55: Top 10 enriched pathways in KEGG, Wikipathways, and Reactome databases for the autoimmune arthritis common coexpression module</w:t>
        </w:r>
        <w:r w:rsidR="000E46C0">
          <w:rPr>
            <w:noProof/>
            <w:webHidden/>
          </w:rPr>
          <w:tab/>
        </w:r>
        <w:r w:rsidR="000E46C0">
          <w:rPr>
            <w:noProof/>
            <w:webHidden/>
          </w:rPr>
          <w:fldChar w:fldCharType="begin"/>
        </w:r>
        <w:r w:rsidR="000E46C0">
          <w:rPr>
            <w:noProof/>
            <w:webHidden/>
          </w:rPr>
          <w:instrText xml:space="preserve"> PAGEREF _Toc3225969 \h </w:instrText>
        </w:r>
        <w:r w:rsidR="000E46C0">
          <w:rPr>
            <w:noProof/>
            <w:webHidden/>
          </w:rPr>
        </w:r>
        <w:r w:rsidR="000E46C0">
          <w:rPr>
            <w:noProof/>
            <w:webHidden/>
          </w:rPr>
          <w:fldChar w:fldCharType="separate"/>
        </w:r>
        <w:r w:rsidR="000E46C0">
          <w:rPr>
            <w:noProof/>
            <w:webHidden/>
          </w:rPr>
          <w:t>137</w:t>
        </w:r>
        <w:r w:rsidR="000E46C0">
          <w:rPr>
            <w:noProof/>
            <w:webHidden/>
          </w:rPr>
          <w:fldChar w:fldCharType="end"/>
        </w:r>
      </w:hyperlink>
    </w:p>
    <w:p w14:paraId="4297C740" w14:textId="19FE5622"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0" w:history="1">
        <w:r w:rsidR="000E46C0" w:rsidRPr="00E07AFF">
          <w:rPr>
            <w:rStyle w:val="Hyperlink"/>
            <w:noProof/>
            <w:lang w:val="en-GB"/>
          </w:rPr>
          <w:t>Table 56: Top 10 enriched GO terms in each category for the autoimmune arthritis common coexpression module</w:t>
        </w:r>
        <w:r w:rsidR="000E46C0">
          <w:rPr>
            <w:noProof/>
            <w:webHidden/>
          </w:rPr>
          <w:tab/>
        </w:r>
        <w:r w:rsidR="000E46C0">
          <w:rPr>
            <w:noProof/>
            <w:webHidden/>
          </w:rPr>
          <w:fldChar w:fldCharType="begin"/>
        </w:r>
        <w:r w:rsidR="000E46C0">
          <w:rPr>
            <w:noProof/>
            <w:webHidden/>
          </w:rPr>
          <w:instrText xml:space="preserve"> PAGEREF _Toc3225970 \h </w:instrText>
        </w:r>
        <w:r w:rsidR="000E46C0">
          <w:rPr>
            <w:noProof/>
            <w:webHidden/>
          </w:rPr>
        </w:r>
        <w:r w:rsidR="000E46C0">
          <w:rPr>
            <w:noProof/>
            <w:webHidden/>
          </w:rPr>
          <w:fldChar w:fldCharType="separate"/>
        </w:r>
        <w:r w:rsidR="000E46C0">
          <w:rPr>
            <w:noProof/>
            <w:webHidden/>
          </w:rPr>
          <w:t>138</w:t>
        </w:r>
        <w:r w:rsidR="000E46C0">
          <w:rPr>
            <w:noProof/>
            <w:webHidden/>
          </w:rPr>
          <w:fldChar w:fldCharType="end"/>
        </w:r>
      </w:hyperlink>
    </w:p>
    <w:p w14:paraId="53C3B1D3" w14:textId="688D3D2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1" w:history="1">
        <w:r w:rsidR="000E46C0" w:rsidRPr="00E07AFF">
          <w:rPr>
            <w:rStyle w:val="Hyperlink"/>
            <w:noProof/>
            <w:lang w:val="en-GB"/>
          </w:rPr>
          <w:t>Table 57: Prioritisation results for autoimmune arthritis network members scoring 19 or more</w:t>
        </w:r>
        <w:r w:rsidR="000E46C0">
          <w:rPr>
            <w:noProof/>
            <w:webHidden/>
          </w:rPr>
          <w:tab/>
        </w:r>
        <w:r w:rsidR="000E46C0">
          <w:rPr>
            <w:noProof/>
            <w:webHidden/>
          </w:rPr>
          <w:fldChar w:fldCharType="begin"/>
        </w:r>
        <w:r w:rsidR="000E46C0">
          <w:rPr>
            <w:noProof/>
            <w:webHidden/>
          </w:rPr>
          <w:instrText xml:space="preserve"> PAGEREF _Toc3225971 \h </w:instrText>
        </w:r>
        <w:r w:rsidR="000E46C0">
          <w:rPr>
            <w:noProof/>
            <w:webHidden/>
          </w:rPr>
        </w:r>
        <w:r w:rsidR="000E46C0">
          <w:rPr>
            <w:noProof/>
            <w:webHidden/>
          </w:rPr>
          <w:fldChar w:fldCharType="separate"/>
        </w:r>
        <w:r w:rsidR="000E46C0">
          <w:rPr>
            <w:noProof/>
            <w:webHidden/>
          </w:rPr>
          <w:t>140</w:t>
        </w:r>
        <w:r w:rsidR="000E46C0">
          <w:rPr>
            <w:noProof/>
            <w:webHidden/>
          </w:rPr>
          <w:fldChar w:fldCharType="end"/>
        </w:r>
      </w:hyperlink>
    </w:p>
    <w:p w14:paraId="1589C1BF" w14:textId="45548CC2"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2" w:history="1">
        <w:r w:rsidR="000E46C0" w:rsidRPr="00E07AFF">
          <w:rPr>
            <w:rStyle w:val="Hyperlink"/>
            <w:noProof/>
            <w:lang w:val="en-GB"/>
          </w:rPr>
          <w:t xml:space="preserve">Table 58: GWAS Catalog entries for SNPs associated with </w:t>
        </w:r>
        <w:r w:rsidR="000E46C0" w:rsidRPr="00E07AFF">
          <w:rPr>
            <w:rStyle w:val="Hyperlink"/>
            <w:i/>
            <w:noProof/>
            <w:lang w:val="en-GB"/>
          </w:rPr>
          <w:t>CD40</w:t>
        </w:r>
        <w:r w:rsidR="000E46C0">
          <w:rPr>
            <w:noProof/>
            <w:webHidden/>
          </w:rPr>
          <w:tab/>
        </w:r>
        <w:r w:rsidR="000E46C0">
          <w:rPr>
            <w:noProof/>
            <w:webHidden/>
          </w:rPr>
          <w:fldChar w:fldCharType="begin"/>
        </w:r>
        <w:r w:rsidR="000E46C0">
          <w:rPr>
            <w:noProof/>
            <w:webHidden/>
          </w:rPr>
          <w:instrText xml:space="preserve"> PAGEREF _Toc3225972 \h </w:instrText>
        </w:r>
        <w:r w:rsidR="000E46C0">
          <w:rPr>
            <w:noProof/>
            <w:webHidden/>
          </w:rPr>
        </w:r>
        <w:r w:rsidR="000E46C0">
          <w:rPr>
            <w:noProof/>
            <w:webHidden/>
          </w:rPr>
          <w:fldChar w:fldCharType="separate"/>
        </w:r>
        <w:r w:rsidR="000E46C0">
          <w:rPr>
            <w:noProof/>
            <w:webHidden/>
          </w:rPr>
          <w:t>142</w:t>
        </w:r>
        <w:r w:rsidR="000E46C0">
          <w:rPr>
            <w:noProof/>
            <w:webHidden/>
          </w:rPr>
          <w:fldChar w:fldCharType="end"/>
        </w:r>
      </w:hyperlink>
    </w:p>
    <w:p w14:paraId="60DA8AE9" w14:textId="36D43A0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3" w:history="1">
        <w:r w:rsidR="000E46C0" w:rsidRPr="00E07AFF">
          <w:rPr>
            <w:rStyle w:val="Hyperlink"/>
            <w:noProof/>
            <w:lang w:val="en-GB"/>
          </w:rPr>
          <w:t xml:space="preserve">Table 59: GWAS Catalog entries for SNPs associated with </w:t>
        </w:r>
        <w:r w:rsidR="000E46C0" w:rsidRPr="00E07AFF">
          <w:rPr>
            <w:rStyle w:val="Hyperlink"/>
            <w:i/>
            <w:noProof/>
            <w:lang w:val="en-GB"/>
          </w:rPr>
          <w:t>TRAF1</w:t>
        </w:r>
        <w:r w:rsidR="000E46C0">
          <w:rPr>
            <w:noProof/>
            <w:webHidden/>
          </w:rPr>
          <w:tab/>
        </w:r>
        <w:r w:rsidR="000E46C0">
          <w:rPr>
            <w:noProof/>
            <w:webHidden/>
          </w:rPr>
          <w:fldChar w:fldCharType="begin"/>
        </w:r>
        <w:r w:rsidR="000E46C0">
          <w:rPr>
            <w:noProof/>
            <w:webHidden/>
          </w:rPr>
          <w:instrText xml:space="preserve"> PAGEREF _Toc3225973 \h </w:instrText>
        </w:r>
        <w:r w:rsidR="000E46C0">
          <w:rPr>
            <w:noProof/>
            <w:webHidden/>
          </w:rPr>
        </w:r>
        <w:r w:rsidR="000E46C0">
          <w:rPr>
            <w:noProof/>
            <w:webHidden/>
          </w:rPr>
          <w:fldChar w:fldCharType="separate"/>
        </w:r>
        <w:r w:rsidR="000E46C0">
          <w:rPr>
            <w:noProof/>
            <w:webHidden/>
          </w:rPr>
          <w:t>142</w:t>
        </w:r>
        <w:r w:rsidR="000E46C0">
          <w:rPr>
            <w:noProof/>
            <w:webHidden/>
          </w:rPr>
          <w:fldChar w:fldCharType="end"/>
        </w:r>
      </w:hyperlink>
    </w:p>
    <w:p w14:paraId="3B0FF445" w14:textId="2AEB885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4" w:history="1">
        <w:r w:rsidR="000E46C0" w:rsidRPr="00E07AFF">
          <w:rPr>
            <w:rStyle w:val="Hyperlink"/>
            <w:noProof/>
            <w:lang w:val="en-GB"/>
          </w:rPr>
          <w:t xml:space="preserve">Table 60: GWAS Catalog entries for SNPs associated with </w:t>
        </w:r>
        <w:r w:rsidR="000E46C0" w:rsidRPr="00E07AFF">
          <w:rPr>
            <w:rStyle w:val="Hyperlink"/>
            <w:i/>
            <w:noProof/>
            <w:lang w:val="en-GB"/>
          </w:rPr>
          <w:t>CTLA4</w:t>
        </w:r>
        <w:r w:rsidR="000E46C0">
          <w:rPr>
            <w:noProof/>
            <w:webHidden/>
          </w:rPr>
          <w:tab/>
        </w:r>
        <w:r w:rsidR="000E46C0">
          <w:rPr>
            <w:noProof/>
            <w:webHidden/>
          </w:rPr>
          <w:fldChar w:fldCharType="begin"/>
        </w:r>
        <w:r w:rsidR="000E46C0">
          <w:rPr>
            <w:noProof/>
            <w:webHidden/>
          </w:rPr>
          <w:instrText xml:space="preserve"> PAGEREF _Toc3225974 \h </w:instrText>
        </w:r>
        <w:r w:rsidR="000E46C0">
          <w:rPr>
            <w:noProof/>
            <w:webHidden/>
          </w:rPr>
        </w:r>
        <w:r w:rsidR="000E46C0">
          <w:rPr>
            <w:noProof/>
            <w:webHidden/>
          </w:rPr>
          <w:fldChar w:fldCharType="separate"/>
        </w:r>
        <w:r w:rsidR="000E46C0">
          <w:rPr>
            <w:noProof/>
            <w:webHidden/>
          </w:rPr>
          <w:t>143</w:t>
        </w:r>
        <w:r w:rsidR="000E46C0">
          <w:rPr>
            <w:noProof/>
            <w:webHidden/>
          </w:rPr>
          <w:fldChar w:fldCharType="end"/>
        </w:r>
      </w:hyperlink>
    </w:p>
    <w:p w14:paraId="6E1ADCEC" w14:textId="1A6A3249"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5" w:history="1">
        <w:r w:rsidR="000E46C0" w:rsidRPr="00E07AFF">
          <w:rPr>
            <w:rStyle w:val="Hyperlink"/>
            <w:noProof/>
            <w:lang w:val="en-GB"/>
          </w:rPr>
          <w:t xml:space="preserve">Table 61: GWAS Catalog entries for SNPs associated with </w:t>
        </w:r>
        <w:r w:rsidR="000E46C0" w:rsidRPr="00E07AFF">
          <w:rPr>
            <w:rStyle w:val="Hyperlink"/>
            <w:i/>
            <w:noProof/>
            <w:lang w:val="en-GB"/>
          </w:rPr>
          <w:t>IRF1</w:t>
        </w:r>
        <w:r w:rsidR="000E46C0" w:rsidRPr="00E07AFF">
          <w:rPr>
            <w:rStyle w:val="Hyperlink"/>
            <w:noProof/>
            <w:lang w:val="en-GB"/>
          </w:rPr>
          <w:t xml:space="preserve"> and </w:t>
        </w:r>
        <w:r w:rsidR="000E46C0" w:rsidRPr="00E07AFF">
          <w:rPr>
            <w:rStyle w:val="Hyperlink"/>
            <w:i/>
            <w:noProof/>
            <w:lang w:val="en-GB"/>
          </w:rPr>
          <w:t>IRF4</w:t>
        </w:r>
        <w:r w:rsidR="000E46C0">
          <w:rPr>
            <w:noProof/>
            <w:webHidden/>
          </w:rPr>
          <w:tab/>
        </w:r>
        <w:r w:rsidR="000E46C0">
          <w:rPr>
            <w:noProof/>
            <w:webHidden/>
          </w:rPr>
          <w:fldChar w:fldCharType="begin"/>
        </w:r>
        <w:r w:rsidR="000E46C0">
          <w:rPr>
            <w:noProof/>
            <w:webHidden/>
          </w:rPr>
          <w:instrText xml:space="preserve"> PAGEREF _Toc3225975 \h </w:instrText>
        </w:r>
        <w:r w:rsidR="000E46C0">
          <w:rPr>
            <w:noProof/>
            <w:webHidden/>
          </w:rPr>
        </w:r>
        <w:r w:rsidR="000E46C0">
          <w:rPr>
            <w:noProof/>
            <w:webHidden/>
          </w:rPr>
          <w:fldChar w:fldCharType="separate"/>
        </w:r>
        <w:r w:rsidR="000E46C0">
          <w:rPr>
            <w:noProof/>
            <w:webHidden/>
          </w:rPr>
          <w:t>143</w:t>
        </w:r>
        <w:r w:rsidR="000E46C0">
          <w:rPr>
            <w:noProof/>
            <w:webHidden/>
          </w:rPr>
          <w:fldChar w:fldCharType="end"/>
        </w:r>
      </w:hyperlink>
    </w:p>
    <w:p w14:paraId="179A2C1E" w14:textId="15D12A8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6" w:history="1">
        <w:r w:rsidR="000E46C0" w:rsidRPr="00E07AFF">
          <w:rPr>
            <w:rStyle w:val="Hyperlink"/>
            <w:noProof/>
            <w:lang w:val="en-GB"/>
          </w:rPr>
          <w:t xml:space="preserve">Table 62: GWAS Catalog entries for SNPs associated with </w:t>
        </w:r>
        <w:r w:rsidR="000E46C0" w:rsidRPr="00E07AFF">
          <w:rPr>
            <w:rStyle w:val="Hyperlink"/>
            <w:i/>
            <w:noProof/>
            <w:lang w:val="en-GB"/>
          </w:rPr>
          <w:t>STAT4</w:t>
        </w:r>
        <w:r w:rsidR="000E46C0">
          <w:rPr>
            <w:noProof/>
            <w:webHidden/>
          </w:rPr>
          <w:tab/>
        </w:r>
        <w:r w:rsidR="000E46C0">
          <w:rPr>
            <w:noProof/>
            <w:webHidden/>
          </w:rPr>
          <w:fldChar w:fldCharType="begin"/>
        </w:r>
        <w:r w:rsidR="000E46C0">
          <w:rPr>
            <w:noProof/>
            <w:webHidden/>
          </w:rPr>
          <w:instrText xml:space="preserve"> PAGEREF _Toc3225976 \h </w:instrText>
        </w:r>
        <w:r w:rsidR="000E46C0">
          <w:rPr>
            <w:noProof/>
            <w:webHidden/>
          </w:rPr>
        </w:r>
        <w:r w:rsidR="000E46C0">
          <w:rPr>
            <w:noProof/>
            <w:webHidden/>
          </w:rPr>
          <w:fldChar w:fldCharType="separate"/>
        </w:r>
        <w:r w:rsidR="000E46C0">
          <w:rPr>
            <w:noProof/>
            <w:webHidden/>
          </w:rPr>
          <w:t>144</w:t>
        </w:r>
        <w:r w:rsidR="000E46C0">
          <w:rPr>
            <w:noProof/>
            <w:webHidden/>
          </w:rPr>
          <w:fldChar w:fldCharType="end"/>
        </w:r>
      </w:hyperlink>
    </w:p>
    <w:p w14:paraId="109B4169" w14:textId="1FB70CE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7" w:history="1">
        <w:r w:rsidR="000E46C0" w:rsidRPr="00E07AFF">
          <w:rPr>
            <w:rStyle w:val="Hyperlink"/>
            <w:noProof/>
            <w:lang w:val="en-GB"/>
          </w:rPr>
          <w:t xml:space="preserve">Table 63: GWAS Catalog entries for SNPs associated with </w:t>
        </w:r>
        <w:r w:rsidR="000E46C0" w:rsidRPr="00E07AFF">
          <w:rPr>
            <w:rStyle w:val="Hyperlink"/>
            <w:i/>
            <w:noProof/>
            <w:lang w:val="en-GB"/>
          </w:rPr>
          <w:t>PTPRC</w:t>
        </w:r>
        <w:r w:rsidR="000E46C0">
          <w:rPr>
            <w:noProof/>
            <w:webHidden/>
          </w:rPr>
          <w:tab/>
        </w:r>
        <w:r w:rsidR="000E46C0">
          <w:rPr>
            <w:noProof/>
            <w:webHidden/>
          </w:rPr>
          <w:fldChar w:fldCharType="begin"/>
        </w:r>
        <w:r w:rsidR="000E46C0">
          <w:rPr>
            <w:noProof/>
            <w:webHidden/>
          </w:rPr>
          <w:instrText xml:space="preserve"> PAGEREF _Toc3225977 \h </w:instrText>
        </w:r>
        <w:r w:rsidR="000E46C0">
          <w:rPr>
            <w:noProof/>
            <w:webHidden/>
          </w:rPr>
        </w:r>
        <w:r w:rsidR="000E46C0">
          <w:rPr>
            <w:noProof/>
            <w:webHidden/>
          </w:rPr>
          <w:fldChar w:fldCharType="separate"/>
        </w:r>
        <w:r w:rsidR="000E46C0">
          <w:rPr>
            <w:noProof/>
            <w:webHidden/>
          </w:rPr>
          <w:t>145</w:t>
        </w:r>
        <w:r w:rsidR="000E46C0">
          <w:rPr>
            <w:noProof/>
            <w:webHidden/>
          </w:rPr>
          <w:fldChar w:fldCharType="end"/>
        </w:r>
      </w:hyperlink>
    </w:p>
    <w:p w14:paraId="2F2909B3" w14:textId="5B7F5230"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8" w:history="1">
        <w:r w:rsidR="000E46C0" w:rsidRPr="00E07AFF">
          <w:rPr>
            <w:rStyle w:val="Hyperlink"/>
            <w:noProof/>
          </w:rPr>
          <w:t>Table 64: Dataset selection for 3, 6, and 12 dataset analysis.</w:t>
        </w:r>
        <w:r w:rsidR="000E46C0">
          <w:rPr>
            <w:noProof/>
            <w:webHidden/>
          </w:rPr>
          <w:tab/>
        </w:r>
        <w:r w:rsidR="000E46C0">
          <w:rPr>
            <w:noProof/>
            <w:webHidden/>
          </w:rPr>
          <w:fldChar w:fldCharType="begin"/>
        </w:r>
        <w:r w:rsidR="000E46C0">
          <w:rPr>
            <w:noProof/>
            <w:webHidden/>
          </w:rPr>
          <w:instrText xml:space="preserve"> PAGEREF _Toc3225978 \h </w:instrText>
        </w:r>
        <w:r w:rsidR="000E46C0">
          <w:rPr>
            <w:noProof/>
            <w:webHidden/>
          </w:rPr>
        </w:r>
        <w:r w:rsidR="000E46C0">
          <w:rPr>
            <w:noProof/>
            <w:webHidden/>
          </w:rPr>
          <w:fldChar w:fldCharType="separate"/>
        </w:r>
        <w:r w:rsidR="000E46C0">
          <w:rPr>
            <w:noProof/>
            <w:webHidden/>
          </w:rPr>
          <w:t>152</w:t>
        </w:r>
        <w:r w:rsidR="000E46C0">
          <w:rPr>
            <w:noProof/>
            <w:webHidden/>
          </w:rPr>
          <w:fldChar w:fldCharType="end"/>
        </w:r>
      </w:hyperlink>
    </w:p>
    <w:p w14:paraId="5465E67A" w14:textId="696CB13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79" w:history="1">
        <w:r w:rsidR="000E46C0" w:rsidRPr="00E07AFF">
          <w:rPr>
            <w:rStyle w:val="Hyperlink"/>
            <w:noProof/>
          </w:rPr>
          <w:t>Table 65: Results of application of pipeline to 3, 6, and 12 input datasets</w:t>
        </w:r>
        <w:r w:rsidR="000E46C0">
          <w:rPr>
            <w:noProof/>
            <w:webHidden/>
          </w:rPr>
          <w:tab/>
        </w:r>
        <w:r w:rsidR="000E46C0">
          <w:rPr>
            <w:noProof/>
            <w:webHidden/>
          </w:rPr>
          <w:fldChar w:fldCharType="begin"/>
        </w:r>
        <w:r w:rsidR="000E46C0">
          <w:rPr>
            <w:noProof/>
            <w:webHidden/>
          </w:rPr>
          <w:instrText xml:space="preserve"> PAGEREF _Toc3225979 \h </w:instrText>
        </w:r>
        <w:r w:rsidR="000E46C0">
          <w:rPr>
            <w:noProof/>
            <w:webHidden/>
          </w:rPr>
        </w:r>
        <w:r w:rsidR="000E46C0">
          <w:rPr>
            <w:noProof/>
            <w:webHidden/>
          </w:rPr>
          <w:fldChar w:fldCharType="separate"/>
        </w:r>
        <w:r w:rsidR="000E46C0">
          <w:rPr>
            <w:noProof/>
            <w:webHidden/>
          </w:rPr>
          <w:t>153</w:t>
        </w:r>
        <w:r w:rsidR="000E46C0">
          <w:rPr>
            <w:noProof/>
            <w:webHidden/>
          </w:rPr>
          <w:fldChar w:fldCharType="end"/>
        </w:r>
      </w:hyperlink>
    </w:p>
    <w:p w14:paraId="6447B6FA" w14:textId="7DC34418"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0" w:history="1">
        <w:r w:rsidR="000E46C0" w:rsidRPr="00E07AFF">
          <w:rPr>
            <w:rStyle w:val="Hyperlink"/>
            <w:noProof/>
            <w:lang w:val="en-GB"/>
          </w:rPr>
          <w:t>Table 66: Results indicating the percentage of each protein interaction network and common coexpression module which is shared across all three applications</w:t>
        </w:r>
        <w:r w:rsidR="000E46C0">
          <w:rPr>
            <w:noProof/>
            <w:webHidden/>
          </w:rPr>
          <w:tab/>
        </w:r>
        <w:r w:rsidR="000E46C0">
          <w:rPr>
            <w:noProof/>
            <w:webHidden/>
          </w:rPr>
          <w:fldChar w:fldCharType="begin"/>
        </w:r>
        <w:r w:rsidR="000E46C0">
          <w:rPr>
            <w:noProof/>
            <w:webHidden/>
          </w:rPr>
          <w:instrText xml:space="preserve"> PAGEREF _Toc3225980 \h </w:instrText>
        </w:r>
        <w:r w:rsidR="000E46C0">
          <w:rPr>
            <w:noProof/>
            <w:webHidden/>
          </w:rPr>
        </w:r>
        <w:r w:rsidR="000E46C0">
          <w:rPr>
            <w:noProof/>
            <w:webHidden/>
          </w:rPr>
          <w:fldChar w:fldCharType="separate"/>
        </w:r>
        <w:r w:rsidR="000E46C0">
          <w:rPr>
            <w:noProof/>
            <w:webHidden/>
          </w:rPr>
          <w:t>159</w:t>
        </w:r>
        <w:r w:rsidR="000E46C0">
          <w:rPr>
            <w:noProof/>
            <w:webHidden/>
          </w:rPr>
          <w:fldChar w:fldCharType="end"/>
        </w:r>
      </w:hyperlink>
    </w:p>
    <w:p w14:paraId="0BAE69EB" w14:textId="3111D4E1" w:rsidR="00F72F37" w:rsidRPr="0082680A" w:rsidRDefault="002455E9" w:rsidP="00F72F37">
      <w:pPr>
        <w:rPr>
          <w:lang w:val="en-GB"/>
        </w:rPr>
      </w:pPr>
      <w:r w:rsidRPr="0082680A">
        <w:rPr>
          <w:lang w:val="en-GB"/>
        </w:rPr>
        <w:fldChar w:fldCharType="end"/>
      </w:r>
    </w:p>
    <w:p w14:paraId="71217B9E" w14:textId="77777777" w:rsidR="000E46C0" w:rsidRDefault="00F72F37" w:rsidP="00F72F37">
      <w:pPr>
        <w:rPr>
          <w:noProof/>
        </w:rPr>
      </w:pPr>
      <w:r w:rsidRPr="0082680A">
        <w:rPr>
          <w:b/>
          <w:lang w:val="en-GB"/>
        </w:rPr>
        <w:t>Appendix</w:t>
      </w:r>
      <w:r w:rsidRPr="0082680A">
        <w:rPr>
          <w:rFonts w:ascii="Arial" w:hAnsi="Arial" w:cs="Arial"/>
          <w:b/>
          <w:sz w:val="44"/>
          <w:szCs w:val="44"/>
          <w:lang w:val="en-GB"/>
        </w:rPr>
        <w:fldChar w:fldCharType="begin"/>
      </w:r>
      <w:r w:rsidRPr="0082680A">
        <w:rPr>
          <w:rFonts w:ascii="Arial" w:hAnsi="Arial" w:cs="Arial"/>
          <w:b/>
          <w:sz w:val="44"/>
          <w:szCs w:val="44"/>
          <w:lang w:val="en-GB"/>
        </w:rPr>
        <w:instrText xml:space="preserve"> TOC \h \z \c "Appendix Table" </w:instrText>
      </w:r>
      <w:r w:rsidRPr="0082680A">
        <w:rPr>
          <w:rFonts w:ascii="Arial" w:hAnsi="Arial" w:cs="Arial"/>
          <w:b/>
          <w:sz w:val="44"/>
          <w:szCs w:val="44"/>
          <w:lang w:val="en-GB"/>
        </w:rPr>
        <w:fldChar w:fldCharType="separate"/>
      </w:r>
    </w:p>
    <w:p w14:paraId="2C90606C" w14:textId="061184AF"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1" w:history="1">
        <w:r w:rsidR="000E46C0" w:rsidRPr="001F4CD1">
          <w:rPr>
            <w:rStyle w:val="Hyperlink"/>
            <w:noProof/>
          </w:rPr>
          <w:t>Appendix Table 1:</w:t>
        </w:r>
        <w:r w:rsidR="000E46C0" w:rsidRPr="001F4CD1">
          <w:rPr>
            <w:rStyle w:val="Hyperlink"/>
            <w:noProof/>
            <w:lang w:val="en-GB"/>
          </w:rPr>
          <w:t xml:space="preserve"> LoF results for TDP-43 common coexpression genes</w:t>
        </w:r>
        <w:r w:rsidR="000E46C0">
          <w:rPr>
            <w:noProof/>
            <w:webHidden/>
          </w:rPr>
          <w:tab/>
        </w:r>
        <w:r w:rsidR="000E46C0">
          <w:rPr>
            <w:noProof/>
            <w:webHidden/>
          </w:rPr>
          <w:fldChar w:fldCharType="begin"/>
        </w:r>
        <w:r w:rsidR="000E46C0">
          <w:rPr>
            <w:noProof/>
            <w:webHidden/>
          </w:rPr>
          <w:instrText xml:space="preserve"> PAGEREF _Toc3225981 \h </w:instrText>
        </w:r>
        <w:r w:rsidR="000E46C0">
          <w:rPr>
            <w:noProof/>
            <w:webHidden/>
          </w:rPr>
        </w:r>
        <w:r w:rsidR="000E46C0">
          <w:rPr>
            <w:noProof/>
            <w:webHidden/>
          </w:rPr>
          <w:fldChar w:fldCharType="separate"/>
        </w:r>
        <w:r w:rsidR="000E46C0">
          <w:rPr>
            <w:noProof/>
            <w:webHidden/>
          </w:rPr>
          <w:t>176</w:t>
        </w:r>
        <w:r w:rsidR="000E46C0">
          <w:rPr>
            <w:noProof/>
            <w:webHidden/>
          </w:rPr>
          <w:fldChar w:fldCharType="end"/>
        </w:r>
      </w:hyperlink>
    </w:p>
    <w:p w14:paraId="39CFEB2C" w14:textId="1590E8B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2" w:history="1">
        <w:r w:rsidR="000E46C0" w:rsidRPr="001F4CD1">
          <w:rPr>
            <w:rStyle w:val="Hyperlink"/>
            <w:noProof/>
          </w:rPr>
          <w:t xml:space="preserve">Appendix Table 2: </w:t>
        </w:r>
        <w:r w:rsidR="000E46C0" w:rsidRPr="001F4CD1">
          <w:rPr>
            <w:rStyle w:val="Hyperlink"/>
            <w:noProof/>
            <w:lang w:val="en-GB"/>
          </w:rPr>
          <w:t>Lobby index values for TDP-43 common coexpression module members and resulting prioritisation score from 1-5.</w:t>
        </w:r>
        <w:r w:rsidR="000E46C0">
          <w:rPr>
            <w:noProof/>
            <w:webHidden/>
          </w:rPr>
          <w:tab/>
        </w:r>
        <w:r w:rsidR="000E46C0">
          <w:rPr>
            <w:noProof/>
            <w:webHidden/>
          </w:rPr>
          <w:fldChar w:fldCharType="begin"/>
        </w:r>
        <w:r w:rsidR="000E46C0">
          <w:rPr>
            <w:noProof/>
            <w:webHidden/>
          </w:rPr>
          <w:instrText xml:space="preserve"> PAGEREF _Toc3225982 \h </w:instrText>
        </w:r>
        <w:r w:rsidR="000E46C0">
          <w:rPr>
            <w:noProof/>
            <w:webHidden/>
          </w:rPr>
        </w:r>
        <w:r w:rsidR="000E46C0">
          <w:rPr>
            <w:noProof/>
            <w:webHidden/>
          </w:rPr>
          <w:fldChar w:fldCharType="separate"/>
        </w:r>
        <w:r w:rsidR="000E46C0">
          <w:rPr>
            <w:noProof/>
            <w:webHidden/>
          </w:rPr>
          <w:t>177</w:t>
        </w:r>
        <w:r w:rsidR="000E46C0">
          <w:rPr>
            <w:noProof/>
            <w:webHidden/>
          </w:rPr>
          <w:fldChar w:fldCharType="end"/>
        </w:r>
      </w:hyperlink>
    </w:p>
    <w:p w14:paraId="787DCBF3" w14:textId="5189FAC4"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3" w:history="1">
        <w:r w:rsidR="000E46C0" w:rsidRPr="001F4CD1">
          <w:rPr>
            <w:rStyle w:val="Hyperlink"/>
            <w:noProof/>
          </w:rPr>
          <w:t>Appendix Table 3</w:t>
        </w:r>
        <w:r w:rsidR="000E46C0" w:rsidRPr="001F4CD1">
          <w:rPr>
            <w:rStyle w:val="Hyperlink"/>
            <w:noProof/>
            <w:lang w:val="en-GB"/>
          </w:rPr>
          <w:t>: GeneXplain rank for TDP-43 common coexpression module members.</w:t>
        </w:r>
        <w:r w:rsidR="000E46C0">
          <w:rPr>
            <w:noProof/>
            <w:webHidden/>
          </w:rPr>
          <w:tab/>
        </w:r>
        <w:r w:rsidR="000E46C0">
          <w:rPr>
            <w:noProof/>
            <w:webHidden/>
          </w:rPr>
          <w:fldChar w:fldCharType="begin"/>
        </w:r>
        <w:r w:rsidR="000E46C0">
          <w:rPr>
            <w:noProof/>
            <w:webHidden/>
          </w:rPr>
          <w:instrText xml:space="preserve"> PAGEREF _Toc3225983 \h </w:instrText>
        </w:r>
        <w:r w:rsidR="000E46C0">
          <w:rPr>
            <w:noProof/>
            <w:webHidden/>
          </w:rPr>
        </w:r>
        <w:r w:rsidR="000E46C0">
          <w:rPr>
            <w:noProof/>
            <w:webHidden/>
          </w:rPr>
          <w:fldChar w:fldCharType="separate"/>
        </w:r>
        <w:r w:rsidR="000E46C0">
          <w:rPr>
            <w:noProof/>
            <w:webHidden/>
          </w:rPr>
          <w:t>178</w:t>
        </w:r>
        <w:r w:rsidR="000E46C0">
          <w:rPr>
            <w:noProof/>
            <w:webHidden/>
          </w:rPr>
          <w:fldChar w:fldCharType="end"/>
        </w:r>
      </w:hyperlink>
    </w:p>
    <w:p w14:paraId="0D0628BC" w14:textId="5FB87F88"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4" w:history="1">
        <w:r w:rsidR="000E46C0" w:rsidRPr="001F4CD1">
          <w:rPr>
            <w:rStyle w:val="Hyperlink"/>
            <w:noProof/>
          </w:rPr>
          <w:t>Appendix Table 4</w:t>
        </w:r>
        <w:r w:rsidR="000E46C0" w:rsidRPr="001F4CD1">
          <w:rPr>
            <w:rStyle w:val="Hyperlink"/>
            <w:noProof/>
            <w:lang w:val="en-GB"/>
          </w:rPr>
          <w:t>: IPA regulatory relationships between TDP-43 common coexpression module members.</w:t>
        </w:r>
        <w:r w:rsidR="000E46C0">
          <w:rPr>
            <w:noProof/>
            <w:webHidden/>
          </w:rPr>
          <w:tab/>
        </w:r>
        <w:r w:rsidR="000E46C0">
          <w:rPr>
            <w:noProof/>
            <w:webHidden/>
          </w:rPr>
          <w:fldChar w:fldCharType="begin"/>
        </w:r>
        <w:r w:rsidR="000E46C0">
          <w:rPr>
            <w:noProof/>
            <w:webHidden/>
          </w:rPr>
          <w:instrText xml:space="preserve"> PAGEREF _Toc3225984 \h </w:instrText>
        </w:r>
        <w:r w:rsidR="000E46C0">
          <w:rPr>
            <w:noProof/>
            <w:webHidden/>
          </w:rPr>
        </w:r>
        <w:r w:rsidR="000E46C0">
          <w:rPr>
            <w:noProof/>
            <w:webHidden/>
          </w:rPr>
          <w:fldChar w:fldCharType="separate"/>
        </w:r>
        <w:r w:rsidR="000E46C0">
          <w:rPr>
            <w:noProof/>
            <w:webHidden/>
          </w:rPr>
          <w:t>179</w:t>
        </w:r>
        <w:r w:rsidR="000E46C0">
          <w:rPr>
            <w:noProof/>
            <w:webHidden/>
          </w:rPr>
          <w:fldChar w:fldCharType="end"/>
        </w:r>
      </w:hyperlink>
    </w:p>
    <w:p w14:paraId="405566B9" w14:textId="604FA0A0"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5" w:history="1">
        <w:r w:rsidR="000E46C0" w:rsidRPr="001F4CD1">
          <w:rPr>
            <w:rStyle w:val="Hyperlink"/>
            <w:noProof/>
          </w:rPr>
          <w:t>Appendix Table 5</w:t>
        </w:r>
        <w:r w:rsidR="000E46C0" w:rsidRPr="001F4CD1">
          <w:rPr>
            <w:rStyle w:val="Hyperlink"/>
            <w:noProof/>
            <w:lang w:val="en-GB"/>
          </w:rPr>
          <w:t>: IPA scores for TDP-43 common coexpression module members.</w:t>
        </w:r>
        <w:r w:rsidR="000E46C0">
          <w:rPr>
            <w:noProof/>
            <w:webHidden/>
          </w:rPr>
          <w:tab/>
        </w:r>
        <w:r w:rsidR="000E46C0">
          <w:rPr>
            <w:noProof/>
            <w:webHidden/>
          </w:rPr>
          <w:fldChar w:fldCharType="begin"/>
        </w:r>
        <w:r w:rsidR="000E46C0">
          <w:rPr>
            <w:noProof/>
            <w:webHidden/>
          </w:rPr>
          <w:instrText xml:space="preserve"> PAGEREF _Toc3225985 \h </w:instrText>
        </w:r>
        <w:r w:rsidR="000E46C0">
          <w:rPr>
            <w:noProof/>
            <w:webHidden/>
          </w:rPr>
        </w:r>
        <w:r w:rsidR="000E46C0">
          <w:rPr>
            <w:noProof/>
            <w:webHidden/>
          </w:rPr>
          <w:fldChar w:fldCharType="separate"/>
        </w:r>
        <w:r w:rsidR="000E46C0">
          <w:rPr>
            <w:noProof/>
            <w:webHidden/>
          </w:rPr>
          <w:t>180</w:t>
        </w:r>
        <w:r w:rsidR="000E46C0">
          <w:rPr>
            <w:noProof/>
            <w:webHidden/>
          </w:rPr>
          <w:fldChar w:fldCharType="end"/>
        </w:r>
      </w:hyperlink>
    </w:p>
    <w:p w14:paraId="2752AA6A" w14:textId="7E8D03EC"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6" w:history="1">
        <w:r w:rsidR="000E46C0" w:rsidRPr="001F4CD1">
          <w:rPr>
            <w:rStyle w:val="Hyperlink"/>
            <w:noProof/>
          </w:rPr>
          <w:t>Appendix Table 6:</w:t>
        </w:r>
        <w:r w:rsidR="000E46C0" w:rsidRPr="001F4CD1">
          <w:rPr>
            <w:rStyle w:val="Hyperlink"/>
            <w:noProof/>
            <w:lang w:val="en-GB"/>
          </w:rPr>
          <w:t xml:space="preserve"> Endeavour Scores for TDP-43 common coexpression module members</w:t>
        </w:r>
        <w:r w:rsidR="000E46C0">
          <w:rPr>
            <w:noProof/>
            <w:webHidden/>
          </w:rPr>
          <w:tab/>
        </w:r>
        <w:r w:rsidR="000E46C0">
          <w:rPr>
            <w:noProof/>
            <w:webHidden/>
          </w:rPr>
          <w:fldChar w:fldCharType="begin"/>
        </w:r>
        <w:r w:rsidR="000E46C0">
          <w:rPr>
            <w:noProof/>
            <w:webHidden/>
          </w:rPr>
          <w:instrText xml:space="preserve"> PAGEREF _Toc3225986 \h </w:instrText>
        </w:r>
        <w:r w:rsidR="000E46C0">
          <w:rPr>
            <w:noProof/>
            <w:webHidden/>
          </w:rPr>
        </w:r>
        <w:r w:rsidR="000E46C0">
          <w:rPr>
            <w:noProof/>
            <w:webHidden/>
          </w:rPr>
          <w:fldChar w:fldCharType="separate"/>
        </w:r>
        <w:r w:rsidR="000E46C0">
          <w:rPr>
            <w:noProof/>
            <w:webHidden/>
          </w:rPr>
          <w:t>181</w:t>
        </w:r>
        <w:r w:rsidR="000E46C0">
          <w:rPr>
            <w:noProof/>
            <w:webHidden/>
          </w:rPr>
          <w:fldChar w:fldCharType="end"/>
        </w:r>
      </w:hyperlink>
    </w:p>
    <w:p w14:paraId="29606ADE" w14:textId="3D325E7E"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7" w:history="1">
        <w:r w:rsidR="000E46C0" w:rsidRPr="001F4CD1">
          <w:rPr>
            <w:rStyle w:val="Hyperlink"/>
            <w:noProof/>
            <w:lang w:val="en-GB"/>
          </w:rPr>
          <w:t>Appendix Table 7: Lobby index values for PD common coexpression module members and resulting prioritisation score from 1-5.</w:t>
        </w:r>
        <w:r w:rsidR="000E46C0">
          <w:rPr>
            <w:noProof/>
            <w:webHidden/>
          </w:rPr>
          <w:tab/>
        </w:r>
        <w:r w:rsidR="000E46C0">
          <w:rPr>
            <w:noProof/>
            <w:webHidden/>
          </w:rPr>
          <w:fldChar w:fldCharType="begin"/>
        </w:r>
        <w:r w:rsidR="000E46C0">
          <w:rPr>
            <w:noProof/>
            <w:webHidden/>
          </w:rPr>
          <w:instrText xml:space="preserve"> PAGEREF _Toc3225987 \h </w:instrText>
        </w:r>
        <w:r w:rsidR="000E46C0">
          <w:rPr>
            <w:noProof/>
            <w:webHidden/>
          </w:rPr>
        </w:r>
        <w:r w:rsidR="000E46C0">
          <w:rPr>
            <w:noProof/>
            <w:webHidden/>
          </w:rPr>
          <w:fldChar w:fldCharType="separate"/>
        </w:r>
        <w:r w:rsidR="000E46C0">
          <w:rPr>
            <w:noProof/>
            <w:webHidden/>
          </w:rPr>
          <w:t>192</w:t>
        </w:r>
        <w:r w:rsidR="000E46C0">
          <w:rPr>
            <w:noProof/>
            <w:webHidden/>
          </w:rPr>
          <w:fldChar w:fldCharType="end"/>
        </w:r>
      </w:hyperlink>
    </w:p>
    <w:p w14:paraId="72F08FA0" w14:textId="42B6D31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8" w:history="1">
        <w:r w:rsidR="000E46C0" w:rsidRPr="001F4CD1">
          <w:rPr>
            <w:rStyle w:val="Hyperlink"/>
            <w:noProof/>
            <w:lang w:val="en-GB"/>
          </w:rPr>
          <w:t>Appendix Table 8: GeneXplain rank for PD common coexpression module members. Ranks sum is the score given by GeneXplain on which genes are ranked. Prioritisation is scored 1-5.</w:t>
        </w:r>
        <w:r w:rsidR="000E46C0">
          <w:rPr>
            <w:noProof/>
            <w:webHidden/>
          </w:rPr>
          <w:tab/>
        </w:r>
        <w:r w:rsidR="000E46C0">
          <w:rPr>
            <w:noProof/>
            <w:webHidden/>
          </w:rPr>
          <w:fldChar w:fldCharType="begin"/>
        </w:r>
        <w:r w:rsidR="000E46C0">
          <w:rPr>
            <w:noProof/>
            <w:webHidden/>
          </w:rPr>
          <w:instrText xml:space="preserve"> PAGEREF _Toc3225988 \h </w:instrText>
        </w:r>
        <w:r w:rsidR="000E46C0">
          <w:rPr>
            <w:noProof/>
            <w:webHidden/>
          </w:rPr>
        </w:r>
        <w:r w:rsidR="000E46C0">
          <w:rPr>
            <w:noProof/>
            <w:webHidden/>
          </w:rPr>
          <w:fldChar w:fldCharType="separate"/>
        </w:r>
        <w:r w:rsidR="000E46C0">
          <w:rPr>
            <w:noProof/>
            <w:webHidden/>
          </w:rPr>
          <w:t>193</w:t>
        </w:r>
        <w:r w:rsidR="000E46C0">
          <w:rPr>
            <w:noProof/>
            <w:webHidden/>
          </w:rPr>
          <w:fldChar w:fldCharType="end"/>
        </w:r>
      </w:hyperlink>
    </w:p>
    <w:p w14:paraId="11C2EA2F" w14:textId="3C60603C"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89" w:history="1">
        <w:r w:rsidR="000E46C0" w:rsidRPr="001F4CD1">
          <w:rPr>
            <w:rStyle w:val="Hyperlink"/>
            <w:noProof/>
            <w:lang w:val="en-GB"/>
          </w:rPr>
          <w:t>Appendix Table 9: IPA regulatory relationships for PD common coexpression module members</w:t>
        </w:r>
        <w:r w:rsidR="000E46C0">
          <w:rPr>
            <w:noProof/>
            <w:webHidden/>
          </w:rPr>
          <w:tab/>
        </w:r>
        <w:r w:rsidR="000E46C0">
          <w:rPr>
            <w:noProof/>
            <w:webHidden/>
          </w:rPr>
          <w:fldChar w:fldCharType="begin"/>
        </w:r>
        <w:r w:rsidR="000E46C0">
          <w:rPr>
            <w:noProof/>
            <w:webHidden/>
          </w:rPr>
          <w:instrText xml:space="preserve"> PAGEREF _Toc3225989 \h </w:instrText>
        </w:r>
        <w:r w:rsidR="000E46C0">
          <w:rPr>
            <w:noProof/>
            <w:webHidden/>
          </w:rPr>
        </w:r>
        <w:r w:rsidR="000E46C0">
          <w:rPr>
            <w:noProof/>
            <w:webHidden/>
          </w:rPr>
          <w:fldChar w:fldCharType="separate"/>
        </w:r>
        <w:r w:rsidR="000E46C0">
          <w:rPr>
            <w:noProof/>
            <w:webHidden/>
          </w:rPr>
          <w:t>193</w:t>
        </w:r>
        <w:r w:rsidR="000E46C0">
          <w:rPr>
            <w:noProof/>
            <w:webHidden/>
          </w:rPr>
          <w:fldChar w:fldCharType="end"/>
        </w:r>
      </w:hyperlink>
    </w:p>
    <w:p w14:paraId="7D9EC6B1" w14:textId="150243F1"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0" w:history="1">
        <w:r w:rsidR="000E46C0" w:rsidRPr="001F4CD1">
          <w:rPr>
            <w:rStyle w:val="Hyperlink"/>
            <w:noProof/>
            <w:lang w:val="en-GB"/>
          </w:rPr>
          <w:t>Appendix Table 10: IPA scores for PD common coexpression module members.</w:t>
        </w:r>
        <w:r w:rsidR="000E46C0">
          <w:rPr>
            <w:noProof/>
            <w:webHidden/>
          </w:rPr>
          <w:tab/>
        </w:r>
        <w:r w:rsidR="000E46C0">
          <w:rPr>
            <w:noProof/>
            <w:webHidden/>
          </w:rPr>
          <w:fldChar w:fldCharType="begin"/>
        </w:r>
        <w:r w:rsidR="000E46C0">
          <w:rPr>
            <w:noProof/>
            <w:webHidden/>
          </w:rPr>
          <w:instrText xml:space="preserve"> PAGEREF _Toc3225990 \h </w:instrText>
        </w:r>
        <w:r w:rsidR="000E46C0">
          <w:rPr>
            <w:noProof/>
            <w:webHidden/>
          </w:rPr>
        </w:r>
        <w:r w:rsidR="000E46C0">
          <w:rPr>
            <w:noProof/>
            <w:webHidden/>
          </w:rPr>
          <w:fldChar w:fldCharType="separate"/>
        </w:r>
        <w:r w:rsidR="000E46C0">
          <w:rPr>
            <w:noProof/>
            <w:webHidden/>
          </w:rPr>
          <w:t>194</w:t>
        </w:r>
        <w:r w:rsidR="000E46C0">
          <w:rPr>
            <w:noProof/>
            <w:webHidden/>
          </w:rPr>
          <w:fldChar w:fldCharType="end"/>
        </w:r>
      </w:hyperlink>
    </w:p>
    <w:p w14:paraId="4F39684A" w14:textId="089BEC2E"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1" w:history="1">
        <w:r w:rsidR="000E46C0" w:rsidRPr="001F4CD1">
          <w:rPr>
            <w:rStyle w:val="Hyperlink"/>
            <w:noProof/>
            <w:lang w:val="en-GB"/>
          </w:rPr>
          <w:t>Appendix Table 11: Endeavour Scores for PD common coexpression module members</w:t>
        </w:r>
        <w:r w:rsidR="000E46C0">
          <w:rPr>
            <w:noProof/>
            <w:webHidden/>
          </w:rPr>
          <w:tab/>
        </w:r>
        <w:r w:rsidR="000E46C0">
          <w:rPr>
            <w:noProof/>
            <w:webHidden/>
          </w:rPr>
          <w:fldChar w:fldCharType="begin"/>
        </w:r>
        <w:r w:rsidR="000E46C0">
          <w:rPr>
            <w:noProof/>
            <w:webHidden/>
          </w:rPr>
          <w:instrText xml:space="preserve"> PAGEREF _Toc3225991 \h </w:instrText>
        </w:r>
        <w:r w:rsidR="000E46C0">
          <w:rPr>
            <w:noProof/>
            <w:webHidden/>
          </w:rPr>
        </w:r>
        <w:r w:rsidR="000E46C0">
          <w:rPr>
            <w:noProof/>
            <w:webHidden/>
          </w:rPr>
          <w:fldChar w:fldCharType="separate"/>
        </w:r>
        <w:r w:rsidR="000E46C0">
          <w:rPr>
            <w:noProof/>
            <w:webHidden/>
          </w:rPr>
          <w:t>195</w:t>
        </w:r>
        <w:r w:rsidR="000E46C0">
          <w:rPr>
            <w:noProof/>
            <w:webHidden/>
          </w:rPr>
          <w:fldChar w:fldCharType="end"/>
        </w:r>
      </w:hyperlink>
    </w:p>
    <w:p w14:paraId="6862BF9D" w14:textId="2B5D3285"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2" w:history="1">
        <w:r w:rsidR="000E46C0" w:rsidRPr="001F4CD1">
          <w:rPr>
            <w:rStyle w:val="Hyperlink"/>
            <w:noProof/>
            <w:lang w:val="en-GB"/>
          </w:rPr>
          <w:t>Appendix Table 12: Lobby index values for autoimmune arthritis common coexpression module members and resulting prioritisation score from 1-5.</w:t>
        </w:r>
        <w:r w:rsidR="000E46C0">
          <w:rPr>
            <w:noProof/>
            <w:webHidden/>
          </w:rPr>
          <w:tab/>
        </w:r>
        <w:r w:rsidR="000E46C0">
          <w:rPr>
            <w:noProof/>
            <w:webHidden/>
          </w:rPr>
          <w:fldChar w:fldCharType="begin"/>
        </w:r>
        <w:r w:rsidR="000E46C0">
          <w:rPr>
            <w:noProof/>
            <w:webHidden/>
          </w:rPr>
          <w:instrText xml:space="preserve"> PAGEREF _Toc3225992 \h </w:instrText>
        </w:r>
        <w:r w:rsidR="000E46C0">
          <w:rPr>
            <w:noProof/>
            <w:webHidden/>
          </w:rPr>
        </w:r>
        <w:r w:rsidR="000E46C0">
          <w:rPr>
            <w:noProof/>
            <w:webHidden/>
          </w:rPr>
          <w:fldChar w:fldCharType="separate"/>
        </w:r>
        <w:r w:rsidR="000E46C0">
          <w:rPr>
            <w:noProof/>
            <w:webHidden/>
          </w:rPr>
          <w:t>201</w:t>
        </w:r>
        <w:r w:rsidR="000E46C0">
          <w:rPr>
            <w:noProof/>
            <w:webHidden/>
          </w:rPr>
          <w:fldChar w:fldCharType="end"/>
        </w:r>
      </w:hyperlink>
    </w:p>
    <w:p w14:paraId="2F5DD6FB" w14:textId="2013803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3" w:history="1">
        <w:r w:rsidR="000E46C0" w:rsidRPr="001F4CD1">
          <w:rPr>
            <w:rStyle w:val="Hyperlink"/>
            <w:noProof/>
            <w:lang w:val="en-GB"/>
          </w:rPr>
          <w:t>Appendix Table 13: GeneXplain rank for autoimmune arthritis common coexpression module members.</w:t>
        </w:r>
        <w:r w:rsidR="000E46C0">
          <w:rPr>
            <w:noProof/>
            <w:webHidden/>
          </w:rPr>
          <w:tab/>
        </w:r>
        <w:r w:rsidR="000E46C0">
          <w:rPr>
            <w:noProof/>
            <w:webHidden/>
          </w:rPr>
          <w:fldChar w:fldCharType="begin"/>
        </w:r>
        <w:r w:rsidR="000E46C0">
          <w:rPr>
            <w:noProof/>
            <w:webHidden/>
          </w:rPr>
          <w:instrText xml:space="preserve"> PAGEREF _Toc3225993 \h </w:instrText>
        </w:r>
        <w:r w:rsidR="000E46C0">
          <w:rPr>
            <w:noProof/>
            <w:webHidden/>
          </w:rPr>
        </w:r>
        <w:r w:rsidR="000E46C0">
          <w:rPr>
            <w:noProof/>
            <w:webHidden/>
          </w:rPr>
          <w:fldChar w:fldCharType="separate"/>
        </w:r>
        <w:r w:rsidR="000E46C0">
          <w:rPr>
            <w:noProof/>
            <w:webHidden/>
          </w:rPr>
          <w:t>202</w:t>
        </w:r>
        <w:r w:rsidR="000E46C0">
          <w:rPr>
            <w:noProof/>
            <w:webHidden/>
          </w:rPr>
          <w:fldChar w:fldCharType="end"/>
        </w:r>
      </w:hyperlink>
    </w:p>
    <w:p w14:paraId="3E0D3912" w14:textId="1D7E30F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4" w:history="1">
        <w:r w:rsidR="000E46C0" w:rsidRPr="001F4CD1">
          <w:rPr>
            <w:rStyle w:val="Hyperlink"/>
            <w:noProof/>
            <w:lang w:val="en-GB"/>
          </w:rPr>
          <w:t>Appendix Table 14: IPA regulatory relationships between autoimmune arthritis common coexpression module members</w:t>
        </w:r>
        <w:r w:rsidR="000E46C0">
          <w:rPr>
            <w:noProof/>
            <w:webHidden/>
          </w:rPr>
          <w:tab/>
        </w:r>
        <w:r w:rsidR="000E46C0">
          <w:rPr>
            <w:noProof/>
            <w:webHidden/>
          </w:rPr>
          <w:fldChar w:fldCharType="begin"/>
        </w:r>
        <w:r w:rsidR="000E46C0">
          <w:rPr>
            <w:noProof/>
            <w:webHidden/>
          </w:rPr>
          <w:instrText xml:space="preserve"> PAGEREF _Toc3225994 \h </w:instrText>
        </w:r>
        <w:r w:rsidR="000E46C0">
          <w:rPr>
            <w:noProof/>
            <w:webHidden/>
          </w:rPr>
        </w:r>
        <w:r w:rsidR="000E46C0">
          <w:rPr>
            <w:noProof/>
            <w:webHidden/>
          </w:rPr>
          <w:fldChar w:fldCharType="separate"/>
        </w:r>
        <w:r w:rsidR="000E46C0">
          <w:rPr>
            <w:noProof/>
            <w:webHidden/>
          </w:rPr>
          <w:t>203</w:t>
        </w:r>
        <w:r w:rsidR="000E46C0">
          <w:rPr>
            <w:noProof/>
            <w:webHidden/>
          </w:rPr>
          <w:fldChar w:fldCharType="end"/>
        </w:r>
      </w:hyperlink>
    </w:p>
    <w:p w14:paraId="1C5331DF" w14:textId="1DAE8607"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5" w:history="1">
        <w:r w:rsidR="000E46C0" w:rsidRPr="001F4CD1">
          <w:rPr>
            <w:rStyle w:val="Hyperlink"/>
            <w:noProof/>
            <w:lang w:val="en-GB"/>
          </w:rPr>
          <w:t>Appendix Table 15: IPA scores for autoimmune arthritis common coexpression module members</w:t>
        </w:r>
        <w:r w:rsidR="000E46C0">
          <w:rPr>
            <w:noProof/>
            <w:webHidden/>
          </w:rPr>
          <w:tab/>
        </w:r>
        <w:r w:rsidR="000E46C0">
          <w:rPr>
            <w:noProof/>
            <w:webHidden/>
          </w:rPr>
          <w:fldChar w:fldCharType="begin"/>
        </w:r>
        <w:r w:rsidR="000E46C0">
          <w:rPr>
            <w:noProof/>
            <w:webHidden/>
          </w:rPr>
          <w:instrText xml:space="preserve"> PAGEREF _Toc3225995 \h </w:instrText>
        </w:r>
        <w:r w:rsidR="000E46C0">
          <w:rPr>
            <w:noProof/>
            <w:webHidden/>
          </w:rPr>
        </w:r>
        <w:r w:rsidR="000E46C0">
          <w:rPr>
            <w:noProof/>
            <w:webHidden/>
          </w:rPr>
          <w:fldChar w:fldCharType="separate"/>
        </w:r>
        <w:r w:rsidR="000E46C0">
          <w:rPr>
            <w:noProof/>
            <w:webHidden/>
          </w:rPr>
          <w:t>204</w:t>
        </w:r>
        <w:r w:rsidR="000E46C0">
          <w:rPr>
            <w:noProof/>
            <w:webHidden/>
          </w:rPr>
          <w:fldChar w:fldCharType="end"/>
        </w:r>
      </w:hyperlink>
    </w:p>
    <w:p w14:paraId="3EACF2AE" w14:textId="7CFCCA6C"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6" w:history="1">
        <w:r w:rsidR="000E46C0" w:rsidRPr="001F4CD1">
          <w:rPr>
            <w:rStyle w:val="Hyperlink"/>
            <w:noProof/>
            <w:lang w:val="en-GB"/>
          </w:rPr>
          <w:t>Appendix Table 16: Endeavour Scores for autoimmune arthritis common coexpression module members.</w:t>
        </w:r>
        <w:r w:rsidR="000E46C0">
          <w:rPr>
            <w:noProof/>
            <w:webHidden/>
          </w:rPr>
          <w:tab/>
        </w:r>
        <w:r w:rsidR="000E46C0">
          <w:rPr>
            <w:noProof/>
            <w:webHidden/>
          </w:rPr>
          <w:fldChar w:fldCharType="begin"/>
        </w:r>
        <w:r w:rsidR="000E46C0">
          <w:rPr>
            <w:noProof/>
            <w:webHidden/>
          </w:rPr>
          <w:instrText xml:space="preserve"> PAGEREF _Toc3225996 \h </w:instrText>
        </w:r>
        <w:r w:rsidR="000E46C0">
          <w:rPr>
            <w:noProof/>
            <w:webHidden/>
          </w:rPr>
        </w:r>
        <w:r w:rsidR="000E46C0">
          <w:rPr>
            <w:noProof/>
            <w:webHidden/>
          </w:rPr>
          <w:fldChar w:fldCharType="separate"/>
        </w:r>
        <w:r w:rsidR="000E46C0">
          <w:rPr>
            <w:noProof/>
            <w:webHidden/>
          </w:rPr>
          <w:t>205</w:t>
        </w:r>
        <w:r w:rsidR="000E46C0">
          <w:rPr>
            <w:noProof/>
            <w:webHidden/>
          </w:rPr>
          <w:fldChar w:fldCharType="end"/>
        </w:r>
      </w:hyperlink>
    </w:p>
    <w:p w14:paraId="18AA3AFA" w14:textId="7F9A1AE7" w:rsidR="0092309F" w:rsidRDefault="00F72F37" w:rsidP="008713E9">
      <w:pPr>
        <w:rPr>
          <w:rFonts w:ascii="Arial" w:hAnsi="Arial" w:cs="Arial"/>
          <w:sz w:val="44"/>
          <w:szCs w:val="44"/>
          <w:lang w:val="en-GB"/>
        </w:rPr>
      </w:pPr>
      <w:r w:rsidRPr="0082680A">
        <w:rPr>
          <w:rFonts w:ascii="Arial" w:hAnsi="Arial" w:cs="Arial"/>
          <w:sz w:val="44"/>
          <w:szCs w:val="44"/>
          <w:lang w:val="en-GB"/>
        </w:rPr>
        <w:fldChar w:fldCharType="end"/>
      </w:r>
    </w:p>
    <w:p w14:paraId="56070ED9" w14:textId="77777777" w:rsidR="0092309F" w:rsidRDefault="0092309F">
      <w:pPr>
        <w:rPr>
          <w:rFonts w:ascii="Arial" w:hAnsi="Arial" w:cs="Arial"/>
          <w:sz w:val="44"/>
          <w:szCs w:val="44"/>
          <w:lang w:val="en-GB"/>
        </w:rPr>
      </w:pPr>
      <w:r>
        <w:rPr>
          <w:rFonts w:ascii="Arial" w:hAnsi="Arial" w:cs="Arial"/>
          <w:sz w:val="44"/>
          <w:szCs w:val="44"/>
          <w:lang w:val="en-GB"/>
        </w:rPr>
        <w:br w:type="page"/>
      </w:r>
    </w:p>
    <w:p w14:paraId="396053CF" w14:textId="7D85DB25" w:rsidR="00EC7B1C" w:rsidRPr="0082680A" w:rsidRDefault="00EC7B1C" w:rsidP="008713E9">
      <w:pPr>
        <w:rPr>
          <w:lang w:val="en-GB"/>
        </w:rPr>
      </w:pPr>
      <w:r w:rsidRPr="0082680A">
        <w:rPr>
          <w:rFonts w:ascii="Arial" w:hAnsi="Arial" w:cs="Arial"/>
          <w:sz w:val="44"/>
          <w:szCs w:val="44"/>
          <w:lang w:val="en-GB"/>
        </w:rPr>
        <w:lastRenderedPageBreak/>
        <w:t>List of Figures</w:t>
      </w:r>
    </w:p>
    <w:p w14:paraId="1D8C92C2" w14:textId="3ADF01A3" w:rsidR="000E46C0" w:rsidRDefault="00982A37">
      <w:pPr>
        <w:pStyle w:val="TableofFigures"/>
        <w:tabs>
          <w:tab w:val="right" w:leader="dot" w:pos="8834"/>
        </w:tabs>
        <w:rPr>
          <w:rFonts w:asciiTheme="minorHAnsi" w:eastAsiaTheme="minorEastAsia" w:hAnsiTheme="minorHAnsi" w:cstheme="minorBidi"/>
          <w:noProof/>
          <w:sz w:val="24"/>
          <w:szCs w:val="24"/>
          <w:lang w:val="en-GB"/>
        </w:rPr>
      </w:pPr>
      <w:r w:rsidRPr="0082680A">
        <w:rPr>
          <w:rFonts w:eastAsia="Arial"/>
          <w:lang w:val="en-GB"/>
        </w:rPr>
        <w:fldChar w:fldCharType="begin"/>
      </w:r>
      <w:r w:rsidRPr="0082680A">
        <w:rPr>
          <w:rFonts w:eastAsia="Arial"/>
          <w:lang w:val="en-GB"/>
        </w:rPr>
        <w:instrText xml:space="preserve"> TOC \h \z \c "Figure" </w:instrText>
      </w:r>
      <w:r w:rsidRPr="0082680A">
        <w:rPr>
          <w:rFonts w:eastAsia="Arial"/>
          <w:lang w:val="en-GB"/>
        </w:rPr>
        <w:fldChar w:fldCharType="separate"/>
      </w:r>
      <w:hyperlink w:anchor="_Toc3225997" w:history="1">
        <w:r w:rsidR="000E46C0" w:rsidRPr="001650DB">
          <w:rPr>
            <w:rStyle w:val="Hyperlink"/>
            <w:noProof/>
            <w:lang w:val="en-GB"/>
          </w:rPr>
          <w:t>Figure 1: A histogram of sample size for datasets housed in the GEO database GenomeBrowser.</w:t>
        </w:r>
        <w:r w:rsidR="000E46C0">
          <w:rPr>
            <w:noProof/>
            <w:webHidden/>
          </w:rPr>
          <w:tab/>
        </w:r>
        <w:r w:rsidR="000E46C0">
          <w:rPr>
            <w:noProof/>
            <w:webHidden/>
          </w:rPr>
          <w:fldChar w:fldCharType="begin"/>
        </w:r>
        <w:r w:rsidR="000E46C0">
          <w:rPr>
            <w:noProof/>
            <w:webHidden/>
          </w:rPr>
          <w:instrText xml:space="preserve"> PAGEREF _Toc3225997 \h </w:instrText>
        </w:r>
        <w:r w:rsidR="000E46C0">
          <w:rPr>
            <w:noProof/>
            <w:webHidden/>
          </w:rPr>
        </w:r>
        <w:r w:rsidR="000E46C0">
          <w:rPr>
            <w:noProof/>
            <w:webHidden/>
          </w:rPr>
          <w:fldChar w:fldCharType="separate"/>
        </w:r>
        <w:r w:rsidR="000E46C0">
          <w:rPr>
            <w:noProof/>
            <w:webHidden/>
          </w:rPr>
          <w:t>4</w:t>
        </w:r>
        <w:r w:rsidR="000E46C0">
          <w:rPr>
            <w:noProof/>
            <w:webHidden/>
          </w:rPr>
          <w:fldChar w:fldCharType="end"/>
        </w:r>
      </w:hyperlink>
    </w:p>
    <w:p w14:paraId="34E6CBE8" w14:textId="11A36FA1"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8" w:history="1">
        <w:r w:rsidR="000E46C0" w:rsidRPr="001650DB">
          <w:rPr>
            <w:rStyle w:val="Hyperlink"/>
            <w:noProof/>
            <w:lang w:val="en-GB"/>
          </w:rPr>
          <w:t>Figure 2: An overview of the predicted experimental design structure.</w:t>
        </w:r>
        <w:r w:rsidR="000E46C0">
          <w:rPr>
            <w:noProof/>
            <w:webHidden/>
          </w:rPr>
          <w:tab/>
        </w:r>
        <w:r w:rsidR="000E46C0">
          <w:rPr>
            <w:noProof/>
            <w:webHidden/>
          </w:rPr>
          <w:fldChar w:fldCharType="begin"/>
        </w:r>
        <w:r w:rsidR="000E46C0">
          <w:rPr>
            <w:noProof/>
            <w:webHidden/>
          </w:rPr>
          <w:instrText xml:space="preserve"> PAGEREF _Toc3225998 \h </w:instrText>
        </w:r>
        <w:r w:rsidR="000E46C0">
          <w:rPr>
            <w:noProof/>
            <w:webHidden/>
          </w:rPr>
        </w:r>
        <w:r w:rsidR="000E46C0">
          <w:rPr>
            <w:noProof/>
            <w:webHidden/>
          </w:rPr>
          <w:fldChar w:fldCharType="separate"/>
        </w:r>
        <w:r w:rsidR="000E46C0">
          <w:rPr>
            <w:noProof/>
            <w:webHidden/>
          </w:rPr>
          <w:t>22</w:t>
        </w:r>
        <w:r w:rsidR="000E46C0">
          <w:rPr>
            <w:noProof/>
            <w:webHidden/>
          </w:rPr>
          <w:fldChar w:fldCharType="end"/>
        </w:r>
      </w:hyperlink>
    </w:p>
    <w:p w14:paraId="15295C4D" w14:textId="5233A56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5999" w:history="1">
        <w:r w:rsidR="000E46C0" w:rsidRPr="001650DB">
          <w:rPr>
            <w:rStyle w:val="Hyperlink"/>
            <w:noProof/>
            <w:lang w:val="en-GB"/>
          </w:rPr>
          <w:t>Figure 3: Histograms of Spearman’s Rho values for the correlation networks produced in each TDP-43 dataset.</w:t>
        </w:r>
        <w:r w:rsidR="000E46C0">
          <w:rPr>
            <w:noProof/>
            <w:webHidden/>
          </w:rPr>
          <w:tab/>
        </w:r>
        <w:r w:rsidR="000E46C0">
          <w:rPr>
            <w:noProof/>
            <w:webHidden/>
          </w:rPr>
          <w:fldChar w:fldCharType="begin"/>
        </w:r>
        <w:r w:rsidR="000E46C0">
          <w:rPr>
            <w:noProof/>
            <w:webHidden/>
          </w:rPr>
          <w:instrText xml:space="preserve"> PAGEREF _Toc3225999 \h </w:instrText>
        </w:r>
        <w:r w:rsidR="000E46C0">
          <w:rPr>
            <w:noProof/>
            <w:webHidden/>
          </w:rPr>
        </w:r>
        <w:r w:rsidR="000E46C0">
          <w:rPr>
            <w:noProof/>
            <w:webHidden/>
          </w:rPr>
          <w:fldChar w:fldCharType="separate"/>
        </w:r>
        <w:r w:rsidR="000E46C0">
          <w:rPr>
            <w:noProof/>
            <w:webHidden/>
          </w:rPr>
          <w:t>53</w:t>
        </w:r>
        <w:r w:rsidR="000E46C0">
          <w:rPr>
            <w:noProof/>
            <w:webHidden/>
          </w:rPr>
          <w:fldChar w:fldCharType="end"/>
        </w:r>
      </w:hyperlink>
    </w:p>
    <w:p w14:paraId="6EC6A15B" w14:textId="446D242D"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0" w:history="1">
        <w:r w:rsidR="000E46C0" w:rsidRPr="001650DB">
          <w:rPr>
            <w:rStyle w:val="Hyperlink"/>
            <w:noProof/>
          </w:rPr>
          <w:t>Figure 4: Histogram of a random selection of genes</w:t>
        </w:r>
        <w:r w:rsidR="000E46C0">
          <w:rPr>
            <w:noProof/>
            <w:webHidden/>
          </w:rPr>
          <w:tab/>
        </w:r>
        <w:r w:rsidR="000E46C0">
          <w:rPr>
            <w:noProof/>
            <w:webHidden/>
          </w:rPr>
          <w:fldChar w:fldCharType="begin"/>
        </w:r>
        <w:r w:rsidR="000E46C0">
          <w:rPr>
            <w:noProof/>
            <w:webHidden/>
          </w:rPr>
          <w:instrText xml:space="preserve"> PAGEREF _Toc3226000 \h </w:instrText>
        </w:r>
        <w:r w:rsidR="000E46C0">
          <w:rPr>
            <w:noProof/>
            <w:webHidden/>
          </w:rPr>
        </w:r>
        <w:r w:rsidR="000E46C0">
          <w:rPr>
            <w:noProof/>
            <w:webHidden/>
          </w:rPr>
          <w:fldChar w:fldCharType="separate"/>
        </w:r>
        <w:r w:rsidR="000E46C0">
          <w:rPr>
            <w:noProof/>
            <w:webHidden/>
          </w:rPr>
          <w:t>53</w:t>
        </w:r>
        <w:r w:rsidR="000E46C0">
          <w:rPr>
            <w:noProof/>
            <w:webHidden/>
          </w:rPr>
          <w:fldChar w:fldCharType="end"/>
        </w:r>
      </w:hyperlink>
    </w:p>
    <w:p w14:paraId="5529006A" w14:textId="0FBB108E"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1" w:history="1">
        <w:r w:rsidR="000E46C0" w:rsidRPr="001650DB">
          <w:rPr>
            <w:rStyle w:val="Hyperlink"/>
            <w:noProof/>
            <w:lang w:val="en-GB"/>
          </w:rPr>
          <w:t>Figure 5: The common coexpression network for TDP-43 dysfunction</w:t>
        </w:r>
        <w:r w:rsidR="000E46C0">
          <w:rPr>
            <w:noProof/>
            <w:webHidden/>
          </w:rPr>
          <w:tab/>
        </w:r>
        <w:r w:rsidR="000E46C0">
          <w:rPr>
            <w:noProof/>
            <w:webHidden/>
          </w:rPr>
          <w:fldChar w:fldCharType="begin"/>
        </w:r>
        <w:r w:rsidR="000E46C0">
          <w:rPr>
            <w:noProof/>
            <w:webHidden/>
          </w:rPr>
          <w:instrText xml:space="preserve"> PAGEREF _Toc3226001 \h </w:instrText>
        </w:r>
        <w:r w:rsidR="000E46C0">
          <w:rPr>
            <w:noProof/>
            <w:webHidden/>
          </w:rPr>
        </w:r>
        <w:r w:rsidR="000E46C0">
          <w:rPr>
            <w:noProof/>
            <w:webHidden/>
          </w:rPr>
          <w:fldChar w:fldCharType="separate"/>
        </w:r>
        <w:r w:rsidR="000E46C0">
          <w:rPr>
            <w:noProof/>
            <w:webHidden/>
          </w:rPr>
          <w:t>54</w:t>
        </w:r>
        <w:r w:rsidR="000E46C0">
          <w:rPr>
            <w:noProof/>
            <w:webHidden/>
          </w:rPr>
          <w:fldChar w:fldCharType="end"/>
        </w:r>
      </w:hyperlink>
    </w:p>
    <w:p w14:paraId="2101D321" w14:textId="73718580"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2" w:history="1">
        <w:r w:rsidR="000E46C0" w:rsidRPr="001650DB">
          <w:rPr>
            <w:rStyle w:val="Hyperlink"/>
            <w:noProof/>
            <w:lang w:val="en-GB"/>
          </w:rPr>
          <w:t>Figure 6: Protein interaction network showing relationships between network module proteins (blue) and TDP-43 disease proteins (green</w:t>
        </w:r>
        <w:r w:rsidR="00625E52">
          <w:rPr>
            <w:rStyle w:val="Hyperlink"/>
            <w:noProof/>
            <w:lang w:val="en-GB"/>
          </w:rPr>
          <w:t>)</w:t>
        </w:r>
        <w:r w:rsidR="000E46C0">
          <w:rPr>
            <w:noProof/>
            <w:webHidden/>
          </w:rPr>
          <w:tab/>
        </w:r>
        <w:r w:rsidR="000E46C0">
          <w:rPr>
            <w:noProof/>
            <w:webHidden/>
          </w:rPr>
          <w:fldChar w:fldCharType="begin"/>
        </w:r>
        <w:r w:rsidR="000E46C0">
          <w:rPr>
            <w:noProof/>
            <w:webHidden/>
          </w:rPr>
          <w:instrText xml:space="preserve"> PAGEREF _Toc3226002 \h </w:instrText>
        </w:r>
        <w:r w:rsidR="000E46C0">
          <w:rPr>
            <w:noProof/>
            <w:webHidden/>
          </w:rPr>
        </w:r>
        <w:r w:rsidR="000E46C0">
          <w:rPr>
            <w:noProof/>
            <w:webHidden/>
          </w:rPr>
          <w:fldChar w:fldCharType="separate"/>
        </w:r>
        <w:r w:rsidR="000E46C0">
          <w:rPr>
            <w:noProof/>
            <w:webHidden/>
          </w:rPr>
          <w:t>58</w:t>
        </w:r>
        <w:r w:rsidR="000E46C0">
          <w:rPr>
            <w:noProof/>
            <w:webHidden/>
          </w:rPr>
          <w:fldChar w:fldCharType="end"/>
        </w:r>
      </w:hyperlink>
    </w:p>
    <w:p w14:paraId="5E0D4CB0" w14:textId="65C5CAA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3" w:history="1">
        <w:r w:rsidR="000E46C0" w:rsidRPr="001650DB">
          <w:rPr>
            <w:rStyle w:val="Hyperlink"/>
            <w:noProof/>
            <w:lang w:val="en-GB"/>
          </w:rPr>
          <w:t>Figure 7: Immunofluorescence imaging of transfected motor neurons at Day 14</w:t>
        </w:r>
        <w:r w:rsidR="000E46C0">
          <w:rPr>
            <w:noProof/>
            <w:webHidden/>
          </w:rPr>
          <w:tab/>
        </w:r>
        <w:r w:rsidR="000E46C0">
          <w:rPr>
            <w:noProof/>
            <w:webHidden/>
          </w:rPr>
          <w:fldChar w:fldCharType="begin"/>
        </w:r>
        <w:r w:rsidR="000E46C0">
          <w:rPr>
            <w:noProof/>
            <w:webHidden/>
          </w:rPr>
          <w:instrText xml:space="preserve"> PAGEREF _Toc3226003 \h </w:instrText>
        </w:r>
        <w:r w:rsidR="000E46C0">
          <w:rPr>
            <w:noProof/>
            <w:webHidden/>
          </w:rPr>
        </w:r>
        <w:r w:rsidR="000E46C0">
          <w:rPr>
            <w:noProof/>
            <w:webHidden/>
          </w:rPr>
          <w:fldChar w:fldCharType="separate"/>
        </w:r>
        <w:r w:rsidR="000E46C0">
          <w:rPr>
            <w:noProof/>
            <w:webHidden/>
          </w:rPr>
          <w:t>72</w:t>
        </w:r>
        <w:r w:rsidR="000E46C0">
          <w:rPr>
            <w:noProof/>
            <w:webHidden/>
          </w:rPr>
          <w:fldChar w:fldCharType="end"/>
        </w:r>
      </w:hyperlink>
    </w:p>
    <w:p w14:paraId="3F43E284" w14:textId="78B2996F"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4" w:history="1">
        <w:r w:rsidR="000E46C0" w:rsidRPr="001650DB">
          <w:rPr>
            <w:rStyle w:val="Hyperlink"/>
            <w:noProof/>
            <w:lang w:val="en-GB"/>
          </w:rPr>
          <w:t>Figure 8: Immunofluorescence imaging of TBK1, DDX1, and EPS15 knockdown neurons at Day 20</w:t>
        </w:r>
        <w:r w:rsidR="000E46C0">
          <w:rPr>
            <w:noProof/>
            <w:webHidden/>
          </w:rPr>
          <w:tab/>
        </w:r>
        <w:r w:rsidR="000E46C0">
          <w:rPr>
            <w:noProof/>
            <w:webHidden/>
          </w:rPr>
          <w:fldChar w:fldCharType="begin"/>
        </w:r>
        <w:r w:rsidR="000E46C0">
          <w:rPr>
            <w:noProof/>
            <w:webHidden/>
          </w:rPr>
          <w:instrText xml:space="preserve"> PAGEREF _Toc3226004 \h </w:instrText>
        </w:r>
        <w:r w:rsidR="000E46C0">
          <w:rPr>
            <w:noProof/>
            <w:webHidden/>
          </w:rPr>
        </w:r>
        <w:r w:rsidR="000E46C0">
          <w:rPr>
            <w:noProof/>
            <w:webHidden/>
          </w:rPr>
          <w:fldChar w:fldCharType="separate"/>
        </w:r>
        <w:r w:rsidR="000E46C0">
          <w:rPr>
            <w:noProof/>
            <w:webHidden/>
          </w:rPr>
          <w:t>74</w:t>
        </w:r>
        <w:r w:rsidR="000E46C0">
          <w:rPr>
            <w:noProof/>
            <w:webHidden/>
          </w:rPr>
          <w:fldChar w:fldCharType="end"/>
        </w:r>
      </w:hyperlink>
    </w:p>
    <w:p w14:paraId="2A55AEFB" w14:textId="19C95E9C"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5" w:history="1">
        <w:r w:rsidR="000E46C0" w:rsidRPr="001650DB">
          <w:rPr>
            <w:rStyle w:val="Hyperlink"/>
            <w:noProof/>
            <w:lang w:val="en-GB"/>
          </w:rPr>
          <w:t xml:space="preserve">Figure 9: Immunofluorescence imaging of </w:t>
        </w:r>
        <w:r w:rsidR="000E46C0" w:rsidRPr="001650DB">
          <w:rPr>
            <w:rStyle w:val="Hyperlink"/>
            <w:i/>
            <w:noProof/>
            <w:lang w:val="en-GB"/>
          </w:rPr>
          <w:t>YBX1</w:t>
        </w:r>
        <w:r w:rsidR="000E46C0" w:rsidRPr="001650DB">
          <w:rPr>
            <w:rStyle w:val="Hyperlink"/>
            <w:noProof/>
            <w:lang w:val="en-GB"/>
          </w:rPr>
          <w:t xml:space="preserve"> knockdown neurons at Day 20.</w:t>
        </w:r>
        <w:r w:rsidR="000E46C0">
          <w:rPr>
            <w:noProof/>
            <w:webHidden/>
          </w:rPr>
          <w:tab/>
        </w:r>
        <w:r w:rsidR="000E46C0">
          <w:rPr>
            <w:noProof/>
            <w:webHidden/>
          </w:rPr>
          <w:fldChar w:fldCharType="begin"/>
        </w:r>
        <w:r w:rsidR="000E46C0">
          <w:rPr>
            <w:noProof/>
            <w:webHidden/>
          </w:rPr>
          <w:instrText xml:space="preserve"> PAGEREF _Toc3226005 \h </w:instrText>
        </w:r>
        <w:r w:rsidR="000E46C0">
          <w:rPr>
            <w:noProof/>
            <w:webHidden/>
          </w:rPr>
        </w:r>
        <w:r w:rsidR="000E46C0">
          <w:rPr>
            <w:noProof/>
            <w:webHidden/>
          </w:rPr>
          <w:fldChar w:fldCharType="separate"/>
        </w:r>
        <w:r w:rsidR="000E46C0">
          <w:rPr>
            <w:noProof/>
            <w:webHidden/>
          </w:rPr>
          <w:t>74</w:t>
        </w:r>
        <w:r w:rsidR="000E46C0">
          <w:rPr>
            <w:noProof/>
            <w:webHidden/>
          </w:rPr>
          <w:fldChar w:fldCharType="end"/>
        </w:r>
      </w:hyperlink>
    </w:p>
    <w:p w14:paraId="3426A289" w14:textId="10C0F8F1"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6" w:history="1">
        <w:r w:rsidR="000E46C0" w:rsidRPr="001650DB">
          <w:rPr>
            <w:rStyle w:val="Hyperlink"/>
            <w:noProof/>
            <w:lang w:val="en-GB"/>
          </w:rPr>
          <w:t>Figure 10: A flow diagram indicating the steps to be completed within our signature building methodology, and the ‘omes in which these steps are conducted.</w:t>
        </w:r>
        <w:r w:rsidR="000E46C0">
          <w:rPr>
            <w:noProof/>
            <w:webHidden/>
          </w:rPr>
          <w:tab/>
        </w:r>
        <w:r w:rsidR="000E46C0">
          <w:rPr>
            <w:noProof/>
            <w:webHidden/>
          </w:rPr>
          <w:fldChar w:fldCharType="begin"/>
        </w:r>
        <w:r w:rsidR="000E46C0">
          <w:rPr>
            <w:noProof/>
            <w:webHidden/>
          </w:rPr>
          <w:instrText xml:space="preserve"> PAGEREF _Toc3226006 \h </w:instrText>
        </w:r>
        <w:r w:rsidR="000E46C0">
          <w:rPr>
            <w:noProof/>
            <w:webHidden/>
          </w:rPr>
        </w:r>
        <w:r w:rsidR="000E46C0">
          <w:rPr>
            <w:noProof/>
            <w:webHidden/>
          </w:rPr>
          <w:fldChar w:fldCharType="separate"/>
        </w:r>
        <w:r w:rsidR="000E46C0">
          <w:rPr>
            <w:noProof/>
            <w:webHidden/>
          </w:rPr>
          <w:t>80</w:t>
        </w:r>
        <w:r w:rsidR="000E46C0">
          <w:rPr>
            <w:noProof/>
            <w:webHidden/>
          </w:rPr>
          <w:fldChar w:fldCharType="end"/>
        </w:r>
      </w:hyperlink>
    </w:p>
    <w:p w14:paraId="493622F5" w14:textId="4DF95CBE"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7" w:history="1">
        <w:r w:rsidR="000E46C0" w:rsidRPr="001650DB">
          <w:rPr>
            <w:rStyle w:val="Hyperlink"/>
            <w:noProof/>
          </w:rPr>
          <w:t>Figure 11: Workflow for Sporadic/LRRK2 PD analysis</w:t>
        </w:r>
        <w:r w:rsidR="000E46C0">
          <w:rPr>
            <w:noProof/>
            <w:webHidden/>
          </w:rPr>
          <w:tab/>
        </w:r>
        <w:r w:rsidR="000E46C0">
          <w:rPr>
            <w:noProof/>
            <w:webHidden/>
          </w:rPr>
          <w:fldChar w:fldCharType="begin"/>
        </w:r>
        <w:r w:rsidR="000E46C0">
          <w:rPr>
            <w:noProof/>
            <w:webHidden/>
          </w:rPr>
          <w:instrText xml:space="preserve"> PAGEREF _Toc3226007 \h </w:instrText>
        </w:r>
        <w:r w:rsidR="000E46C0">
          <w:rPr>
            <w:noProof/>
            <w:webHidden/>
          </w:rPr>
        </w:r>
        <w:r w:rsidR="000E46C0">
          <w:rPr>
            <w:noProof/>
            <w:webHidden/>
          </w:rPr>
          <w:fldChar w:fldCharType="separate"/>
        </w:r>
        <w:r w:rsidR="000E46C0">
          <w:rPr>
            <w:noProof/>
            <w:webHidden/>
          </w:rPr>
          <w:t>93</w:t>
        </w:r>
        <w:r w:rsidR="000E46C0">
          <w:rPr>
            <w:noProof/>
            <w:webHidden/>
          </w:rPr>
          <w:fldChar w:fldCharType="end"/>
        </w:r>
      </w:hyperlink>
    </w:p>
    <w:p w14:paraId="3CE7EBE4" w14:textId="2AA2FDC1"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08" w:history="1">
        <w:r w:rsidR="000E46C0" w:rsidRPr="001650DB">
          <w:rPr>
            <w:rStyle w:val="Hyperlink"/>
            <w:noProof/>
            <w:lang w:val="en-GB"/>
          </w:rPr>
          <w:t>Figure 12: Histograms of Spearman’s Rho values for each PD dataset.</w:t>
        </w:r>
        <w:r w:rsidR="000E46C0">
          <w:rPr>
            <w:noProof/>
            <w:webHidden/>
          </w:rPr>
          <w:tab/>
        </w:r>
        <w:r w:rsidR="000E46C0">
          <w:rPr>
            <w:noProof/>
            <w:webHidden/>
          </w:rPr>
          <w:fldChar w:fldCharType="begin"/>
        </w:r>
        <w:r w:rsidR="000E46C0">
          <w:rPr>
            <w:noProof/>
            <w:webHidden/>
          </w:rPr>
          <w:instrText xml:space="preserve"> PAGEREF _Toc3226008 \h </w:instrText>
        </w:r>
        <w:r w:rsidR="000E46C0">
          <w:rPr>
            <w:noProof/>
            <w:webHidden/>
          </w:rPr>
        </w:r>
        <w:r w:rsidR="000E46C0">
          <w:rPr>
            <w:noProof/>
            <w:webHidden/>
          </w:rPr>
          <w:fldChar w:fldCharType="separate"/>
        </w:r>
        <w:r w:rsidR="000E46C0">
          <w:rPr>
            <w:noProof/>
            <w:webHidden/>
          </w:rPr>
          <w:t>101</w:t>
        </w:r>
        <w:r w:rsidR="000E46C0">
          <w:rPr>
            <w:noProof/>
            <w:webHidden/>
          </w:rPr>
          <w:fldChar w:fldCharType="end"/>
        </w:r>
      </w:hyperlink>
    </w:p>
    <w:p w14:paraId="28517055" w14:textId="663A9D7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5" w:anchor="_Toc3226009" w:history="1">
        <w:r w:rsidR="000E46C0" w:rsidRPr="001650DB">
          <w:rPr>
            <w:rStyle w:val="Hyperlink"/>
            <w:noProof/>
          </w:rPr>
          <w:t>Figure 13: The PD common coexpression network</w:t>
        </w:r>
        <w:r w:rsidR="000E46C0">
          <w:rPr>
            <w:noProof/>
            <w:webHidden/>
          </w:rPr>
          <w:tab/>
        </w:r>
        <w:r w:rsidR="000E46C0">
          <w:rPr>
            <w:noProof/>
            <w:webHidden/>
          </w:rPr>
          <w:fldChar w:fldCharType="begin"/>
        </w:r>
        <w:r w:rsidR="000E46C0">
          <w:rPr>
            <w:noProof/>
            <w:webHidden/>
          </w:rPr>
          <w:instrText xml:space="preserve"> PAGEREF _Toc3226009 \h </w:instrText>
        </w:r>
        <w:r w:rsidR="000E46C0">
          <w:rPr>
            <w:noProof/>
            <w:webHidden/>
          </w:rPr>
        </w:r>
        <w:r w:rsidR="000E46C0">
          <w:rPr>
            <w:noProof/>
            <w:webHidden/>
          </w:rPr>
          <w:fldChar w:fldCharType="separate"/>
        </w:r>
        <w:r w:rsidR="000E46C0">
          <w:rPr>
            <w:noProof/>
            <w:webHidden/>
          </w:rPr>
          <w:t>103</w:t>
        </w:r>
        <w:r w:rsidR="000E46C0">
          <w:rPr>
            <w:noProof/>
            <w:webHidden/>
          </w:rPr>
          <w:fldChar w:fldCharType="end"/>
        </w:r>
      </w:hyperlink>
    </w:p>
    <w:p w14:paraId="574F32F0" w14:textId="4264F6E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6" w:anchor="_Toc3226010" w:history="1">
        <w:r w:rsidR="000E46C0" w:rsidRPr="00625E52">
          <w:rPr>
            <w:rStyle w:val="Hyperlink"/>
            <w:noProof/>
          </w:rPr>
          <w:t>Figure 14:</w:t>
        </w:r>
        <w:r w:rsidR="000E46C0" w:rsidRPr="001650DB">
          <w:rPr>
            <w:rStyle w:val="Hyperlink"/>
            <w:noProof/>
          </w:rPr>
          <w:t xml:space="preserve"> Protein-protein interaction network showing relationships between coexpression module proteins (blue) and PD Malacards proteins (green</w:t>
        </w:r>
        <w:r w:rsidR="00625E52">
          <w:rPr>
            <w:rStyle w:val="Hyperlink"/>
            <w:noProof/>
          </w:rPr>
          <w:t>)</w:t>
        </w:r>
        <w:r w:rsidR="000E46C0">
          <w:rPr>
            <w:noProof/>
            <w:webHidden/>
          </w:rPr>
          <w:tab/>
        </w:r>
        <w:r w:rsidR="000E46C0">
          <w:rPr>
            <w:noProof/>
            <w:webHidden/>
          </w:rPr>
          <w:fldChar w:fldCharType="begin"/>
        </w:r>
        <w:r w:rsidR="000E46C0">
          <w:rPr>
            <w:noProof/>
            <w:webHidden/>
          </w:rPr>
          <w:instrText xml:space="preserve"> PAGEREF _Toc3226010 \h </w:instrText>
        </w:r>
        <w:r w:rsidR="000E46C0">
          <w:rPr>
            <w:noProof/>
            <w:webHidden/>
          </w:rPr>
        </w:r>
        <w:r w:rsidR="000E46C0">
          <w:rPr>
            <w:noProof/>
            <w:webHidden/>
          </w:rPr>
          <w:fldChar w:fldCharType="separate"/>
        </w:r>
        <w:r w:rsidR="000E46C0">
          <w:rPr>
            <w:noProof/>
            <w:webHidden/>
          </w:rPr>
          <w:t>106</w:t>
        </w:r>
        <w:r w:rsidR="000E46C0">
          <w:rPr>
            <w:noProof/>
            <w:webHidden/>
          </w:rPr>
          <w:fldChar w:fldCharType="end"/>
        </w:r>
      </w:hyperlink>
    </w:p>
    <w:p w14:paraId="1461F4A9" w14:textId="773905D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1" w:history="1">
        <w:r w:rsidR="000E46C0" w:rsidRPr="001650DB">
          <w:rPr>
            <w:rStyle w:val="Hyperlink"/>
            <w:noProof/>
          </w:rPr>
          <w:t>Figure 15: Workflow for autoimmune arthritis analysis..</w:t>
        </w:r>
        <w:r w:rsidR="000E46C0">
          <w:rPr>
            <w:noProof/>
            <w:webHidden/>
          </w:rPr>
          <w:tab/>
        </w:r>
        <w:r w:rsidR="000E46C0">
          <w:rPr>
            <w:noProof/>
            <w:webHidden/>
          </w:rPr>
          <w:fldChar w:fldCharType="begin"/>
        </w:r>
        <w:r w:rsidR="000E46C0">
          <w:rPr>
            <w:noProof/>
            <w:webHidden/>
          </w:rPr>
          <w:instrText xml:space="preserve"> PAGEREF _Toc3226011 \h </w:instrText>
        </w:r>
        <w:r w:rsidR="000E46C0">
          <w:rPr>
            <w:noProof/>
            <w:webHidden/>
          </w:rPr>
        </w:r>
        <w:r w:rsidR="000E46C0">
          <w:rPr>
            <w:noProof/>
            <w:webHidden/>
          </w:rPr>
          <w:fldChar w:fldCharType="separate"/>
        </w:r>
        <w:r w:rsidR="000E46C0">
          <w:rPr>
            <w:noProof/>
            <w:webHidden/>
          </w:rPr>
          <w:t>123</w:t>
        </w:r>
        <w:r w:rsidR="000E46C0">
          <w:rPr>
            <w:noProof/>
            <w:webHidden/>
          </w:rPr>
          <w:fldChar w:fldCharType="end"/>
        </w:r>
      </w:hyperlink>
    </w:p>
    <w:p w14:paraId="0CF3B836" w14:textId="42B2CB70"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2" w:history="1">
        <w:r w:rsidR="000E46C0" w:rsidRPr="001650DB">
          <w:rPr>
            <w:rStyle w:val="Hyperlink"/>
            <w:noProof/>
            <w:lang w:val="en-GB"/>
          </w:rPr>
          <w:t>Figure 16: Histograms of the Spearman’s Rho values in each autoimmune arthritis dataset</w:t>
        </w:r>
        <w:r w:rsidR="000E46C0">
          <w:rPr>
            <w:noProof/>
            <w:webHidden/>
          </w:rPr>
          <w:tab/>
        </w:r>
        <w:r w:rsidR="000E46C0">
          <w:rPr>
            <w:noProof/>
            <w:webHidden/>
          </w:rPr>
          <w:fldChar w:fldCharType="begin"/>
        </w:r>
        <w:r w:rsidR="000E46C0">
          <w:rPr>
            <w:noProof/>
            <w:webHidden/>
          </w:rPr>
          <w:instrText xml:space="preserve"> PAGEREF _Toc3226012 \h </w:instrText>
        </w:r>
        <w:r w:rsidR="000E46C0">
          <w:rPr>
            <w:noProof/>
            <w:webHidden/>
          </w:rPr>
        </w:r>
        <w:r w:rsidR="000E46C0">
          <w:rPr>
            <w:noProof/>
            <w:webHidden/>
          </w:rPr>
          <w:fldChar w:fldCharType="separate"/>
        </w:r>
        <w:r w:rsidR="000E46C0">
          <w:rPr>
            <w:noProof/>
            <w:webHidden/>
          </w:rPr>
          <w:t>131</w:t>
        </w:r>
        <w:r w:rsidR="000E46C0">
          <w:rPr>
            <w:noProof/>
            <w:webHidden/>
          </w:rPr>
          <w:fldChar w:fldCharType="end"/>
        </w:r>
      </w:hyperlink>
    </w:p>
    <w:p w14:paraId="7CEEA7A9" w14:textId="38FFDA3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3" w:history="1">
        <w:r w:rsidR="000E46C0" w:rsidRPr="001650DB">
          <w:rPr>
            <w:rStyle w:val="Hyperlink"/>
            <w:noProof/>
            <w:lang w:val="en-GB"/>
          </w:rPr>
          <w:t>Figure 17: Histograms of each autoimmune arthritis dataset for correlation above an absolute value of 0.55</w:t>
        </w:r>
        <w:r w:rsidR="000E46C0">
          <w:rPr>
            <w:noProof/>
            <w:webHidden/>
          </w:rPr>
          <w:tab/>
        </w:r>
        <w:r w:rsidR="000E46C0">
          <w:rPr>
            <w:noProof/>
            <w:webHidden/>
          </w:rPr>
          <w:fldChar w:fldCharType="begin"/>
        </w:r>
        <w:r w:rsidR="000E46C0">
          <w:rPr>
            <w:noProof/>
            <w:webHidden/>
          </w:rPr>
          <w:instrText xml:space="preserve"> PAGEREF _Toc3226013 \h </w:instrText>
        </w:r>
        <w:r w:rsidR="000E46C0">
          <w:rPr>
            <w:noProof/>
            <w:webHidden/>
          </w:rPr>
        </w:r>
        <w:r w:rsidR="000E46C0">
          <w:rPr>
            <w:noProof/>
            <w:webHidden/>
          </w:rPr>
          <w:fldChar w:fldCharType="separate"/>
        </w:r>
        <w:r w:rsidR="000E46C0">
          <w:rPr>
            <w:noProof/>
            <w:webHidden/>
          </w:rPr>
          <w:t>132</w:t>
        </w:r>
        <w:r w:rsidR="000E46C0">
          <w:rPr>
            <w:noProof/>
            <w:webHidden/>
          </w:rPr>
          <w:fldChar w:fldCharType="end"/>
        </w:r>
      </w:hyperlink>
    </w:p>
    <w:p w14:paraId="6AA2F980" w14:textId="7664BDF2"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4" w:history="1">
        <w:r w:rsidR="000E46C0" w:rsidRPr="001650DB">
          <w:rPr>
            <w:rStyle w:val="Hyperlink"/>
            <w:noProof/>
            <w:lang w:val="en-GB"/>
          </w:rPr>
          <w:t>Figure 18: The common coexpression module for autoimmune arthritis.</w:t>
        </w:r>
        <w:r w:rsidR="000E46C0">
          <w:rPr>
            <w:noProof/>
            <w:webHidden/>
          </w:rPr>
          <w:tab/>
        </w:r>
        <w:r w:rsidR="000E46C0">
          <w:rPr>
            <w:noProof/>
            <w:webHidden/>
          </w:rPr>
          <w:fldChar w:fldCharType="begin"/>
        </w:r>
        <w:r w:rsidR="000E46C0">
          <w:rPr>
            <w:noProof/>
            <w:webHidden/>
          </w:rPr>
          <w:instrText xml:space="preserve"> PAGEREF _Toc3226014 \h </w:instrText>
        </w:r>
        <w:r w:rsidR="000E46C0">
          <w:rPr>
            <w:noProof/>
            <w:webHidden/>
          </w:rPr>
        </w:r>
        <w:r w:rsidR="000E46C0">
          <w:rPr>
            <w:noProof/>
            <w:webHidden/>
          </w:rPr>
          <w:fldChar w:fldCharType="separate"/>
        </w:r>
        <w:r w:rsidR="000E46C0">
          <w:rPr>
            <w:noProof/>
            <w:webHidden/>
          </w:rPr>
          <w:t>134</w:t>
        </w:r>
        <w:r w:rsidR="000E46C0">
          <w:rPr>
            <w:noProof/>
            <w:webHidden/>
          </w:rPr>
          <w:fldChar w:fldCharType="end"/>
        </w:r>
      </w:hyperlink>
    </w:p>
    <w:p w14:paraId="094A8E20" w14:textId="5B2DF23F"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5" w:history="1">
        <w:r w:rsidR="000E46C0" w:rsidRPr="001650DB">
          <w:rPr>
            <w:rStyle w:val="Hyperlink"/>
            <w:noProof/>
            <w:lang w:val="en-GB"/>
          </w:rPr>
          <w:t>Figure 19: Histogram of mean Spearman’s Rho values for autoimmune arthritis common coexpression module indicating a particularly low level of edges</w:t>
        </w:r>
        <w:r w:rsidR="000E46C0">
          <w:rPr>
            <w:noProof/>
            <w:webHidden/>
          </w:rPr>
          <w:tab/>
        </w:r>
        <w:r w:rsidR="000E46C0">
          <w:rPr>
            <w:noProof/>
            <w:webHidden/>
          </w:rPr>
          <w:fldChar w:fldCharType="begin"/>
        </w:r>
        <w:r w:rsidR="000E46C0">
          <w:rPr>
            <w:noProof/>
            <w:webHidden/>
          </w:rPr>
          <w:instrText xml:space="preserve"> PAGEREF _Toc3226015 \h </w:instrText>
        </w:r>
        <w:r w:rsidR="000E46C0">
          <w:rPr>
            <w:noProof/>
            <w:webHidden/>
          </w:rPr>
        </w:r>
        <w:r w:rsidR="000E46C0">
          <w:rPr>
            <w:noProof/>
            <w:webHidden/>
          </w:rPr>
          <w:fldChar w:fldCharType="separate"/>
        </w:r>
        <w:r w:rsidR="000E46C0">
          <w:rPr>
            <w:noProof/>
            <w:webHidden/>
          </w:rPr>
          <w:t>135</w:t>
        </w:r>
        <w:r w:rsidR="000E46C0">
          <w:rPr>
            <w:noProof/>
            <w:webHidden/>
          </w:rPr>
          <w:fldChar w:fldCharType="end"/>
        </w:r>
      </w:hyperlink>
    </w:p>
    <w:p w14:paraId="0C3B2750" w14:textId="3CC4DBE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6" w:history="1">
        <w:r w:rsidR="000E46C0" w:rsidRPr="001650DB">
          <w:rPr>
            <w:rStyle w:val="Hyperlink"/>
            <w:noProof/>
          </w:rPr>
          <w:t>Figure 20: A clustered heatmap for all PD datasets.</w:t>
        </w:r>
        <w:r w:rsidR="000E46C0">
          <w:rPr>
            <w:noProof/>
            <w:webHidden/>
          </w:rPr>
          <w:tab/>
        </w:r>
        <w:r w:rsidR="000E46C0">
          <w:rPr>
            <w:noProof/>
            <w:webHidden/>
          </w:rPr>
          <w:fldChar w:fldCharType="begin"/>
        </w:r>
        <w:r w:rsidR="000E46C0">
          <w:rPr>
            <w:noProof/>
            <w:webHidden/>
          </w:rPr>
          <w:instrText xml:space="preserve"> PAGEREF _Toc3226016 \h </w:instrText>
        </w:r>
        <w:r w:rsidR="000E46C0">
          <w:rPr>
            <w:noProof/>
            <w:webHidden/>
          </w:rPr>
        </w:r>
        <w:r w:rsidR="000E46C0">
          <w:rPr>
            <w:noProof/>
            <w:webHidden/>
          </w:rPr>
          <w:fldChar w:fldCharType="separate"/>
        </w:r>
        <w:r w:rsidR="000E46C0">
          <w:rPr>
            <w:noProof/>
            <w:webHidden/>
          </w:rPr>
          <w:t>150</w:t>
        </w:r>
        <w:r w:rsidR="000E46C0">
          <w:rPr>
            <w:noProof/>
            <w:webHidden/>
          </w:rPr>
          <w:fldChar w:fldCharType="end"/>
        </w:r>
      </w:hyperlink>
    </w:p>
    <w:p w14:paraId="545FD8B1" w14:textId="1C8645C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7" w:history="1">
        <w:r w:rsidR="000E46C0" w:rsidRPr="001650DB">
          <w:rPr>
            <w:rStyle w:val="Hyperlink"/>
            <w:noProof/>
          </w:rPr>
          <w:t>Figure 21: Dendrogram of datasets clustered based on up- or down-regulation of genes.</w:t>
        </w:r>
        <w:r w:rsidR="000E46C0">
          <w:rPr>
            <w:noProof/>
            <w:webHidden/>
          </w:rPr>
          <w:tab/>
        </w:r>
        <w:r w:rsidR="000E46C0">
          <w:rPr>
            <w:noProof/>
            <w:webHidden/>
          </w:rPr>
          <w:fldChar w:fldCharType="begin"/>
        </w:r>
        <w:r w:rsidR="000E46C0">
          <w:rPr>
            <w:noProof/>
            <w:webHidden/>
          </w:rPr>
          <w:instrText xml:space="preserve"> PAGEREF _Toc3226017 \h </w:instrText>
        </w:r>
        <w:r w:rsidR="000E46C0">
          <w:rPr>
            <w:noProof/>
            <w:webHidden/>
          </w:rPr>
        </w:r>
        <w:r w:rsidR="000E46C0">
          <w:rPr>
            <w:noProof/>
            <w:webHidden/>
          </w:rPr>
          <w:fldChar w:fldCharType="separate"/>
        </w:r>
        <w:r w:rsidR="000E46C0">
          <w:rPr>
            <w:noProof/>
            <w:webHidden/>
          </w:rPr>
          <w:t>151</w:t>
        </w:r>
        <w:r w:rsidR="000E46C0">
          <w:rPr>
            <w:noProof/>
            <w:webHidden/>
          </w:rPr>
          <w:fldChar w:fldCharType="end"/>
        </w:r>
      </w:hyperlink>
    </w:p>
    <w:p w14:paraId="7C08D3B7" w14:textId="5E32E64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8" w:history="1">
        <w:r w:rsidR="000E46C0" w:rsidRPr="001650DB">
          <w:rPr>
            <w:rStyle w:val="Hyperlink"/>
            <w:noProof/>
          </w:rPr>
          <w:t>Figure 22: Plots indicating minimum and maximum numbers of input datasets</w:t>
        </w:r>
        <w:r w:rsidR="000E46C0">
          <w:rPr>
            <w:noProof/>
            <w:webHidden/>
          </w:rPr>
          <w:tab/>
        </w:r>
        <w:r w:rsidR="000E46C0">
          <w:rPr>
            <w:noProof/>
            <w:webHidden/>
          </w:rPr>
          <w:fldChar w:fldCharType="begin"/>
        </w:r>
        <w:r w:rsidR="000E46C0">
          <w:rPr>
            <w:noProof/>
            <w:webHidden/>
          </w:rPr>
          <w:instrText xml:space="preserve"> PAGEREF _Toc3226018 \h </w:instrText>
        </w:r>
        <w:r w:rsidR="000E46C0">
          <w:rPr>
            <w:noProof/>
            <w:webHidden/>
          </w:rPr>
        </w:r>
        <w:r w:rsidR="000E46C0">
          <w:rPr>
            <w:noProof/>
            <w:webHidden/>
          </w:rPr>
          <w:fldChar w:fldCharType="separate"/>
        </w:r>
        <w:r w:rsidR="000E46C0">
          <w:rPr>
            <w:noProof/>
            <w:webHidden/>
          </w:rPr>
          <w:t>154</w:t>
        </w:r>
        <w:r w:rsidR="000E46C0">
          <w:rPr>
            <w:noProof/>
            <w:webHidden/>
          </w:rPr>
          <w:fldChar w:fldCharType="end"/>
        </w:r>
      </w:hyperlink>
    </w:p>
    <w:p w14:paraId="79AF1661" w14:textId="4E2D6D2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19" w:history="1">
        <w:r w:rsidR="000E46C0" w:rsidRPr="001650DB">
          <w:rPr>
            <w:rStyle w:val="Hyperlink"/>
            <w:noProof/>
          </w:rPr>
          <w:t>Figure 23: Boxplots of Log2 Fold Change for common DEGs across datasets</w:t>
        </w:r>
        <w:r w:rsidR="000E46C0">
          <w:rPr>
            <w:noProof/>
            <w:webHidden/>
          </w:rPr>
          <w:tab/>
        </w:r>
        <w:r w:rsidR="000E46C0">
          <w:rPr>
            <w:noProof/>
            <w:webHidden/>
          </w:rPr>
          <w:fldChar w:fldCharType="begin"/>
        </w:r>
        <w:r w:rsidR="000E46C0">
          <w:rPr>
            <w:noProof/>
            <w:webHidden/>
          </w:rPr>
          <w:instrText xml:space="preserve"> PAGEREF _Toc3226019 \h </w:instrText>
        </w:r>
        <w:r w:rsidR="000E46C0">
          <w:rPr>
            <w:noProof/>
            <w:webHidden/>
          </w:rPr>
        </w:r>
        <w:r w:rsidR="000E46C0">
          <w:rPr>
            <w:noProof/>
            <w:webHidden/>
          </w:rPr>
          <w:fldChar w:fldCharType="separate"/>
        </w:r>
        <w:r w:rsidR="000E46C0">
          <w:rPr>
            <w:noProof/>
            <w:webHidden/>
          </w:rPr>
          <w:t>156</w:t>
        </w:r>
        <w:r w:rsidR="000E46C0">
          <w:rPr>
            <w:noProof/>
            <w:webHidden/>
          </w:rPr>
          <w:fldChar w:fldCharType="end"/>
        </w:r>
      </w:hyperlink>
    </w:p>
    <w:p w14:paraId="4CFA6DAA" w14:textId="26B89A85"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0" w:history="1">
        <w:r w:rsidR="000E46C0" w:rsidRPr="001650DB">
          <w:rPr>
            <w:rStyle w:val="Hyperlink"/>
            <w:noProof/>
            <w:lang w:val="en-GB"/>
          </w:rPr>
          <w:t>Figure 24: A Venn diagram depicting the overlap between protein-protein interaction networks in each application</w:t>
        </w:r>
        <w:r w:rsidR="000E46C0">
          <w:rPr>
            <w:noProof/>
            <w:webHidden/>
          </w:rPr>
          <w:tab/>
        </w:r>
        <w:r w:rsidR="000E46C0">
          <w:rPr>
            <w:noProof/>
            <w:webHidden/>
          </w:rPr>
          <w:fldChar w:fldCharType="begin"/>
        </w:r>
        <w:r w:rsidR="000E46C0">
          <w:rPr>
            <w:noProof/>
            <w:webHidden/>
          </w:rPr>
          <w:instrText xml:space="preserve"> PAGEREF _Toc3226020 \h </w:instrText>
        </w:r>
        <w:r w:rsidR="000E46C0">
          <w:rPr>
            <w:noProof/>
            <w:webHidden/>
          </w:rPr>
        </w:r>
        <w:r w:rsidR="000E46C0">
          <w:rPr>
            <w:noProof/>
            <w:webHidden/>
          </w:rPr>
          <w:fldChar w:fldCharType="separate"/>
        </w:r>
        <w:r w:rsidR="000E46C0">
          <w:rPr>
            <w:noProof/>
            <w:webHidden/>
          </w:rPr>
          <w:t>158</w:t>
        </w:r>
        <w:r w:rsidR="000E46C0">
          <w:rPr>
            <w:noProof/>
            <w:webHidden/>
          </w:rPr>
          <w:fldChar w:fldCharType="end"/>
        </w:r>
      </w:hyperlink>
    </w:p>
    <w:p w14:paraId="3E4DF849" w14:textId="14C1E6B9"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1" w:history="1">
        <w:r w:rsidR="000E46C0" w:rsidRPr="001650DB">
          <w:rPr>
            <w:rStyle w:val="Hyperlink"/>
            <w:noProof/>
            <w:lang w:val="en-GB"/>
          </w:rPr>
          <w:t>Figure 25: A Venn diagram depicting the overlap between common coexpression module members in each application</w:t>
        </w:r>
        <w:r w:rsidR="000E46C0">
          <w:rPr>
            <w:noProof/>
            <w:webHidden/>
          </w:rPr>
          <w:tab/>
        </w:r>
        <w:r w:rsidR="000E46C0">
          <w:rPr>
            <w:noProof/>
            <w:webHidden/>
          </w:rPr>
          <w:fldChar w:fldCharType="begin"/>
        </w:r>
        <w:r w:rsidR="000E46C0">
          <w:rPr>
            <w:noProof/>
            <w:webHidden/>
          </w:rPr>
          <w:instrText xml:space="preserve"> PAGEREF _Toc3226021 \h </w:instrText>
        </w:r>
        <w:r w:rsidR="000E46C0">
          <w:rPr>
            <w:noProof/>
            <w:webHidden/>
          </w:rPr>
        </w:r>
        <w:r w:rsidR="000E46C0">
          <w:rPr>
            <w:noProof/>
            <w:webHidden/>
          </w:rPr>
          <w:fldChar w:fldCharType="separate"/>
        </w:r>
        <w:r w:rsidR="000E46C0">
          <w:rPr>
            <w:noProof/>
            <w:webHidden/>
          </w:rPr>
          <w:t>158</w:t>
        </w:r>
        <w:r w:rsidR="000E46C0">
          <w:rPr>
            <w:noProof/>
            <w:webHidden/>
          </w:rPr>
          <w:fldChar w:fldCharType="end"/>
        </w:r>
      </w:hyperlink>
    </w:p>
    <w:p w14:paraId="49F8D137" w14:textId="188ABD4B" w:rsidR="00F72F37" w:rsidRPr="0082680A" w:rsidRDefault="00982A37" w:rsidP="00F72F37">
      <w:pPr>
        <w:rPr>
          <w:lang w:val="en-GB"/>
        </w:rPr>
      </w:pPr>
      <w:r w:rsidRPr="0082680A">
        <w:rPr>
          <w:rFonts w:eastAsia="Arial"/>
          <w:lang w:val="en-GB"/>
        </w:rPr>
        <w:fldChar w:fldCharType="end"/>
      </w:r>
    </w:p>
    <w:p w14:paraId="531F43A6" w14:textId="77777777" w:rsidR="000E46C0" w:rsidRDefault="00F72F37" w:rsidP="00F72F37">
      <w:pPr>
        <w:rPr>
          <w:noProof/>
        </w:rPr>
      </w:pPr>
      <w:r w:rsidRPr="0082680A">
        <w:rPr>
          <w:b/>
          <w:lang w:val="en-GB"/>
        </w:rPr>
        <w:lastRenderedPageBreak/>
        <w:t>Appendix</w:t>
      </w:r>
      <w:r w:rsidRPr="0082680A">
        <w:rPr>
          <w:b/>
          <w:lang w:val="en-GB"/>
        </w:rPr>
        <w:fldChar w:fldCharType="begin"/>
      </w:r>
      <w:r w:rsidRPr="0082680A">
        <w:rPr>
          <w:b/>
          <w:lang w:val="en-GB"/>
        </w:rPr>
        <w:instrText xml:space="preserve"> TOC \h \z \c "Appendix Figure" </w:instrText>
      </w:r>
      <w:r w:rsidRPr="0082680A">
        <w:rPr>
          <w:b/>
          <w:lang w:val="en-GB"/>
        </w:rPr>
        <w:fldChar w:fldCharType="separate"/>
      </w:r>
    </w:p>
    <w:p w14:paraId="717307B3" w14:textId="75C14BC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2" w:history="1">
        <w:r w:rsidR="000E46C0" w:rsidRPr="00090289">
          <w:rPr>
            <w:rStyle w:val="Hyperlink"/>
            <w:noProof/>
            <w:lang w:val="en-GB"/>
          </w:rPr>
          <w:t>Appendix Figure 1: Quality control results for GSE68605</w:t>
        </w:r>
        <w:r w:rsidR="000E46C0">
          <w:rPr>
            <w:noProof/>
            <w:webHidden/>
          </w:rPr>
          <w:tab/>
        </w:r>
        <w:r w:rsidR="000E46C0">
          <w:rPr>
            <w:noProof/>
            <w:webHidden/>
          </w:rPr>
          <w:fldChar w:fldCharType="begin"/>
        </w:r>
        <w:r w:rsidR="000E46C0">
          <w:rPr>
            <w:noProof/>
            <w:webHidden/>
          </w:rPr>
          <w:instrText xml:space="preserve"> PAGEREF _Toc3226022 \h </w:instrText>
        </w:r>
        <w:r w:rsidR="000E46C0">
          <w:rPr>
            <w:noProof/>
            <w:webHidden/>
          </w:rPr>
        </w:r>
        <w:r w:rsidR="000E46C0">
          <w:rPr>
            <w:noProof/>
            <w:webHidden/>
          </w:rPr>
          <w:fldChar w:fldCharType="separate"/>
        </w:r>
        <w:r w:rsidR="000E46C0">
          <w:rPr>
            <w:noProof/>
            <w:webHidden/>
          </w:rPr>
          <w:t>169</w:t>
        </w:r>
        <w:r w:rsidR="000E46C0">
          <w:rPr>
            <w:noProof/>
            <w:webHidden/>
          </w:rPr>
          <w:fldChar w:fldCharType="end"/>
        </w:r>
      </w:hyperlink>
    </w:p>
    <w:p w14:paraId="64FB5A68" w14:textId="36C783E1"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3" w:history="1">
        <w:r w:rsidR="000E46C0" w:rsidRPr="00090289">
          <w:rPr>
            <w:rStyle w:val="Hyperlink"/>
            <w:noProof/>
            <w:lang w:val="en-GB"/>
          </w:rPr>
          <w:t>Appendix Figure 2: Quality control for GSE13162.</w:t>
        </w:r>
        <w:r w:rsidR="000E46C0">
          <w:rPr>
            <w:noProof/>
            <w:webHidden/>
          </w:rPr>
          <w:tab/>
        </w:r>
        <w:r w:rsidR="000E46C0">
          <w:rPr>
            <w:noProof/>
            <w:webHidden/>
          </w:rPr>
          <w:fldChar w:fldCharType="begin"/>
        </w:r>
        <w:r w:rsidR="000E46C0">
          <w:rPr>
            <w:noProof/>
            <w:webHidden/>
          </w:rPr>
          <w:instrText xml:space="preserve"> PAGEREF _Toc3226023 \h </w:instrText>
        </w:r>
        <w:r w:rsidR="000E46C0">
          <w:rPr>
            <w:noProof/>
            <w:webHidden/>
          </w:rPr>
        </w:r>
        <w:r w:rsidR="000E46C0">
          <w:rPr>
            <w:noProof/>
            <w:webHidden/>
          </w:rPr>
          <w:fldChar w:fldCharType="separate"/>
        </w:r>
        <w:r w:rsidR="000E46C0">
          <w:rPr>
            <w:noProof/>
            <w:webHidden/>
          </w:rPr>
          <w:t>170</w:t>
        </w:r>
        <w:r w:rsidR="000E46C0">
          <w:rPr>
            <w:noProof/>
            <w:webHidden/>
          </w:rPr>
          <w:fldChar w:fldCharType="end"/>
        </w:r>
      </w:hyperlink>
    </w:p>
    <w:p w14:paraId="19C835B4" w14:textId="1EEFC77E"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4" w:history="1">
        <w:r w:rsidR="000E46C0" w:rsidRPr="00625E52">
          <w:rPr>
            <w:rStyle w:val="Hyperlink"/>
            <w:noProof/>
            <w:lang w:val="en-GB"/>
          </w:rPr>
          <w:t>Appendix Figure 3: Quality control results for GSE67196</w:t>
        </w:r>
        <w:r w:rsidR="000E46C0">
          <w:rPr>
            <w:noProof/>
            <w:webHidden/>
          </w:rPr>
          <w:tab/>
        </w:r>
        <w:r w:rsidR="000E46C0">
          <w:rPr>
            <w:noProof/>
            <w:webHidden/>
          </w:rPr>
          <w:fldChar w:fldCharType="begin"/>
        </w:r>
        <w:r w:rsidR="000E46C0">
          <w:rPr>
            <w:noProof/>
            <w:webHidden/>
          </w:rPr>
          <w:instrText xml:space="preserve"> PAGEREF _Toc3226024 \h </w:instrText>
        </w:r>
        <w:r w:rsidR="000E46C0">
          <w:rPr>
            <w:noProof/>
            <w:webHidden/>
          </w:rPr>
        </w:r>
        <w:r w:rsidR="000E46C0">
          <w:rPr>
            <w:noProof/>
            <w:webHidden/>
          </w:rPr>
          <w:fldChar w:fldCharType="separate"/>
        </w:r>
        <w:r w:rsidR="000E46C0">
          <w:rPr>
            <w:noProof/>
            <w:webHidden/>
          </w:rPr>
          <w:t>171</w:t>
        </w:r>
        <w:r w:rsidR="000E46C0">
          <w:rPr>
            <w:noProof/>
            <w:webHidden/>
          </w:rPr>
          <w:fldChar w:fldCharType="end"/>
        </w:r>
      </w:hyperlink>
    </w:p>
    <w:p w14:paraId="30C0FFC7" w14:textId="559F2DC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5" w:history="1">
        <w:r w:rsidR="000E46C0" w:rsidRPr="00090289">
          <w:rPr>
            <w:rStyle w:val="Hyperlink"/>
            <w:noProof/>
            <w:lang w:val="en-GB"/>
          </w:rPr>
          <w:t>Appendix Figure 4: Quality control results for GSE6220.</w:t>
        </w:r>
        <w:r w:rsidR="000E46C0">
          <w:rPr>
            <w:noProof/>
            <w:webHidden/>
          </w:rPr>
          <w:tab/>
        </w:r>
        <w:r w:rsidR="000E46C0">
          <w:rPr>
            <w:noProof/>
            <w:webHidden/>
          </w:rPr>
          <w:fldChar w:fldCharType="begin"/>
        </w:r>
        <w:r w:rsidR="000E46C0">
          <w:rPr>
            <w:noProof/>
            <w:webHidden/>
          </w:rPr>
          <w:instrText xml:space="preserve"> PAGEREF _Toc3226025 \h </w:instrText>
        </w:r>
        <w:r w:rsidR="000E46C0">
          <w:rPr>
            <w:noProof/>
            <w:webHidden/>
          </w:rPr>
        </w:r>
        <w:r w:rsidR="000E46C0">
          <w:rPr>
            <w:noProof/>
            <w:webHidden/>
          </w:rPr>
          <w:fldChar w:fldCharType="separate"/>
        </w:r>
        <w:r w:rsidR="000E46C0">
          <w:rPr>
            <w:noProof/>
            <w:webHidden/>
          </w:rPr>
          <w:t>172</w:t>
        </w:r>
        <w:r w:rsidR="000E46C0">
          <w:rPr>
            <w:noProof/>
            <w:webHidden/>
          </w:rPr>
          <w:fldChar w:fldCharType="end"/>
        </w:r>
      </w:hyperlink>
    </w:p>
    <w:p w14:paraId="77213069" w14:textId="5087F5B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7" w:anchor="_Toc3226026" w:history="1">
        <w:r w:rsidR="000E46C0" w:rsidRPr="00090289">
          <w:rPr>
            <w:rStyle w:val="Hyperlink"/>
            <w:noProof/>
          </w:rPr>
          <w:t>Appendix Figure 5: Variance of each TDP-43 dataset before and after normalisation.</w:t>
        </w:r>
        <w:r w:rsidR="000E46C0">
          <w:rPr>
            <w:noProof/>
            <w:webHidden/>
          </w:rPr>
          <w:tab/>
        </w:r>
        <w:r w:rsidR="000E46C0">
          <w:rPr>
            <w:noProof/>
            <w:webHidden/>
          </w:rPr>
          <w:fldChar w:fldCharType="begin"/>
        </w:r>
        <w:r w:rsidR="000E46C0">
          <w:rPr>
            <w:noProof/>
            <w:webHidden/>
          </w:rPr>
          <w:instrText xml:space="preserve"> PAGEREF _Toc3226026 \h </w:instrText>
        </w:r>
        <w:r w:rsidR="000E46C0">
          <w:rPr>
            <w:noProof/>
            <w:webHidden/>
          </w:rPr>
        </w:r>
        <w:r w:rsidR="000E46C0">
          <w:rPr>
            <w:noProof/>
            <w:webHidden/>
          </w:rPr>
          <w:fldChar w:fldCharType="separate"/>
        </w:r>
        <w:r w:rsidR="000E46C0">
          <w:rPr>
            <w:noProof/>
            <w:webHidden/>
          </w:rPr>
          <w:t>173</w:t>
        </w:r>
        <w:r w:rsidR="000E46C0">
          <w:rPr>
            <w:noProof/>
            <w:webHidden/>
          </w:rPr>
          <w:fldChar w:fldCharType="end"/>
        </w:r>
      </w:hyperlink>
    </w:p>
    <w:p w14:paraId="4F4B120C" w14:textId="31048BCE"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7" w:history="1">
        <w:r w:rsidR="000E46C0" w:rsidRPr="00090289">
          <w:rPr>
            <w:rStyle w:val="Hyperlink"/>
            <w:noProof/>
          </w:rPr>
          <w:t>Appendix Figure 6</w:t>
        </w:r>
        <w:r w:rsidR="000E46C0" w:rsidRPr="00090289">
          <w:rPr>
            <w:rStyle w:val="Hyperlink"/>
            <w:noProof/>
            <w:lang w:val="en-GB"/>
          </w:rPr>
          <w:t>: Quality control results for GSE49036</w:t>
        </w:r>
        <w:r w:rsidR="000E46C0">
          <w:rPr>
            <w:noProof/>
            <w:webHidden/>
          </w:rPr>
          <w:tab/>
        </w:r>
        <w:r w:rsidR="000E46C0">
          <w:rPr>
            <w:noProof/>
            <w:webHidden/>
          </w:rPr>
          <w:fldChar w:fldCharType="begin"/>
        </w:r>
        <w:r w:rsidR="000E46C0">
          <w:rPr>
            <w:noProof/>
            <w:webHidden/>
          </w:rPr>
          <w:instrText xml:space="preserve"> PAGEREF _Toc3226027 \h </w:instrText>
        </w:r>
        <w:r w:rsidR="000E46C0">
          <w:rPr>
            <w:noProof/>
            <w:webHidden/>
          </w:rPr>
        </w:r>
        <w:r w:rsidR="000E46C0">
          <w:rPr>
            <w:noProof/>
            <w:webHidden/>
          </w:rPr>
          <w:fldChar w:fldCharType="separate"/>
        </w:r>
        <w:r w:rsidR="000E46C0">
          <w:rPr>
            <w:noProof/>
            <w:webHidden/>
          </w:rPr>
          <w:t>182</w:t>
        </w:r>
        <w:r w:rsidR="000E46C0">
          <w:rPr>
            <w:noProof/>
            <w:webHidden/>
          </w:rPr>
          <w:fldChar w:fldCharType="end"/>
        </w:r>
      </w:hyperlink>
    </w:p>
    <w:p w14:paraId="0E003167" w14:textId="0ED1BE48"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8" w:history="1">
        <w:r w:rsidR="000E46C0" w:rsidRPr="00090289">
          <w:rPr>
            <w:rStyle w:val="Hyperlink"/>
            <w:noProof/>
            <w:lang w:val="en-GB"/>
          </w:rPr>
          <w:t>Appendix Figure 7: Quality control results for GSE7621</w:t>
        </w:r>
        <w:r w:rsidR="000E46C0">
          <w:rPr>
            <w:noProof/>
            <w:webHidden/>
          </w:rPr>
          <w:tab/>
        </w:r>
        <w:r w:rsidR="000E46C0">
          <w:rPr>
            <w:noProof/>
            <w:webHidden/>
          </w:rPr>
          <w:fldChar w:fldCharType="begin"/>
        </w:r>
        <w:r w:rsidR="000E46C0">
          <w:rPr>
            <w:noProof/>
            <w:webHidden/>
          </w:rPr>
          <w:instrText xml:space="preserve"> PAGEREF _Toc3226028 \h </w:instrText>
        </w:r>
        <w:r w:rsidR="000E46C0">
          <w:rPr>
            <w:noProof/>
            <w:webHidden/>
          </w:rPr>
        </w:r>
        <w:r w:rsidR="000E46C0">
          <w:rPr>
            <w:noProof/>
            <w:webHidden/>
          </w:rPr>
          <w:fldChar w:fldCharType="separate"/>
        </w:r>
        <w:r w:rsidR="000E46C0">
          <w:rPr>
            <w:noProof/>
            <w:webHidden/>
          </w:rPr>
          <w:t>183</w:t>
        </w:r>
        <w:r w:rsidR="000E46C0">
          <w:rPr>
            <w:noProof/>
            <w:webHidden/>
          </w:rPr>
          <w:fldChar w:fldCharType="end"/>
        </w:r>
      </w:hyperlink>
    </w:p>
    <w:p w14:paraId="3873E421" w14:textId="6E18F3B9"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29" w:history="1">
        <w:r w:rsidR="000E46C0" w:rsidRPr="00090289">
          <w:rPr>
            <w:rStyle w:val="Hyperlink"/>
            <w:noProof/>
            <w:lang w:val="en-GB"/>
          </w:rPr>
          <w:t>Appendix Figure 8: Quality control results for GSE8397 (substantia nigra</w:t>
        </w:r>
        <w:r w:rsidR="00625E52">
          <w:rPr>
            <w:rStyle w:val="Hyperlink"/>
            <w:noProof/>
            <w:lang w:val="en-GB"/>
          </w:rPr>
          <w:t>)</w:t>
        </w:r>
        <w:r w:rsidR="000E46C0">
          <w:rPr>
            <w:noProof/>
            <w:webHidden/>
          </w:rPr>
          <w:tab/>
        </w:r>
        <w:r w:rsidR="000E46C0">
          <w:rPr>
            <w:noProof/>
            <w:webHidden/>
          </w:rPr>
          <w:fldChar w:fldCharType="begin"/>
        </w:r>
        <w:r w:rsidR="000E46C0">
          <w:rPr>
            <w:noProof/>
            <w:webHidden/>
          </w:rPr>
          <w:instrText xml:space="preserve"> PAGEREF _Toc3226029 \h </w:instrText>
        </w:r>
        <w:r w:rsidR="000E46C0">
          <w:rPr>
            <w:noProof/>
            <w:webHidden/>
          </w:rPr>
        </w:r>
        <w:r w:rsidR="000E46C0">
          <w:rPr>
            <w:noProof/>
            <w:webHidden/>
          </w:rPr>
          <w:fldChar w:fldCharType="separate"/>
        </w:r>
        <w:r w:rsidR="000E46C0">
          <w:rPr>
            <w:noProof/>
            <w:webHidden/>
          </w:rPr>
          <w:t>184</w:t>
        </w:r>
        <w:r w:rsidR="000E46C0">
          <w:rPr>
            <w:noProof/>
            <w:webHidden/>
          </w:rPr>
          <w:fldChar w:fldCharType="end"/>
        </w:r>
      </w:hyperlink>
    </w:p>
    <w:p w14:paraId="5103AA2B" w14:textId="79C04AEB"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0" w:history="1">
        <w:r w:rsidR="000E46C0" w:rsidRPr="00090289">
          <w:rPr>
            <w:rStyle w:val="Hyperlink"/>
            <w:noProof/>
            <w:lang w:val="en-GB"/>
          </w:rPr>
          <w:t>Appendix Figure 9: Quality control results for GSE20141</w:t>
        </w:r>
        <w:r w:rsidR="000E46C0">
          <w:rPr>
            <w:noProof/>
            <w:webHidden/>
          </w:rPr>
          <w:tab/>
        </w:r>
        <w:r w:rsidR="000E46C0">
          <w:rPr>
            <w:noProof/>
            <w:webHidden/>
          </w:rPr>
          <w:fldChar w:fldCharType="begin"/>
        </w:r>
        <w:r w:rsidR="000E46C0">
          <w:rPr>
            <w:noProof/>
            <w:webHidden/>
          </w:rPr>
          <w:instrText xml:space="preserve"> PAGEREF _Toc3226030 \h </w:instrText>
        </w:r>
        <w:r w:rsidR="000E46C0">
          <w:rPr>
            <w:noProof/>
            <w:webHidden/>
          </w:rPr>
        </w:r>
        <w:r w:rsidR="000E46C0">
          <w:rPr>
            <w:noProof/>
            <w:webHidden/>
          </w:rPr>
          <w:fldChar w:fldCharType="separate"/>
        </w:r>
        <w:r w:rsidR="000E46C0">
          <w:rPr>
            <w:noProof/>
            <w:webHidden/>
          </w:rPr>
          <w:t>185</w:t>
        </w:r>
        <w:r w:rsidR="000E46C0">
          <w:rPr>
            <w:noProof/>
            <w:webHidden/>
          </w:rPr>
          <w:fldChar w:fldCharType="end"/>
        </w:r>
      </w:hyperlink>
    </w:p>
    <w:p w14:paraId="14A407D8" w14:textId="791AC46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1" w:history="1">
        <w:r w:rsidR="000E46C0" w:rsidRPr="00090289">
          <w:rPr>
            <w:rStyle w:val="Hyperlink"/>
            <w:noProof/>
            <w:lang w:val="en-GB"/>
          </w:rPr>
          <w:t>Appendix Figure 10: Quality control results for GSE20292</w:t>
        </w:r>
        <w:r w:rsidR="000E46C0">
          <w:rPr>
            <w:noProof/>
            <w:webHidden/>
          </w:rPr>
          <w:tab/>
        </w:r>
        <w:r w:rsidR="000E46C0">
          <w:rPr>
            <w:noProof/>
            <w:webHidden/>
          </w:rPr>
          <w:fldChar w:fldCharType="begin"/>
        </w:r>
        <w:r w:rsidR="000E46C0">
          <w:rPr>
            <w:noProof/>
            <w:webHidden/>
          </w:rPr>
          <w:instrText xml:space="preserve"> PAGEREF _Toc3226031 \h </w:instrText>
        </w:r>
        <w:r w:rsidR="000E46C0">
          <w:rPr>
            <w:noProof/>
            <w:webHidden/>
          </w:rPr>
        </w:r>
        <w:r w:rsidR="000E46C0">
          <w:rPr>
            <w:noProof/>
            <w:webHidden/>
          </w:rPr>
          <w:fldChar w:fldCharType="separate"/>
        </w:r>
        <w:r w:rsidR="000E46C0">
          <w:rPr>
            <w:noProof/>
            <w:webHidden/>
          </w:rPr>
          <w:t>186</w:t>
        </w:r>
        <w:r w:rsidR="000E46C0">
          <w:rPr>
            <w:noProof/>
            <w:webHidden/>
          </w:rPr>
          <w:fldChar w:fldCharType="end"/>
        </w:r>
      </w:hyperlink>
    </w:p>
    <w:p w14:paraId="73CDA33C" w14:textId="32A4A369"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2" w:history="1">
        <w:r w:rsidR="000E46C0" w:rsidRPr="00090289">
          <w:rPr>
            <w:rStyle w:val="Hyperlink"/>
            <w:noProof/>
            <w:lang w:val="en-GB"/>
          </w:rPr>
          <w:t>Appendix Figure 11: Quality control results for GSE68719</w:t>
        </w:r>
        <w:r w:rsidR="000E46C0">
          <w:rPr>
            <w:noProof/>
            <w:webHidden/>
          </w:rPr>
          <w:tab/>
        </w:r>
        <w:r w:rsidR="000E46C0">
          <w:rPr>
            <w:noProof/>
            <w:webHidden/>
          </w:rPr>
          <w:fldChar w:fldCharType="begin"/>
        </w:r>
        <w:r w:rsidR="000E46C0">
          <w:rPr>
            <w:noProof/>
            <w:webHidden/>
          </w:rPr>
          <w:instrText xml:space="preserve"> PAGEREF _Toc3226032 \h </w:instrText>
        </w:r>
        <w:r w:rsidR="000E46C0">
          <w:rPr>
            <w:noProof/>
            <w:webHidden/>
          </w:rPr>
        </w:r>
        <w:r w:rsidR="000E46C0">
          <w:rPr>
            <w:noProof/>
            <w:webHidden/>
          </w:rPr>
          <w:fldChar w:fldCharType="separate"/>
        </w:r>
        <w:r w:rsidR="000E46C0">
          <w:rPr>
            <w:noProof/>
            <w:webHidden/>
          </w:rPr>
          <w:t>187</w:t>
        </w:r>
        <w:r w:rsidR="000E46C0">
          <w:rPr>
            <w:noProof/>
            <w:webHidden/>
          </w:rPr>
          <w:fldChar w:fldCharType="end"/>
        </w:r>
      </w:hyperlink>
    </w:p>
    <w:p w14:paraId="32FC36B9" w14:textId="0ECBCCCE"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3" w:history="1">
        <w:r w:rsidR="000E46C0" w:rsidRPr="00090289">
          <w:rPr>
            <w:rStyle w:val="Hyperlink"/>
            <w:noProof/>
            <w:lang w:val="en-GB"/>
          </w:rPr>
          <w:t>Appendix Figure 12: Quality control results for GSE20168</w:t>
        </w:r>
        <w:r w:rsidR="000E46C0">
          <w:rPr>
            <w:noProof/>
            <w:webHidden/>
          </w:rPr>
          <w:tab/>
        </w:r>
        <w:r w:rsidR="000E46C0">
          <w:rPr>
            <w:noProof/>
            <w:webHidden/>
          </w:rPr>
          <w:fldChar w:fldCharType="begin"/>
        </w:r>
        <w:r w:rsidR="000E46C0">
          <w:rPr>
            <w:noProof/>
            <w:webHidden/>
          </w:rPr>
          <w:instrText xml:space="preserve"> PAGEREF _Toc3226033 \h </w:instrText>
        </w:r>
        <w:r w:rsidR="000E46C0">
          <w:rPr>
            <w:noProof/>
            <w:webHidden/>
          </w:rPr>
        </w:r>
        <w:r w:rsidR="000E46C0">
          <w:rPr>
            <w:noProof/>
            <w:webHidden/>
          </w:rPr>
          <w:fldChar w:fldCharType="separate"/>
        </w:r>
        <w:r w:rsidR="000E46C0">
          <w:rPr>
            <w:noProof/>
            <w:webHidden/>
          </w:rPr>
          <w:t>188</w:t>
        </w:r>
        <w:r w:rsidR="000E46C0">
          <w:rPr>
            <w:noProof/>
            <w:webHidden/>
          </w:rPr>
          <w:fldChar w:fldCharType="end"/>
        </w:r>
      </w:hyperlink>
    </w:p>
    <w:p w14:paraId="10CC2FDA" w14:textId="516F6A95"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4" w:history="1">
        <w:r w:rsidR="000E46C0" w:rsidRPr="00090289">
          <w:rPr>
            <w:rStyle w:val="Hyperlink"/>
            <w:noProof/>
            <w:lang w:val="en-GB"/>
          </w:rPr>
          <w:t>Appendix Figure 13: Quality control results for GSE20291</w:t>
        </w:r>
        <w:r w:rsidR="000E46C0">
          <w:rPr>
            <w:noProof/>
            <w:webHidden/>
          </w:rPr>
          <w:tab/>
        </w:r>
        <w:r w:rsidR="000E46C0">
          <w:rPr>
            <w:noProof/>
            <w:webHidden/>
          </w:rPr>
          <w:fldChar w:fldCharType="begin"/>
        </w:r>
        <w:r w:rsidR="000E46C0">
          <w:rPr>
            <w:noProof/>
            <w:webHidden/>
          </w:rPr>
          <w:instrText xml:space="preserve"> PAGEREF _Toc3226034 \h </w:instrText>
        </w:r>
        <w:r w:rsidR="000E46C0">
          <w:rPr>
            <w:noProof/>
            <w:webHidden/>
          </w:rPr>
        </w:r>
        <w:r w:rsidR="000E46C0">
          <w:rPr>
            <w:noProof/>
            <w:webHidden/>
          </w:rPr>
          <w:fldChar w:fldCharType="separate"/>
        </w:r>
        <w:r w:rsidR="000E46C0">
          <w:rPr>
            <w:noProof/>
            <w:webHidden/>
          </w:rPr>
          <w:t>189</w:t>
        </w:r>
        <w:r w:rsidR="000E46C0">
          <w:rPr>
            <w:noProof/>
            <w:webHidden/>
          </w:rPr>
          <w:fldChar w:fldCharType="end"/>
        </w:r>
      </w:hyperlink>
    </w:p>
    <w:p w14:paraId="04546D1B" w14:textId="1006DA63"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8" w:anchor="_Toc3226035" w:history="1">
        <w:r w:rsidR="000E46C0" w:rsidRPr="00090289">
          <w:rPr>
            <w:rStyle w:val="Hyperlink"/>
            <w:noProof/>
          </w:rPr>
          <w:t>Appendix Figure 14: Variance of each Parkinson’s disease dataset before and after normalisation</w:t>
        </w:r>
        <w:r w:rsidR="000E46C0">
          <w:rPr>
            <w:noProof/>
            <w:webHidden/>
          </w:rPr>
          <w:tab/>
        </w:r>
        <w:r w:rsidR="000E46C0">
          <w:rPr>
            <w:noProof/>
            <w:webHidden/>
          </w:rPr>
          <w:fldChar w:fldCharType="begin"/>
        </w:r>
        <w:r w:rsidR="000E46C0">
          <w:rPr>
            <w:noProof/>
            <w:webHidden/>
          </w:rPr>
          <w:instrText xml:space="preserve"> PAGEREF _Toc3226035 \h </w:instrText>
        </w:r>
        <w:r w:rsidR="000E46C0">
          <w:rPr>
            <w:noProof/>
            <w:webHidden/>
          </w:rPr>
        </w:r>
        <w:r w:rsidR="000E46C0">
          <w:rPr>
            <w:noProof/>
            <w:webHidden/>
          </w:rPr>
          <w:fldChar w:fldCharType="separate"/>
        </w:r>
        <w:r w:rsidR="000E46C0">
          <w:rPr>
            <w:noProof/>
            <w:webHidden/>
          </w:rPr>
          <w:t>191</w:t>
        </w:r>
        <w:r w:rsidR="000E46C0">
          <w:rPr>
            <w:noProof/>
            <w:webHidden/>
          </w:rPr>
          <w:fldChar w:fldCharType="end"/>
        </w:r>
      </w:hyperlink>
    </w:p>
    <w:p w14:paraId="35EA4D0C" w14:textId="7164D9D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6" w:history="1">
        <w:r w:rsidR="000E46C0" w:rsidRPr="00090289">
          <w:rPr>
            <w:rStyle w:val="Hyperlink"/>
            <w:noProof/>
            <w:lang w:val="en-GB"/>
          </w:rPr>
          <w:t>Appendix Figure 15: Quality control results for GSE55457</w:t>
        </w:r>
        <w:r w:rsidR="000E46C0">
          <w:rPr>
            <w:noProof/>
            <w:webHidden/>
          </w:rPr>
          <w:tab/>
        </w:r>
        <w:r w:rsidR="000E46C0">
          <w:rPr>
            <w:noProof/>
            <w:webHidden/>
          </w:rPr>
          <w:fldChar w:fldCharType="begin"/>
        </w:r>
        <w:r w:rsidR="000E46C0">
          <w:rPr>
            <w:noProof/>
            <w:webHidden/>
          </w:rPr>
          <w:instrText xml:space="preserve"> PAGEREF _Toc3226036 \h </w:instrText>
        </w:r>
        <w:r w:rsidR="000E46C0">
          <w:rPr>
            <w:noProof/>
            <w:webHidden/>
          </w:rPr>
        </w:r>
        <w:r w:rsidR="000E46C0">
          <w:rPr>
            <w:noProof/>
            <w:webHidden/>
          </w:rPr>
          <w:fldChar w:fldCharType="separate"/>
        </w:r>
        <w:r w:rsidR="000E46C0">
          <w:rPr>
            <w:noProof/>
            <w:webHidden/>
          </w:rPr>
          <w:t>196</w:t>
        </w:r>
        <w:r w:rsidR="000E46C0">
          <w:rPr>
            <w:noProof/>
            <w:webHidden/>
          </w:rPr>
          <w:fldChar w:fldCharType="end"/>
        </w:r>
      </w:hyperlink>
    </w:p>
    <w:p w14:paraId="789A8D96" w14:textId="3F4DF166"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7" w:history="1">
        <w:r w:rsidR="000E46C0" w:rsidRPr="00090289">
          <w:rPr>
            <w:rStyle w:val="Hyperlink"/>
            <w:noProof/>
            <w:lang w:val="en-GB"/>
          </w:rPr>
          <w:t>Appendix Figure 16: Quality control results for GSE55235</w:t>
        </w:r>
        <w:r w:rsidR="000E46C0">
          <w:rPr>
            <w:noProof/>
            <w:webHidden/>
          </w:rPr>
          <w:tab/>
        </w:r>
        <w:r w:rsidR="000E46C0">
          <w:rPr>
            <w:noProof/>
            <w:webHidden/>
          </w:rPr>
          <w:fldChar w:fldCharType="begin"/>
        </w:r>
        <w:r w:rsidR="000E46C0">
          <w:rPr>
            <w:noProof/>
            <w:webHidden/>
          </w:rPr>
          <w:instrText xml:space="preserve"> PAGEREF _Toc3226037 \h </w:instrText>
        </w:r>
        <w:r w:rsidR="000E46C0">
          <w:rPr>
            <w:noProof/>
            <w:webHidden/>
          </w:rPr>
        </w:r>
        <w:r w:rsidR="000E46C0">
          <w:rPr>
            <w:noProof/>
            <w:webHidden/>
          </w:rPr>
          <w:fldChar w:fldCharType="separate"/>
        </w:r>
        <w:r w:rsidR="000E46C0">
          <w:rPr>
            <w:noProof/>
            <w:webHidden/>
          </w:rPr>
          <w:t>197</w:t>
        </w:r>
        <w:r w:rsidR="000E46C0">
          <w:rPr>
            <w:noProof/>
            <w:webHidden/>
          </w:rPr>
          <w:fldChar w:fldCharType="end"/>
        </w:r>
      </w:hyperlink>
    </w:p>
    <w:p w14:paraId="5C36B797" w14:textId="5A0BCC3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8" w:history="1">
        <w:r w:rsidR="000E46C0" w:rsidRPr="00090289">
          <w:rPr>
            <w:rStyle w:val="Hyperlink"/>
            <w:noProof/>
            <w:lang w:val="en-GB"/>
          </w:rPr>
          <w:t>Appendix Figure 17: Quality control results for GSE89408</w:t>
        </w:r>
        <w:r w:rsidR="000E46C0">
          <w:rPr>
            <w:noProof/>
            <w:webHidden/>
          </w:rPr>
          <w:tab/>
        </w:r>
        <w:r w:rsidR="000E46C0">
          <w:rPr>
            <w:noProof/>
            <w:webHidden/>
          </w:rPr>
          <w:fldChar w:fldCharType="begin"/>
        </w:r>
        <w:r w:rsidR="000E46C0">
          <w:rPr>
            <w:noProof/>
            <w:webHidden/>
          </w:rPr>
          <w:instrText xml:space="preserve"> PAGEREF _Toc3226038 \h </w:instrText>
        </w:r>
        <w:r w:rsidR="000E46C0">
          <w:rPr>
            <w:noProof/>
            <w:webHidden/>
          </w:rPr>
        </w:r>
        <w:r w:rsidR="000E46C0">
          <w:rPr>
            <w:noProof/>
            <w:webHidden/>
          </w:rPr>
          <w:fldChar w:fldCharType="separate"/>
        </w:r>
        <w:r w:rsidR="000E46C0">
          <w:rPr>
            <w:noProof/>
            <w:webHidden/>
          </w:rPr>
          <w:t>198</w:t>
        </w:r>
        <w:r w:rsidR="000E46C0">
          <w:rPr>
            <w:noProof/>
            <w:webHidden/>
          </w:rPr>
          <w:fldChar w:fldCharType="end"/>
        </w:r>
      </w:hyperlink>
    </w:p>
    <w:p w14:paraId="3A2DFEB0" w14:textId="3C446C6A"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w:anchor="_Toc3226039" w:history="1">
        <w:r w:rsidR="000E46C0" w:rsidRPr="00090289">
          <w:rPr>
            <w:rStyle w:val="Hyperlink"/>
            <w:noProof/>
            <w:lang w:val="en-GB"/>
          </w:rPr>
          <w:t>Appendix Figure 18: Quality control results for GSE77298</w:t>
        </w:r>
        <w:r w:rsidR="000E46C0">
          <w:rPr>
            <w:noProof/>
            <w:webHidden/>
          </w:rPr>
          <w:tab/>
        </w:r>
        <w:r w:rsidR="000E46C0">
          <w:rPr>
            <w:noProof/>
            <w:webHidden/>
          </w:rPr>
          <w:fldChar w:fldCharType="begin"/>
        </w:r>
        <w:r w:rsidR="000E46C0">
          <w:rPr>
            <w:noProof/>
            <w:webHidden/>
          </w:rPr>
          <w:instrText xml:space="preserve"> PAGEREF _Toc3226039 \h </w:instrText>
        </w:r>
        <w:r w:rsidR="000E46C0">
          <w:rPr>
            <w:noProof/>
            <w:webHidden/>
          </w:rPr>
        </w:r>
        <w:r w:rsidR="000E46C0">
          <w:rPr>
            <w:noProof/>
            <w:webHidden/>
          </w:rPr>
          <w:fldChar w:fldCharType="separate"/>
        </w:r>
        <w:r w:rsidR="000E46C0">
          <w:rPr>
            <w:noProof/>
            <w:webHidden/>
          </w:rPr>
          <w:t>199</w:t>
        </w:r>
        <w:r w:rsidR="000E46C0">
          <w:rPr>
            <w:noProof/>
            <w:webHidden/>
          </w:rPr>
          <w:fldChar w:fldCharType="end"/>
        </w:r>
      </w:hyperlink>
    </w:p>
    <w:p w14:paraId="11906FD2" w14:textId="045F2074" w:rsidR="000E46C0" w:rsidRDefault="00C2072C">
      <w:pPr>
        <w:pStyle w:val="TableofFigures"/>
        <w:tabs>
          <w:tab w:val="right" w:leader="dot" w:pos="8834"/>
        </w:tabs>
        <w:rPr>
          <w:rFonts w:asciiTheme="minorHAnsi" w:eastAsiaTheme="minorEastAsia" w:hAnsiTheme="minorHAnsi" w:cstheme="minorBidi"/>
          <w:noProof/>
          <w:sz w:val="24"/>
          <w:szCs w:val="24"/>
          <w:lang w:val="en-GB"/>
        </w:rPr>
      </w:pPr>
      <w:hyperlink r:id="rId19" w:anchor="_Toc3226040" w:history="1">
        <w:r w:rsidR="000E46C0" w:rsidRPr="00090289">
          <w:rPr>
            <w:rStyle w:val="Hyperlink"/>
            <w:noProof/>
          </w:rPr>
          <w:t>Appendix Figure 19: Variance of each autoimmune arthritis dataset before and after normalisation</w:t>
        </w:r>
        <w:r w:rsidR="000E46C0">
          <w:rPr>
            <w:noProof/>
            <w:webHidden/>
          </w:rPr>
          <w:tab/>
        </w:r>
        <w:r w:rsidR="000E46C0">
          <w:rPr>
            <w:noProof/>
            <w:webHidden/>
          </w:rPr>
          <w:fldChar w:fldCharType="begin"/>
        </w:r>
        <w:r w:rsidR="000E46C0">
          <w:rPr>
            <w:noProof/>
            <w:webHidden/>
          </w:rPr>
          <w:instrText xml:space="preserve"> PAGEREF _Toc3226040 \h </w:instrText>
        </w:r>
        <w:r w:rsidR="000E46C0">
          <w:rPr>
            <w:noProof/>
            <w:webHidden/>
          </w:rPr>
        </w:r>
        <w:r w:rsidR="000E46C0">
          <w:rPr>
            <w:noProof/>
            <w:webHidden/>
          </w:rPr>
          <w:fldChar w:fldCharType="separate"/>
        </w:r>
        <w:r w:rsidR="000E46C0">
          <w:rPr>
            <w:noProof/>
            <w:webHidden/>
          </w:rPr>
          <w:t>200</w:t>
        </w:r>
        <w:r w:rsidR="000E46C0">
          <w:rPr>
            <w:noProof/>
            <w:webHidden/>
          </w:rPr>
          <w:fldChar w:fldCharType="end"/>
        </w:r>
      </w:hyperlink>
    </w:p>
    <w:p w14:paraId="1FC2B880" w14:textId="15B1EE98" w:rsidR="0083316D" w:rsidRPr="000E46C0" w:rsidRDefault="00F72F37">
      <w:pPr>
        <w:rPr>
          <w:lang w:val="en-GB"/>
        </w:rPr>
      </w:pPr>
      <w:r w:rsidRPr="0082680A">
        <w:rPr>
          <w:lang w:val="en-GB"/>
        </w:rPr>
        <w:fldChar w:fldCharType="end"/>
      </w:r>
      <w:r w:rsidR="0083316D" w:rsidRPr="0082680A">
        <w:rPr>
          <w:rFonts w:ascii="Arial" w:hAnsi="Arial" w:cs="Arial"/>
          <w:sz w:val="44"/>
          <w:szCs w:val="44"/>
          <w:lang w:val="en-GB"/>
        </w:rPr>
        <w:br w:type="page"/>
      </w:r>
    </w:p>
    <w:p w14:paraId="0719BA33" w14:textId="06AFC26E" w:rsidR="00002735" w:rsidRPr="0082680A" w:rsidRDefault="00982E97" w:rsidP="00002735">
      <w:pPr>
        <w:rPr>
          <w:rFonts w:ascii="Arial" w:hAnsi="Arial" w:cs="Arial"/>
          <w:sz w:val="44"/>
          <w:szCs w:val="44"/>
          <w:lang w:val="en-GB"/>
        </w:rPr>
      </w:pPr>
      <w:r w:rsidRPr="0082680A">
        <w:rPr>
          <w:rFonts w:ascii="Arial" w:hAnsi="Arial" w:cs="Arial"/>
          <w:sz w:val="44"/>
          <w:szCs w:val="44"/>
          <w:lang w:val="en-GB"/>
        </w:rPr>
        <w:lastRenderedPageBreak/>
        <w:t>Table</w:t>
      </w:r>
      <w:r w:rsidR="00002735" w:rsidRPr="0082680A">
        <w:rPr>
          <w:rFonts w:ascii="Arial" w:hAnsi="Arial" w:cs="Arial"/>
          <w:sz w:val="44"/>
          <w:szCs w:val="44"/>
          <w:lang w:val="en-GB"/>
        </w:rPr>
        <w:t xml:space="preserve"> of Abbreviations</w:t>
      </w:r>
    </w:p>
    <w:p w14:paraId="05BC2BBE" w14:textId="635928BB" w:rsidR="00706027" w:rsidRPr="0082680A" w:rsidRDefault="005476C5" w:rsidP="005476C5">
      <w:pPr>
        <w:jc w:val="center"/>
        <w:rPr>
          <w:rFonts w:ascii="Arial" w:hAnsi="Arial" w:cs="Arial"/>
          <w:sz w:val="44"/>
          <w:szCs w:val="44"/>
          <w:lang w:val="en-GB"/>
        </w:rPr>
      </w:pPr>
      <w:r w:rsidRPr="0082680A">
        <w:rPr>
          <w:rFonts w:ascii="Arial" w:hAnsi="Arial" w:cs="Arial"/>
          <w:noProof/>
          <w:sz w:val="44"/>
          <w:szCs w:val="44"/>
          <w:lang w:val="en-GB"/>
        </w:rPr>
        <w:drawing>
          <wp:inline distT="0" distB="0" distL="0" distR="0" wp14:anchorId="74861782" wp14:editId="3F8D05FA">
            <wp:extent cx="5615940" cy="800290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bbreviation1.pdf"/>
                    <pic:cNvPicPr/>
                  </pic:nvPicPr>
                  <pic:blipFill>
                    <a:blip r:embed="rId20">
                      <a:extLst>
                        <a:ext uri="{28A0092B-C50C-407E-A947-70E740481C1C}">
                          <a14:useLocalDpi xmlns:a14="http://schemas.microsoft.com/office/drawing/2010/main" val="0"/>
                        </a:ext>
                      </a:extLst>
                    </a:blip>
                    <a:stretch>
                      <a:fillRect/>
                    </a:stretch>
                  </pic:blipFill>
                  <pic:spPr>
                    <a:xfrm>
                      <a:off x="0" y="0"/>
                      <a:ext cx="5615940" cy="8002905"/>
                    </a:xfrm>
                    <a:prstGeom prst="rect">
                      <a:avLst/>
                    </a:prstGeom>
                  </pic:spPr>
                </pic:pic>
              </a:graphicData>
            </a:graphic>
          </wp:inline>
        </w:drawing>
      </w:r>
    </w:p>
    <w:p w14:paraId="026C7EE6" w14:textId="6E7C6992" w:rsidR="002E60FC" w:rsidRPr="0082680A" w:rsidRDefault="00F44FAF" w:rsidP="00706027">
      <w:pPr>
        <w:rPr>
          <w:rFonts w:eastAsia="Arial"/>
          <w:lang w:val="en-GB"/>
        </w:rPr>
      </w:pPr>
      <w:r w:rsidRPr="0082680A">
        <w:rPr>
          <w:rFonts w:eastAsia="Arial"/>
          <w:lang w:val="en-GB"/>
        </w:rPr>
        <w:br w:type="page"/>
      </w:r>
    </w:p>
    <w:p w14:paraId="4F0D3713" w14:textId="21805579" w:rsidR="005476C5" w:rsidRPr="0082680A" w:rsidRDefault="005476C5" w:rsidP="00706027">
      <w:pPr>
        <w:rPr>
          <w:rFonts w:eastAsia="Arial"/>
          <w:lang w:val="en-GB"/>
        </w:rPr>
      </w:pPr>
    </w:p>
    <w:p w14:paraId="535BBD07" w14:textId="77777777" w:rsidR="005476C5" w:rsidRPr="0082680A" w:rsidRDefault="005476C5" w:rsidP="00706027">
      <w:pPr>
        <w:rPr>
          <w:rFonts w:eastAsia="Arial"/>
          <w:lang w:val="en-GB"/>
        </w:rPr>
      </w:pPr>
    </w:p>
    <w:p w14:paraId="489011BF" w14:textId="1581DC73" w:rsidR="00706027" w:rsidRPr="0082680A" w:rsidRDefault="005476C5" w:rsidP="00706027">
      <w:pPr>
        <w:rPr>
          <w:lang w:val="en-GB"/>
        </w:rPr>
        <w:sectPr w:rsidR="00706027" w:rsidRPr="0082680A" w:rsidSect="00BC38C5">
          <w:headerReference w:type="even" r:id="rId21"/>
          <w:headerReference w:type="default" r:id="rId22"/>
          <w:footerReference w:type="even" r:id="rId23"/>
          <w:footerReference w:type="default" r:id="rId24"/>
          <w:headerReference w:type="first" r:id="rId25"/>
          <w:footerReference w:type="first" r:id="rId26"/>
          <w:pgSz w:w="11906" w:h="16838"/>
          <w:pgMar w:top="1418" w:right="1531" w:bottom="1418" w:left="1531" w:header="0" w:footer="720" w:gutter="0"/>
          <w:cols w:space="720"/>
        </w:sectPr>
      </w:pPr>
      <w:r w:rsidRPr="0082680A">
        <w:rPr>
          <w:noProof/>
          <w:lang w:val="en-GB"/>
        </w:rPr>
        <w:drawing>
          <wp:inline distT="0" distB="0" distL="0" distR="0" wp14:anchorId="31F2EB70" wp14:editId="162CF7AC">
            <wp:extent cx="5615940" cy="800290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Abbreviation2.pdf"/>
                    <pic:cNvPicPr/>
                  </pic:nvPicPr>
                  <pic:blipFill>
                    <a:blip r:embed="rId27">
                      <a:extLst>
                        <a:ext uri="{28A0092B-C50C-407E-A947-70E740481C1C}">
                          <a14:useLocalDpi xmlns:a14="http://schemas.microsoft.com/office/drawing/2010/main" val="0"/>
                        </a:ext>
                      </a:extLst>
                    </a:blip>
                    <a:stretch>
                      <a:fillRect/>
                    </a:stretch>
                  </pic:blipFill>
                  <pic:spPr>
                    <a:xfrm>
                      <a:off x="0" y="0"/>
                      <a:ext cx="5615940" cy="8002905"/>
                    </a:xfrm>
                    <a:prstGeom prst="rect">
                      <a:avLst/>
                    </a:prstGeom>
                  </pic:spPr>
                </pic:pic>
              </a:graphicData>
            </a:graphic>
          </wp:inline>
        </w:drawing>
      </w:r>
    </w:p>
    <w:p w14:paraId="3CF49EA0" w14:textId="6D87A2CB" w:rsidR="00EC7B1C" w:rsidRPr="0082680A" w:rsidRDefault="00EC7B1C" w:rsidP="00DC2754">
      <w:pPr>
        <w:pStyle w:val="Heading1"/>
        <w:numPr>
          <w:ilvl w:val="0"/>
          <w:numId w:val="5"/>
        </w:numPr>
        <w:ind w:left="0" w:hanging="858"/>
        <w:rPr>
          <w:lang w:val="en-GB"/>
        </w:rPr>
      </w:pPr>
      <w:bookmarkStart w:id="1" w:name="_Toc3211304"/>
      <w:r w:rsidRPr="0082680A">
        <w:rPr>
          <w:lang w:val="en-GB"/>
        </w:rPr>
        <w:lastRenderedPageBreak/>
        <w:t>Chapter 1: Introduction</w:t>
      </w:r>
      <w:bookmarkEnd w:id="1"/>
    </w:p>
    <w:p w14:paraId="66F5CEA9" w14:textId="1EE51800" w:rsidR="00397D8F" w:rsidRPr="00842FD0" w:rsidRDefault="00A301B9" w:rsidP="00076E39">
      <w:pPr>
        <w:rPr>
          <w:sz w:val="24"/>
          <w:szCs w:val="24"/>
          <w:lang w:val="en-GB"/>
        </w:rPr>
      </w:pPr>
      <w:r w:rsidRPr="0082680A">
        <w:rPr>
          <w:lang w:val="en-GB"/>
        </w:rPr>
        <w:t>The predominant focus of disease-</w:t>
      </w:r>
      <w:r w:rsidR="00076E39" w:rsidRPr="0082680A">
        <w:rPr>
          <w:lang w:val="en-GB"/>
        </w:rPr>
        <w:t>orientated scientific</w:t>
      </w:r>
      <w:r w:rsidRPr="0082680A">
        <w:rPr>
          <w:lang w:val="en-GB"/>
        </w:rPr>
        <w:t xml:space="preserve"> research is to identify core mechanisms and viable treatments as quickly as possible, and with as much reliability and effectiveness as can be achieved. </w:t>
      </w:r>
      <w:r w:rsidR="00076E39" w:rsidRPr="0082680A">
        <w:rPr>
          <w:lang w:val="en-GB"/>
        </w:rPr>
        <w:t>Up until the second half of the 20</w:t>
      </w:r>
      <w:r w:rsidR="00076E39" w:rsidRPr="0082680A">
        <w:rPr>
          <w:vertAlign w:val="superscript"/>
          <w:lang w:val="en-GB"/>
        </w:rPr>
        <w:t>th</w:t>
      </w:r>
      <w:r w:rsidR="00076E39" w:rsidRPr="0082680A">
        <w:rPr>
          <w:lang w:val="en-GB"/>
        </w:rPr>
        <w:t xml:space="preserve"> Century,</w:t>
      </w:r>
      <w:r w:rsidRPr="0082680A">
        <w:rPr>
          <w:lang w:val="en-GB"/>
        </w:rPr>
        <w:t xml:space="preserve"> progress </w:t>
      </w:r>
      <w:r w:rsidR="00076E39" w:rsidRPr="0082680A">
        <w:rPr>
          <w:lang w:val="en-GB"/>
        </w:rPr>
        <w:t xml:space="preserve">in disease discovery </w:t>
      </w:r>
      <w:r w:rsidRPr="0082680A">
        <w:rPr>
          <w:lang w:val="en-GB"/>
        </w:rPr>
        <w:t>was slow</w:t>
      </w:r>
      <w:r w:rsidR="00076E39" w:rsidRPr="0082680A">
        <w:rPr>
          <w:lang w:val="en-GB"/>
        </w:rPr>
        <w:t>, likely</w:t>
      </w:r>
      <w:r w:rsidRPr="0082680A">
        <w:rPr>
          <w:lang w:val="en-GB"/>
        </w:rPr>
        <w:t xml:space="preserve"> due to laboured communication practices</w:t>
      </w:r>
      <w:r w:rsidR="00076E39" w:rsidRPr="0082680A">
        <w:rPr>
          <w:lang w:val="en-GB"/>
        </w:rPr>
        <w:t xml:space="preserve"> and </w:t>
      </w:r>
      <w:r w:rsidRPr="0082680A">
        <w:rPr>
          <w:lang w:val="en-GB"/>
        </w:rPr>
        <w:t>primitive technologies</w:t>
      </w:r>
      <w:r w:rsidR="00076E39" w:rsidRPr="0082680A">
        <w:rPr>
          <w:lang w:val="en-GB"/>
        </w:rPr>
        <w:t xml:space="preserve">. As we passed the centurial mid-point, huge technological revolutions began to take place – </w:t>
      </w:r>
      <w:r w:rsidR="005C4E13" w:rsidRPr="0082680A">
        <w:rPr>
          <w:lang w:val="en-GB"/>
        </w:rPr>
        <w:t>inventions such as</w:t>
      </w:r>
      <w:r w:rsidR="00076E39" w:rsidRPr="0082680A">
        <w:rPr>
          <w:lang w:val="en-GB"/>
        </w:rPr>
        <w:t xml:space="preserve"> plastics, computer chips, and the internet</w:t>
      </w:r>
      <w:r w:rsidR="005C4E13" w:rsidRPr="0082680A">
        <w:rPr>
          <w:lang w:val="en-GB"/>
        </w:rPr>
        <w:t xml:space="preserve"> led to vast leaps forward in our ability to build new technologies and communicate them around the world. These technological advancements h</w:t>
      </w:r>
      <w:r w:rsidR="00002B74" w:rsidRPr="0082680A">
        <w:rPr>
          <w:lang w:val="en-GB"/>
        </w:rPr>
        <w:t>ave</w:t>
      </w:r>
      <w:r w:rsidR="00724649" w:rsidRPr="0082680A">
        <w:rPr>
          <w:lang w:val="en-GB"/>
        </w:rPr>
        <w:t xml:space="preserve"> </w:t>
      </w:r>
      <w:r w:rsidR="00002B74" w:rsidRPr="0082680A">
        <w:rPr>
          <w:lang w:val="en-GB"/>
        </w:rPr>
        <w:t xml:space="preserve">resulted in </w:t>
      </w:r>
      <w:r w:rsidR="00724649" w:rsidRPr="0082680A">
        <w:rPr>
          <w:lang w:val="en-GB"/>
        </w:rPr>
        <w:t>ground-breaking discoveries and advances in medicine</w:t>
      </w:r>
      <w:r w:rsidR="00002B74" w:rsidRPr="0082680A">
        <w:rPr>
          <w:lang w:val="en-GB"/>
        </w:rPr>
        <w:t>.</w:t>
      </w:r>
      <w:r w:rsidR="00724649" w:rsidRPr="0082680A">
        <w:rPr>
          <w:lang w:val="en-GB"/>
        </w:rPr>
        <w:t xml:space="preserve"> </w:t>
      </w:r>
      <w:r w:rsidR="00002B74" w:rsidRPr="0082680A">
        <w:rPr>
          <w:lang w:val="en-GB"/>
        </w:rPr>
        <w:t>However, with each discovery,</w:t>
      </w:r>
      <w:r w:rsidR="00397D8F">
        <w:rPr>
          <w:lang w:val="en-GB"/>
        </w:rPr>
        <w:t xml:space="preserve"> one factor has</w:t>
      </w:r>
      <w:r w:rsidR="00002B74" w:rsidRPr="0082680A">
        <w:rPr>
          <w:lang w:val="en-GB"/>
        </w:rPr>
        <w:t xml:space="preserve"> become ever more apparent</w:t>
      </w:r>
      <w:r w:rsidR="00397D8F">
        <w:rPr>
          <w:lang w:val="en-GB"/>
        </w:rPr>
        <w:t>;</w:t>
      </w:r>
      <w:r w:rsidR="00002B74" w:rsidRPr="0082680A">
        <w:rPr>
          <w:lang w:val="en-GB"/>
        </w:rPr>
        <w:t xml:space="preserve"> </w:t>
      </w:r>
      <w:r w:rsidR="00397D8F">
        <w:rPr>
          <w:lang w:val="en-GB"/>
        </w:rPr>
        <w:t xml:space="preserve">human biology is </w:t>
      </w:r>
      <w:r w:rsidR="00D90E7A">
        <w:rPr>
          <w:lang w:val="en-GB"/>
        </w:rPr>
        <w:t>seemingly infinitely</w:t>
      </w:r>
      <w:r w:rsidR="00397D8F">
        <w:rPr>
          <w:lang w:val="en-GB"/>
        </w:rPr>
        <w:t xml:space="preserve"> complex, </w:t>
      </w:r>
      <w:r w:rsidR="00D90E7A">
        <w:rPr>
          <w:lang w:val="en-GB"/>
        </w:rPr>
        <w:t xml:space="preserve">and we require a </w:t>
      </w:r>
      <w:r w:rsidR="00842FD0">
        <w:rPr>
          <w:lang w:val="en-GB"/>
        </w:rPr>
        <w:t>vast</w:t>
      </w:r>
      <w:r w:rsidR="00D90E7A">
        <w:rPr>
          <w:lang w:val="en-GB"/>
        </w:rPr>
        <w:t xml:space="preserve"> </w:t>
      </w:r>
      <w:r w:rsidR="00842FD0">
        <w:rPr>
          <w:lang w:val="en-GB"/>
        </w:rPr>
        <w:t>quantity</w:t>
      </w:r>
      <w:r w:rsidR="00D90E7A">
        <w:rPr>
          <w:lang w:val="en-GB"/>
        </w:rPr>
        <w:t xml:space="preserve"> of resources to understand it – resources we do not yet have. </w:t>
      </w:r>
      <w:r w:rsidR="00842FD0">
        <w:rPr>
          <w:lang w:val="en-GB"/>
        </w:rPr>
        <w:t>Despite the technological revolution of the late 20</w:t>
      </w:r>
      <w:r w:rsidR="00842FD0" w:rsidRPr="00842FD0">
        <w:rPr>
          <w:vertAlign w:val="superscript"/>
          <w:lang w:val="en-GB"/>
        </w:rPr>
        <w:t>th</w:t>
      </w:r>
      <w:r w:rsidR="00842FD0">
        <w:rPr>
          <w:lang w:val="en-GB"/>
        </w:rPr>
        <w:t xml:space="preserve"> Century, the scientific community is still battling to find effective treatments for many conditions. </w:t>
      </w:r>
    </w:p>
    <w:p w14:paraId="32CED561" w14:textId="195D9EE6" w:rsidR="005C4E13" w:rsidRPr="0082680A" w:rsidRDefault="005C4E13" w:rsidP="00076E39">
      <w:pPr>
        <w:rPr>
          <w:lang w:val="en-GB"/>
        </w:rPr>
      </w:pPr>
    </w:p>
    <w:p w14:paraId="62688D54" w14:textId="61409109" w:rsidR="00842FD0" w:rsidRDefault="005C4E13" w:rsidP="00076E39">
      <w:pPr>
        <w:rPr>
          <w:lang w:val="en-GB"/>
        </w:rPr>
      </w:pPr>
      <w:r w:rsidRPr="0082680A">
        <w:rPr>
          <w:lang w:val="en-GB"/>
        </w:rPr>
        <w:t xml:space="preserve">In this thesis we describe the barriers to </w:t>
      </w:r>
      <w:r w:rsidR="00D90E7A">
        <w:rPr>
          <w:lang w:val="en-GB"/>
        </w:rPr>
        <w:t xml:space="preserve">understanding complex disease </w:t>
      </w:r>
      <w:r w:rsidR="00691215">
        <w:rPr>
          <w:lang w:val="en-GB"/>
        </w:rPr>
        <w:t>phenotypes</w:t>
      </w:r>
      <w:r w:rsidR="00691215" w:rsidRPr="0082680A">
        <w:rPr>
          <w:lang w:val="en-GB"/>
        </w:rPr>
        <w:t xml:space="preserve"> and</w:t>
      </w:r>
      <w:r w:rsidRPr="0082680A">
        <w:rPr>
          <w:lang w:val="en-GB"/>
        </w:rPr>
        <w:t xml:space="preserve"> demonstrate how we can exploit pre-existing datasets to </w:t>
      </w:r>
      <w:r w:rsidR="00E06098">
        <w:rPr>
          <w:lang w:val="en-GB"/>
        </w:rPr>
        <w:t>investigate their dysfunctional mechanisms</w:t>
      </w:r>
      <w:r w:rsidRPr="0082680A">
        <w:rPr>
          <w:lang w:val="en-GB"/>
        </w:rPr>
        <w:t>. In short, we as a scientific community fundamentally do not understand the causes of many common and costly medical conditions. At the same time, we are producing data for these conditions at an inexplicable rate; not necessarily large datasets, but hundreds of thousands of much smaller, underpowered experiments. We show that through application of our multi-omic methodological pipeline to this untapped goldmine of small datasets, we can identify known and novel upstream drivers of disease phenotypes in a fraction of the time.</w:t>
      </w:r>
    </w:p>
    <w:p w14:paraId="218F0ED6" w14:textId="5EC126F1" w:rsidR="005C4E13" w:rsidRPr="0082680A" w:rsidRDefault="00842FD0" w:rsidP="00076E39">
      <w:pPr>
        <w:rPr>
          <w:lang w:val="en-GB"/>
        </w:rPr>
      </w:pPr>
      <w:r>
        <w:rPr>
          <w:lang w:val="en-GB"/>
        </w:rPr>
        <w:br w:type="page"/>
      </w:r>
    </w:p>
    <w:p w14:paraId="6D983481" w14:textId="554AB0BB" w:rsidR="00DD630F" w:rsidRPr="00842FD0" w:rsidRDefault="00D90E7A" w:rsidP="00842FD0">
      <w:pPr>
        <w:pStyle w:val="Heading2"/>
      </w:pPr>
      <w:bookmarkStart w:id="2" w:name="_Toc3211305"/>
      <w:bookmarkEnd w:id="0"/>
      <w:r w:rsidRPr="00842FD0">
        <w:lastRenderedPageBreak/>
        <w:t xml:space="preserve">Inadequate </w:t>
      </w:r>
      <w:r w:rsidR="00842FD0" w:rsidRPr="00842FD0">
        <w:t>Treatments</w:t>
      </w:r>
      <w:r w:rsidRPr="00842FD0">
        <w:t xml:space="preserve"> for Complex Diseases</w:t>
      </w:r>
      <w:bookmarkEnd w:id="2"/>
    </w:p>
    <w:p w14:paraId="5D56AACA" w14:textId="65DA1B2F" w:rsidR="00842FD0" w:rsidRDefault="00BB2145" w:rsidP="00842FD0">
      <w:pPr>
        <w:contextualSpacing w:val="0"/>
        <w:rPr>
          <w:lang w:val="en-GB"/>
        </w:rPr>
      </w:pPr>
      <w:r w:rsidRPr="0082680A">
        <w:rPr>
          <w:lang w:val="en-GB"/>
        </w:rPr>
        <w:t xml:space="preserve">A significant limitation in </w:t>
      </w:r>
      <w:r w:rsidR="00F44FAF" w:rsidRPr="0082680A">
        <w:rPr>
          <w:lang w:val="en-GB"/>
        </w:rPr>
        <w:t xml:space="preserve">healthcare </w:t>
      </w:r>
      <w:r w:rsidR="00842FD0">
        <w:rPr>
          <w:lang w:val="en-GB"/>
        </w:rPr>
        <w:t>research</w:t>
      </w:r>
      <w:r w:rsidR="00F44FAF" w:rsidRPr="0082680A">
        <w:rPr>
          <w:lang w:val="en-GB"/>
        </w:rPr>
        <w:t xml:space="preserve"> </w:t>
      </w:r>
      <w:r w:rsidRPr="0082680A">
        <w:rPr>
          <w:lang w:val="en-GB"/>
        </w:rPr>
        <w:t>is</w:t>
      </w:r>
      <w:r w:rsidR="00F44FAF" w:rsidRPr="0082680A">
        <w:rPr>
          <w:lang w:val="en-GB"/>
        </w:rPr>
        <w:t xml:space="preserve"> simply the lack of knowledge surrounding complex diseases. A condition like iron deficiency anaemia is easy to treat because the root cause is clear - a lack of iron in the body - subsequently a simple treatment of iron supplements can be administered with almost immediate relief. </w:t>
      </w:r>
      <w:r w:rsidR="00776EF9" w:rsidRPr="0082680A">
        <w:rPr>
          <w:lang w:val="en-GB"/>
        </w:rPr>
        <w:t>However,</w:t>
      </w:r>
      <w:r w:rsidR="00F44FAF" w:rsidRPr="0082680A">
        <w:rPr>
          <w:lang w:val="en-GB"/>
        </w:rPr>
        <w:t xml:space="preserve"> if the cause of a condition is not known, any treatment, let alone personalised treatment, is not possible. </w:t>
      </w:r>
      <w:r w:rsidRPr="0082680A">
        <w:rPr>
          <w:lang w:val="en-GB"/>
        </w:rPr>
        <w:t>There are still a great number of</w:t>
      </w:r>
      <w:r w:rsidR="00F44FAF" w:rsidRPr="0082680A">
        <w:rPr>
          <w:lang w:val="en-GB"/>
        </w:rPr>
        <w:t xml:space="preserve"> disease</w:t>
      </w:r>
      <w:r w:rsidRPr="0082680A">
        <w:rPr>
          <w:lang w:val="en-GB"/>
        </w:rPr>
        <w:t>s</w:t>
      </w:r>
      <w:r w:rsidR="00F44FAF" w:rsidRPr="0082680A">
        <w:rPr>
          <w:lang w:val="en-GB"/>
        </w:rPr>
        <w:t xml:space="preserve"> </w:t>
      </w:r>
      <w:r w:rsidRPr="0082680A">
        <w:rPr>
          <w:lang w:val="en-GB"/>
        </w:rPr>
        <w:t>which are</w:t>
      </w:r>
      <w:r w:rsidR="00F44FAF" w:rsidRPr="0082680A">
        <w:rPr>
          <w:lang w:val="en-GB"/>
        </w:rPr>
        <w:t xml:space="preserve"> considered ‘incurable’</w:t>
      </w:r>
      <w:r w:rsidRPr="0082680A">
        <w:rPr>
          <w:lang w:val="en-GB"/>
        </w:rPr>
        <w:t>. Many neurodegenerative diseases still have no viable medication options, whilst others such as rheumatological conditions have medications that treat symptoms, but not the cause</w:t>
      </w:r>
      <w:r w:rsidR="00815145">
        <w:rPr>
          <w:lang w:val="en-GB"/>
        </w:rPr>
        <w:t xml:space="preserve"> </w:t>
      </w:r>
      <w:r w:rsidR="000F08B3">
        <w:rPr>
          <w:lang w:val="en-GB"/>
        </w:rPr>
        <w:fldChar w:fldCharType="begin" w:fldLock="1"/>
      </w:r>
      <w:r w:rsidR="0050527E">
        <w:rPr>
          <w:lang w:val="en-GB"/>
        </w:rPr>
        <w:instrText>ADDIN CSL_CITATION {"citationItems":[{"id":"ITEM-1","itemData":{"DOI":"10.3390/ph11020044","ISSN":"1424-8247","PMID":"29751602","abstract":"Neurodegenerative diseases are increasing in number, given that the general global population is becoming older. They manifest themselves through mechanisms that are not fully understood, in many cases, and impair memory, cognition and movement. Currently, no neurodegenerative disease is curable, and the treatments available only manage the symptoms or halt the progression of the disease. Therefore, there is an urgent need for new treatments for this kind of disease, since the World Health Organization has predicted that neurodegenerative diseases affecting motor function will become the second-most prevalent cause of death in the next 20 years. New therapies can come from three main sources: synthesis, natural products, and existing drugs. This last source is known as drug repurposing, which is the most advantageous, since the drug&amp;rsquo;s pharmacokinetic and pharmacodynamic profiles are already established, and the investment put into this strategy is not as significant as for the classic development of new drugs. There have been several studies on the potential of old drugs for the most relevant neurodegenerative diseases, including Alzheimer&amp;rsquo;s disease, Parkinson&amp;rsquo;s disease, Huntington&amp;rsquo;s disease, Multiple Sclerosis and Amyotrophic Lateral Sclerosis.","author":[{"dropping-particle":"","family":"Durães","given":"Fernando","non-dropping-particle":"","parse-names":false,"suffix":""},{"dropping-particle":"","family":"Pinto","given":"Madalena","non-dropping-particle":"","parse-names":false,"suffix":""},{"dropping-particle":"","family":"Sousa","given":"Emília","non-dropping-particle":"","parse-names":false,"suffix":""}],"container-title":"Pharmaceuticals (Basel, Switzerland)","id":"ITEM-1","issue":"2","issued":{"date-parts":[["2018","5","11"]]},"publisher":"Multidisciplinary Digital Publishing Institute  (MDPI)","title":"Old Drugs as New Treatments for Neurodegenerative Diseases.","type":"article-journal","volume":"11"},"uris":["http://www.mendeley.com/documents/?uuid=a00082ed-87c0-3b26-bf27-e13eea058ad9"]}],"mendeley":{"formattedCitation":"&lt;sup&gt;1&lt;/sup&gt;","plainTextFormattedCitation":"1","previouslyFormattedCitation":"&lt;sup&gt;1&lt;/sup&gt;"},"properties":{"noteIndex":0},"schema":"https://github.com/citation-style-language/schema/raw/master/csl-citation.json"}</w:instrText>
      </w:r>
      <w:r w:rsidR="000F08B3">
        <w:rPr>
          <w:lang w:val="en-GB"/>
        </w:rPr>
        <w:fldChar w:fldCharType="separate"/>
      </w:r>
      <w:r w:rsidR="00442425" w:rsidRPr="00442425">
        <w:rPr>
          <w:noProof/>
          <w:vertAlign w:val="superscript"/>
          <w:lang w:val="en-GB"/>
        </w:rPr>
        <w:t>1</w:t>
      </w:r>
      <w:r w:rsidR="000F08B3">
        <w:rPr>
          <w:lang w:val="en-GB"/>
        </w:rPr>
        <w:fldChar w:fldCharType="end"/>
      </w:r>
      <w:r w:rsidR="00815145">
        <w:rPr>
          <w:vertAlign w:val="superscript"/>
          <w:lang w:val="en-GB"/>
        </w:rPr>
        <w:t>,</w:t>
      </w:r>
      <w:r w:rsidR="00815145">
        <w:rPr>
          <w:lang w:val="en-GB"/>
        </w:rPr>
        <w:fldChar w:fldCharType="begin" w:fldLock="1"/>
      </w:r>
      <w:r w:rsidR="0050527E">
        <w:rPr>
          <w:lang w:val="en-GB"/>
        </w:rPr>
        <w:instrText>ADDIN CSL_CITATION {"citationItems":[{"id":"ITEM-1","itemData":{"DOI":"10.1001/jama.2018.13103","ISSN":"0098-7484","abstract":"&lt;h3&gt;Importance&lt;/h3&gt;&lt;p&gt;Rheumatoid arthritis (RA) occurs in about 5 per 1000 people and can lead to severe joint damage and disability. Significant progress has been made over the past 2 decades regarding understanding of disease pathophysiology, optimal outcome measures, and effective treatment strategies, including the recognition of the importance of diagnosing and treating RA early.&lt;/p&gt;&lt;h3&gt;Observations&lt;/h3&gt;&lt;p&gt;Early diagnosis and treatment of RA can avert or substantially slow progression of joint damage in up to 90% of patients, thereby preventing irreversible disability. The development of novel instruments to measure disease activity and identify the presence or absence of remission have facilitated new treatment strategies to arrest RA before joints are damaged irreversibly. Outcomes have been improved by recognizing the benefits of early diagnosis and early therapy with disease-modifying antirheumatic drugs (DMARDs). The treatment target is remission or a state of at least low disease activity, which should be attained within 6 months. Methotrexate is first-line therapy and should be prescribed at an optimal dose of 25 mg weekly and in combination with glucocorticoids; 40% to 50% of patients reach remission or at least low disease activity with this regimen. If this treatment fails, sequential application of targeted therapies, such as biologic agents (eg, tumor necrosis factor [TNF] inhibitors) or Janus kinase inhibitors in combination with methotrexate, have allowed up to 75% of these patients to reach the treatment target over time. New therapies have been developed in response to new pathogenetic findings. The costs of some therapies are considerable, but these costs are decreasing with the advent of biosimilar drugs (drugs essentially identical to the original biologic drugs but usually available at lower cost).&lt;/p&gt;&lt;h3&gt;Conclusions and Relevance&lt;/h3&gt;&lt;p&gt;Scientific advances have improved therapies that prevent progression of irreversible joint damage in up to 90% of patients with RA. Early treatment with methotrexate plus glucocorticoids and subsequently with other DMARDs, such as inhibitors of TNF, IL-6, or Janus kinases, improves outcomes and prevents RA-related disability. A treat-to-target strategy aimed at reducing disease activity by at least 50% within 3 months and achieving remission or low disease activity within 6 months, with sequential drug treatment if needed, can prevent RA-related disability.&lt;/p&gt;","author":[{"dropping-particle":"","family":"Aletaha","given":"Daniel","non-dropping-particle":"","parse-names":false,"suffix":""},{"dropping-particle":"","family":"Smolen","given":"Josef S.","non-dropping-particle":"","parse-names":false,"suffix":""}],"container-title":"JAMA","id":"ITEM-1","issue":"13","issued":{"date-parts":[["2018","10","2"]]},"page":"1360","publisher":"American Medical Association","title":"Diagnosis and Management of Rheumatoid Arthritis","type":"article-journal","volume":"320"},"uris":["http://www.mendeley.com/documents/?uuid=594ce4ce-3e09-3c76-943b-e7c9d452aa5b"]}],"mendeley":{"formattedCitation":"&lt;sup&gt;2&lt;/sup&gt;","plainTextFormattedCitation":"2","previouslyFormattedCitation":"&lt;sup&gt;2&lt;/sup&gt;"},"properties":{"noteIndex":0},"schema":"https://github.com/citation-style-language/schema/raw/master/csl-citation.json"}</w:instrText>
      </w:r>
      <w:r w:rsidR="00815145">
        <w:rPr>
          <w:lang w:val="en-GB"/>
        </w:rPr>
        <w:fldChar w:fldCharType="separate"/>
      </w:r>
      <w:r w:rsidR="00442425" w:rsidRPr="00442425">
        <w:rPr>
          <w:noProof/>
          <w:vertAlign w:val="superscript"/>
          <w:lang w:val="en-GB"/>
        </w:rPr>
        <w:t>2</w:t>
      </w:r>
      <w:r w:rsidR="00815145">
        <w:rPr>
          <w:lang w:val="en-GB"/>
        </w:rPr>
        <w:fldChar w:fldCharType="end"/>
      </w:r>
      <w:r w:rsidRPr="0082680A">
        <w:rPr>
          <w:lang w:val="en-GB"/>
        </w:rPr>
        <w:t xml:space="preserve">. These are not rare conditions either; it is estimated that as many as 24 million people worldwide suffer from dementia, and approximately 1% of the human population (approximately 77 million as of November 2018) are living with a diagnosis of rheumatoid arthritis </w:t>
      </w:r>
      <w:r w:rsidRPr="0082680A">
        <w:rPr>
          <w:lang w:val="en-GB"/>
        </w:rPr>
        <w:fldChar w:fldCharType="begin" w:fldLock="1"/>
      </w:r>
      <w:r w:rsidR="0050527E">
        <w:rPr>
          <w:lang w:val="en-GB"/>
        </w:rPr>
        <w:instrText>ADDIN CSL_CITATION {"citationItems":[{"id":"ITEM-1","itemData":{"DOI":"10.1101/cshperspect.a006239","ISSN":"2157-1422","PMID":"22908189","abstract":"The global prevalence of dementia has been estimated to be as high as 24 million, and is predicted to double every 20 years until at least 2040. As the population worldwide continues to age, the number of individuals at risk will also increase, particularly among the very old. Alzheimer disease is the leading cause of dementia beginning with impaired memory. The neuropathological hallmarks of Alzheimer disease include diffuse and neuritic extracellular amyloid plaques in brain that are frequently surrounded by dystrophic neurites and intraneuronal neurofibrillary tangles. The etiology of Alzheimer disease remains unclear, but it is likely to be the result of both genetic and environmental factors. In this review we discuss the prevalence and incidence rates, the established environmental risk factors, and the protective factors, and briefly review genetic variants predisposing to disease.","author":[{"dropping-particle":"","family":"Mayeux","given":"Richard","non-dropping-particle":"","parse-names":false,"suffix":""},{"dropping-particle":"","family":"Stern","given":"Yaakov","non-dropping-particle":"","parse-names":false,"suffix":""}],"container-title":"Cold Spring Harbor perspectives in medicine","id":"ITEM-1","issue":"8","issued":{"date-parts":[["2012","8","1"]]},"publisher":"Cold Spring Harbor Laboratory Press","title":"Epidemiology of Alzheimer disease.","type":"article-journal","volume":"2"},"uris":["http://www.mendeley.com/documents/?uuid=762c87dd-dce4-3577-b453-e79327355600"]},{"id":"ITEM-2","itemData":{"DOI":"10.1016/j.berh.2008.07.001","ISSN":"15216942","PMID":"18783739","abstract":"The epidemiology of rheumatic musculoskeletal (MSK) disorders in the developing world is much less well known than it is in the developed world. We expect ethnicity, traditions, socioeconomics and lifestyles to have an impact, but overall data are sparse. This report focuses on the WHO-ILAR COPCORD (community-oriented programme for control of rheumatic diseases). COPCORD was designed to collect community data on pain and disability in the developing economies. Several countries in Asia-Pacific and Central South America have completed COPCORD surveys. Despite some limitations in methodology, COPCORD provides a fair estimate of the spectrum and extent of rheumatic MSK disorders. We digress from a general overview to highlight the scenario for rheumatoid arthritis, and draw a few parallels with known statistics from the developed world. Overall, the emerging spectrum and severity are not very different, but in the developing countries the burden of disease, worsened by dismal rheumatology services, is likely to be staggering.","author":[{"dropping-particle":"","family":"Chopra","given":"Arvind","non-dropping-particle":"","parse-names":false,"suffix":""},{"dropping-particle":"","family":"Abdel-Nasser","given":"Ahmed","non-dropping-particle":"","parse-names":false,"suffix":""}],"container-title":"Best Practice &amp; Research Clinical Rheumatology","id":"ITEM-2","issue":"4","issued":{"date-parts":[["2008","8"]]},"page":"583-604","title":"Epidemiology of rheumatic musculoskeletal disorders in the developing world","type":"article-journal","volume":"22"},"uris":["http://www.mendeley.com/documents/?uuid=a895f431-8e78-3cc0-bb03-043e1491f213"]}],"mendeley":{"formattedCitation":"&lt;sup&gt;3,4&lt;/sup&gt;","plainTextFormattedCitation":"3,4","previouslyFormattedCitation":"&lt;sup&gt;3,4&lt;/sup&gt;"},"properties":{"noteIndex":0},"schema":"https://github.com/citation-style-language/schema/raw/master/csl-citation.json"}</w:instrText>
      </w:r>
      <w:r w:rsidRPr="0082680A">
        <w:rPr>
          <w:lang w:val="en-GB"/>
        </w:rPr>
        <w:fldChar w:fldCharType="separate"/>
      </w:r>
      <w:r w:rsidR="00442425" w:rsidRPr="00442425">
        <w:rPr>
          <w:noProof/>
          <w:vertAlign w:val="superscript"/>
          <w:lang w:val="en-GB"/>
        </w:rPr>
        <w:t>3,4</w:t>
      </w:r>
      <w:r w:rsidRPr="0082680A">
        <w:rPr>
          <w:lang w:val="en-GB"/>
        </w:rPr>
        <w:fldChar w:fldCharType="end"/>
      </w:r>
      <w:r w:rsidRPr="0082680A">
        <w:rPr>
          <w:lang w:val="en-GB"/>
        </w:rPr>
        <w:t xml:space="preserve">. </w:t>
      </w:r>
    </w:p>
    <w:p w14:paraId="032338B2" w14:textId="72B9CF68" w:rsidR="00DD630F" w:rsidRPr="0082680A" w:rsidRDefault="00BB2145" w:rsidP="00842FD0">
      <w:pPr>
        <w:contextualSpacing w:val="0"/>
        <w:rPr>
          <w:lang w:val="en-GB"/>
        </w:rPr>
      </w:pPr>
      <w:r w:rsidRPr="0082680A">
        <w:rPr>
          <w:lang w:val="en-GB"/>
        </w:rPr>
        <w:t xml:space="preserve">The management of conditions such as these not only costs nations huge amounts in both healthcare and productivity, but it costs the individual sufferers their quality of life. Subsequently, for any given condition we need methodologies that consistently and reliably isolate the mechanisms leading to disease symptoms, identify core contributors, and produce successful therapeutics. </w:t>
      </w:r>
    </w:p>
    <w:p w14:paraId="7942B3A4" w14:textId="77777777" w:rsidR="00DD630F" w:rsidRPr="00842FD0" w:rsidRDefault="00F44FAF" w:rsidP="00842FD0">
      <w:pPr>
        <w:pStyle w:val="Heading2"/>
      </w:pPr>
      <w:bookmarkStart w:id="3" w:name="_Toc527800517"/>
      <w:bookmarkStart w:id="4" w:name="_Toc3211306"/>
      <w:r w:rsidRPr="00842FD0">
        <w:t>Long Journeys</w:t>
      </w:r>
      <w:bookmarkEnd w:id="3"/>
      <w:bookmarkEnd w:id="4"/>
    </w:p>
    <w:p w14:paraId="0EF29684" w14:textId="20DEEA31" w:rsidR="00DD630F" w:rsidRPr="0082680A" w:rsidRDefault="00F44FAF">
      <w:pPr>
        <w:contextualSpacing w:val="0"/>
        <w:rPr>
          <w:lang w:val="en-GB"/>
        </w:rPr>
      </w:pPr>
      <w:r w:rsidRPr="0082680A">
        <w:rPr>
          <w:lang w:val="en-GB"/>
        </w:rPr>
        <w:t xml:space="preserve">Finding the known from the unknown is not easy. In 1968 a 15-year-old African-American boy, Robert R., was admitted to St Louis City Hospital with a condition that would baffle his doctors until his death in 1969. A simple laboratory test performed nearly twenty years later would reveal this boy likely died from complications resulting from his HIV-positive status - the first known case in the United States </w:t>
      </w:r>
      <w:r w:rsidR="000A291B" w:rsidRPr="0082680A">
        <w:rPr>
          <w:lang w:val="en-GB"/>
        </w:rPr>
        <w:fldChar w:fldCharType="begin" w:fldLock="1"/>
      </w:r>
      <w:r w:rsidR="0050527E">
        <w:rPr>
          <w:lang w:val="en-GB"/>
        </w:rPr>
        <w:instrText>ADDIN CSL_CITATION {"citationItems":[{"id":"ITEM-1","itemData":{"DOI":"10.1001/jama.1988.03410140097031","ISSN":"0098-7484","abstract":"&lt;p&gt;The acquired immunodeficiency syndrome was first recognized as a clinical entity in the United States in the early 1980s; however, the issue of when human immunodeficiency virus, the causative agent of the acquired immunodeficiency syndrome, was introduced into at-risk populations in the United States is unresolved. Previously, we reported the case study of a 15-year-old black male who was admitted to St Louis City Hospital in 1968 for extensive lymphedema of the genitalia and lower extremities. Chlamydial organisms were widely disseminated and isolated from numerous body fluids and organs. Over a 16-month clinical course his condition progressively deteriorated, and at autopsy there was widespread Kaposi's sarcoma of the aggressive, disseminated type. Recently performed Western blot and antigen capture assays on serum and autopsy tissue specimens frozen since 1969 have disclosed that this sexually active teenager was infected with a virus closely related or identical to human immunodeficiency virus type 1. The clinical and immunologic findings together suggest that an immunosuppressive retrovirus existed in the United States before the late 1970s.&lt;/p&gt;&lt;p&gt;(&lt;i&gt;JAMA&lt;/i&gt;1988;260:2085-2087)&lt;/p&gt;","author":[{"dropping-particle":"","family":"Garry","given":"Robert F.","non-dropping-particle":"","parse-names":false,"suffix":""},{"dropping-particle":"","family":"Witte","given":"Marlys H.","non-dropping-particle":"","parse-names":false,"suffix":""},{"dropping-particle":"","family":"Gottlieb","given":"A. Arthur","non-dropping-particle":"","parse-names":false,"suffix":""},{"dropping-particle":"","family":"Elvin-Lewis","given":"Memory","non-dropping-particle":"","parse-names":false,"suffix":""},{"dropping-particle":"","family":"Gottlieb","given":"Marise S.","non-dropping-particle":"","parse-names":false,"suffix":""},{"dropping-particle":"","family":"Witte","given":"Charles L.","non-dropping-particle":"","parse-names":false,"suffix":""},{"dropping-particle":"","family":"Alexander","given":"Steve S.","non-dropping-particle":"","parse-names":false,"suffix":""},{"dropping-particle":"","family":"Cole","given":"William R.","non-dropping-particle":"","parse-names":false,"suffix":""},{"dropping-particle":"","family":"Drake","given":"William L.","non-dropping-particle":"","parse-names":false,"suffix":""}],"container-title":"JAMA: The Journal of the American Medical Association","id":"ITEM-1","issue":"14","issued":{"date-parts":[["1988","10","14"]]},"page":"2085","publisher":"American Medical Association","title":"Documentation of an AIDS Virus Infection in the United States in 1968","type":"article-journal","volume":"260"},"uris":["http://www.mendeley.com/documents/?uuid=508f5088-f878-330f-9d95-29fbf7ace708"]}],"mendeley":{"formattedCitation":"&lt;sup&gt;5&lt;/sup&gt;","plainTextFormattedCitation":"5","previouslyFormattedCitation":"&lt;sup&gt;5&lt;/sup&gt;"},"properties":{"noteIndex":0},"schema":"https://github.com/citation-style-language/schema/raw/master/csl-citation.json"}</w:instrText>
      </w:r>
      <w:r w:rsidR="000A291B" w:rsidRPr="0082680A">
        <w:rPr>
          <w:lang w:val="en-GB"/>
        </w:rPr>
        <w:fldChar w:fldCharType="separate"/>
      </w:r>
      <w:r w:rsidR="00442425" w:rsidRPr="00442425">
        <w:rPr>
          <w:noProof/>
          <w:vertAlign w:val="superscript"/>
          <w:lang w:val="en-GB"/>
        </w:rPr>
        <w:t>5</w:t>
      </w:r>
      <w:r w:rsidR="000A291B" w:rsidRPr="0082680A">
        <w:rPr>
          <w:lang w:val="en-GB"/>
        </w:rPr>
        <w:fldChar w:fldCharType="end"/>
      </w:r>
      <w:r w:rsidRPr="0082680A">
        <w:rPr>
          <w:lang w:val="en-GB"/>
        </w:rPr>
        <w:t xml:space="preserve">. From the date of Robert R.’s death, it would take forty-two years of research until in 2011, a patient named Timothy Ray Brown would be cleared of HIV infection after hematopoietic stem cell transplantation </w:t>
      </w:r>
      <w:r w:rsidR="000A291B" w:rsidRPr="0082680A">
        <w:rPr>
          <w:lang w:val="en-GB"/>
        </w:rPr>
        <w:fldChar w:fldCharType="begin" w:fldLock="1"/>
      </w:r>
      <w:r w:rsidR="0050527E">
        <w:rPr>
          <w:lang w:val="en-GB"/>
        </w:rPr>
        <w:instrText>ADDIN CSL_CITATION {"citationItems":[{"id":"ITEM-1","itemData":{"DOI":"10.1056/NEJMoa0802905","ISSN":"0028-4793","abstract":"Infection with the human immunodeficiency virus type 1 (HIV-1) requires the presence of a CD4 receptor and a chemokine receptor, principally chemokine receptor 5 (CCR5). Homozygosity for a 32-bp deletion in the CCR5 allele provides resistance against HIV-1 acquisition. We transplanted stem cells from a donor who was homozygous for CCR5 delta32 in a patient with acute myeloid leukemia and HIV-1 infection. The patient remained without viral rebound 20 months after transplantation and discontinuation of antiretroviral therapy. This outcome demonstrates the critical role CCR5 plays in maintaining HIV-1 infection.","author":[{"dropping-particle":"","family":"Hütter","given":"Gero","non-dropping-particle":"","parse-names":false,"suffix":""},{"dropping-particle":"","family":"Nowak","given":"Daniel","non-dropping-particle":"","parse-names":false,"suffix":""},{"dropping-particle":"","family":"Mossner","given":"Maximilian","non-dropping-particle":"","parse-names":false,"suffix":""},{"dropping-particle":"","family":"Ganepola","given":"Susanne","non-dropping-particle":"","parse-names":false,"suffix":""},{"dropping-particle":"","family":"Müßig","given":"Arne","non-dropping-particle":"","parse-names":false,"suffix":""},{"dropping-particle":"","family":"Allers","given":"Kristina","non-dropping-particle":"","parse-names":false,"suffix":""},{"dropping-particle":"","family":"Schneider","given":"Thomas","non-dropping-particle":"","parse-names":false,"suffix":""},{"dropping-particle":"","family":"Hofmann","given":"Jörg","non-dropping-particle":"","parse-names":false,"suffix":""},{"dropping-particle":"","family":"Kücherer","given":"Claudia","non-dropping-particle":"","parse-names":false,"suffix":""},{"dropping-particle":"","family":"Blau","given":"Olga","non-dropping-particle":"","parse-names":false,"suffix":""},{"dropping-particle":"","family":"Blau","given":"Igor W.","non-dropping-particle":"","parse-names":false,"suffix":""},{"dropping-particle":"","family":"Hofmann","given":"Wolf K.","non-dropping-particle":"","parse-names":false,"suffix":""},{"dropping-particle":"","family":"Thiel","given":"Eckhard","non-dropping-particle":"","parse-names":false,"suffix":""}],"container-title":"New England Journal of Medicine","id":"ITEM-1","issue":"7","issued":{"date-parts":[["2009","2","12"]]},"page":"692-698","publisher":" Massachusetts Medical Society ","title":"Long-Term Control of HIV by &lt;i&gt;CCR5&lt;/i&gt; Delta32/Delta32 Stem-Cell Transplantation","type":"article-journal","volume":"360"},"uris":["http://www.mendeley.com/documents/?uuid=6df954ec-170d-33be-ace9-b7c77dad870d"]},{"id":"ITEM-2","itemData":{"DOI":"10.1097/QAD.0b013e328340fe28","ISSN":"0269-9370","PMID":"21173593","author":[{"dropping-particle":"","family":"Hütter","given":"Gero","non-dropping-particle":"","parse-names":false,"suffix":""},{"dropping-particle":"","family":"Thiel","given":"Eckhard","non-dropping-particle":"","parse-names":false,"suffix":""}],"container-title":"AIDS","id":"ITEM-2","issue":"2","issued":{"date-parts":[["2011","1","14"]]},"page":"273-274","title":"Allogeneic transplantation of CCR5-deficient progenitor cells in a patient with HIV infection: an update after 3 years and the search for patient no. 2","type":"article-journal","volume":"25"},"uris":["http://www.mendeley.com/documents/?uuid=43d48ee6-8df1-3652-99c5-dc19dd7b0eb0"]}],"mendeley":{"formattedCitation":"&lt;sup&gt;6,7&lt;/sup&gt;","plainTextFormattedCitation":"6,7","previouslyFormattedCitation":"&lt;sup&gt;6,7&lt;/sup&gt;"},"properties":{"noteIndex":0},"schema":"https://github.com/citation-style-language/schema/raw/master/csl-citation.json"}</w:instrText>
      </w:r>
      <w:r w:rsidR="000A291B" w:rsidRPr="0082680A">
        <w:rPr>
          <w:lang w:val="en-GB"/>
        </w:rPr>
        <w:fldChar w:fldCharType="separate"/>
      </w:r>
      <w:r w:rsidR="00442425" w:rsidRPr="00442425">
        <w:rPr>
          <w:noProof/>
          <w:vertAlign w:val="superscript"/>
          <w:lang w:val="en-GB"/>
        </w:rPr>
        <w:t>6,7</w:t>
      </w:r>
      <w:r w:rsidR="000A291B" w:rsidRPr="0082680A">
        <w:rPr>
          <w:lang w:val="en-GB"/>
        </w:rPr>
        <w:fldChar w:fldCharType="end"/>
      </w:r>
      <w:r w:rsidRPr="0082680A">
        <w:rPr>
          <w:lang w:val="en-GB"/>
        </w:rPr>
        <w:t xml:space="preserve">. </w:t>
      </w:r>
    </w:p>
    <w:p w14:paraId="393F1396" w14:textId="5D5EA140" w:rsidR="00BB2145" w:rsidRPr="0082680A" w:rsidRDefault="00F44FAF">
      <w:pPr>
        <w:contextualSpacing w:val="0"/>
        <w:rPr>
          <w:lang w:val="en-GB"/>
        </w:rPr>
      </w:pPr>
      <w:r w:rsidRPr="0082680A">
        <w:rPr>
          <w:lang w:val="en-GB"/>
        </w:rPr>
        <w:t xml:space="preserve">Despite the admirable contributions of thousands of doctors and scientists in that time, our challenge is to turn the treatment discovery timeline from decades into months, weeks, or even days. Rapid discovery has been accelerated via the birth of the field of bioinformatics and the computational modelling of disease systems. The ability to manipulate and perform calculations on huge quantities of data means that </w:t>
      </w:r>
      <w:r w:rsidR="00776EF9" w:rsidRPr="0082680A">
        <w:rPr>
          <w:lang w:val="en-GB"/>
        </w:rPr>
        <w:t>not only can we attempt</w:t>
      </w:r>
      <w:r w:rsidRPr="0082680A">
        <w:rPr>
          <w:lang w:val="en-GB"/>
        </w:rPr>
        <w:t xml:space="preserve"> to </w:t>
      </w:r>
      <w:r w:rsidR="00776EF9" w:rsidRPr="0082680A">
        <w:rPr>
          <w:lang w:val="en-GB"/>
        </w:rPr>
        <w:t xml:space="preserve">answer the unanswered </w:t>
      </w:r>
      <w:proofErr w:type="gramStart"/>
      <w:r w:rsidR="00776EF9" w:rsidRPr="0082680A">
        <w:rPr>
          <w:lang w:val="en-GB"/>
        </w:rPr>
        <w:t>questions,</w:t>
      </w:r>
      <w:r w:rsidRPr="0082680A">
        <w:rPr>
          <w:lang w:val="en-GB"/>
        </w:rPr>
        <w:t xml:space="preserve"> but</w:t>
      </w:r>
      <w:proofErr w:type="gramEnd"/>
      <w:r w:rsidRPr="0082680A">
        <w:rPr>
          <w:lang w:val="en-GB"/>
        </w:rPr>
        <w:t xml:space="preserve"> do so in a fraction of the time.</w:t>
      </w:r>
      <w:r w:rsidR="00BB2145" w:rsidRPr="0082680A">
        <w:rPr>
          <w:lang w:val="en-GB"/>
        </w:rPr>
        <w:t xml:space="preserve"> </w:t>
      </w:r>
      <w:r w:rsidR="0023702D">
        <w:rPr>
          <w:lang w:val="en-GB"/>
        </w:rPr>
        <w:t xml:space="preserve">For </w:t>
      </w:r>
      <w:r w:rsidR="0023702D">
        <w:rPr>
          <w:lang w:val="en-GB"/>
        </w:rPr>
        <w:lastRenderedPageBreak/>
        <w:t xml:space="preserve">example, the US National Institute for Health has recently formed a collaboration with Google to generate </w:t>
      </w:r>
      <w:r w:rsidR="0092309F">
        <w:rPr>
          <w:lang w:val="en-GB"/>
        </w:rPr>
        <w:t xml:space="preserve">powerful </w:t>
      </w:r>
      <w:r w:rsidR="0023702D">
        <w:rPr>
          <w:lang w:val="en-GB"/>
        </w:rPr>
        <w:t xml:space="preserve">cloud-based computational pipelines for vast datasets such as the </w:t>
      </w:r>
      <w:proofErr w:type="spellStart"/>
      <w:r w:rsidR="0023702D">
        <w:rPr>
          <w:lang w:val="en-GB"/>
        </w:rPr>
        <w:t>GTex</w:t>
      </w:r>
      <w:proofErr w:type="spellEnd"/>
      <w:r w:rsidR="0023702D">
        <w:rPr>
          <w:lang w:val="en-GB"/>
        </w:rPr>
        <w:t xml:space="preserve"> gene expression database. </w:t>
      </w:r>
      <w:r w:rsidR="00BB2145" w:rsidRPr="0082680A">
        <w:rPr>
          <w:lang w:val="en-GB"/>
        </w:rPr>
        <w:t>Computational approaches also</w:t>
      </w:r>
      <w:r w:rsidRPr="0082680A">
        <w:rPr>
          <w:lang w:val="en-GB"/>
        </w:rPr>
        <w:t xml:space="preserve"> allow the analysis of high dimensionality data; computational models can hold information on millions of relationships between hundreds of thousands of molecules, all multiplied by the number of possible relationship types. </w:t>
      </w:r>
    </w:p>
    <w:p w14:paraId="0B84FAC8" w14:textId="46EE2646" w:rsidR="00DD630F" w:rsidRPr="0082680A" w:rsidRDefault="00F44FAF">
      <w:pPr>
        <w:contextualSpacing w:val="0"/>
        <w:rPr>
          <w:lang w:val="en-GB"/>
        </w:rPr>
      </w:pPr>
      <w:r w:rsidRPr="0082680A">
        <w:rPr>
          <w:lang w:val="en-GB"/>
        </w:rPr>
        <w:t xml:space="preserve">If our challenge is to </w:t>
      </w:r>
      <w:r w:rsidR="00BB2145" w:rsidRPr="0082680A">
        <w:rPr>
          <w:lang w:val="en-GB"/>
        </w:rPr>
        <w:t xml:space="preserve">develop methodologies not only capable of </w:t>
      </w:r>
      <w:r w:rsidRPr="0082680A">
        <w:rPr>
          <w:lang w:val="en-GB"/>
        </w:rPr>
        <w:t>discover</w:t>
      </w:r>
      <w:r w:rsidR="00BB2145" w:rsidRPr="0082680A">
        <w:rPr>
          <w:lang w:val="en-GB"/>
        </w:rPr>
        <w:t xml:space="preserve">ing </w:t>
      </w:r>
      <w:r w:rsidRPr="0082680A">
        <w:rPr>
          <w:lang w:val="en-GB"/>
        </w:rPr>
        <w:t>unknown causes of disease</w:t>
      </w:r>
      <w:r w:rsidR="00BB2145" w:rsidRPr="0082680A">
        <w:rPr>
          <w:lang w:val="en-GB"/>
        </w:rPr>
        <w:t>, but do so</w:t>
      </w:r>
      <w:r w:rsidRPr="0082680A">
        <w:rPr>
          <w:lang w:val="en-GB"/>
        </w:rPr>
        <w:t xml:space="preserve"> as rapidly as possible, then it is clear that computational modelling will play a key role. </w:t>
      </w:r>
    </w:p>
    <w:p w14:paraId="0795804F" w14:textId="77777777" w:rsidR="00DD630F" w:rsidRPr="00842FD0" w:rsidRDefault="00F44FAF" w:rsidP="00842FD0">
      <w:pPr>
        <w:pStyle w:val="Heading2"/>
      </w:pPr>
      <w:bookmarkStart w:id="5" w:name="_Toc527800518"/>
      <w:bookmarkStart w:id="6" w:name="_Toc3211307"/>
      <w:r w:rsidRPr="00842FD0">
        <w:t>Small Data</w:t>
      </w:r>
      <w:bookmarkEnd w:id="5"/>
      <w:bookmarkEnd w:id="6"/>
    </w:p>
    <w:p w14:paraId="0D680C47" w14:textId="36FD1D95" w:rsidR="00DD630F" w:rsidRPr="0082680A" w:rsidRDefault="00F44FAF">
      <w:pPr>
        <w:contextualSpacing w:val="0"/>
        <w:rPr>
          <w:lang w:val="en-GB"/>
        </w:rPr>
      </w:pPr>
      <w:r w:rsidRPr="0082680A">
        <w:rPr>
          <w:lang w:val="en-GB"/>
        </w:rPr>
        <w:t xml:space="preserve">Large scale and high dimensionality, however, comes with its own statistical burden. Conventional computational approaches built to identify mechanisms of disease are generally reliant on large input datasets. Statistical power - the likelihood a model represents a true positive - is a concept which underpins many aspects of computational modelling </w:t>
      </w:r>
      <w:r w:rsidR="00D908C0" w:rsidRPr="0082680A">
        <w:rPr>
          <w:lang w:val="en-GB"/>
        </w:rPr>
        <w:fldChar w:fldCharType="begin" w:fldLock="1"/>
      </w:r>
      <w:r w:rsidR="0050527E">
        <w:rPr>
          <w:lang w:val="en-GB"/>
        </w:rPr>
        <w:instrText>ADDIN CSL_CITATION {"citationItems":[{"id":"ITEM-1","itemData":{"DOI":"10.1261/rna.046011.114","ISSN":"1469-9001","PMID":"25246651","abstract":"It is crucial for researchers to optimize RNA-seq experimental designs for differential expression detection. Currently, the field lacks general methods to estimate power and sample size for RNA-Seq in complex experimental designs, under the assumption of the negative binomial distribution. We simulate RNA-Seq count data based on parameters estimated from six widely different public data sets (including cell line comparison, tissue comparison, and cancer data sets) and calculate the statistical power in paired and unpaired sample experiments. We comprehensively compare five differential expression analysis packages (DESeq, edgeR, DESeq2, sSeq, and EBSeq) and evaluate their performance by power, receiver operator characteristic (ROC) curves, and other metrics including areas under the curve (AUC), Matthews correlation coefficient (MCC), and F-measures. DESeq2 and edgeR tend to give the best performance in general. Increasing sample size or sequencing depth increases power; however, increasing sample size is more potent than sequencing depth to increase power, especially when the sequencing depth reaches 20 million reads. Long intergenic noncoding RNAs (lincRNA) yields lower power relative to the protein coding mRNAs, given their lower expression level in the same RNA-Seq experiment. On the other hand, paired-sample RNA-Seq significantly enhances the statistical power, confirming the importance of considering the multifactor experimental design. Finally, a local optimal power is achievable for a given budget constraint, and the dominant contributing factor is sample size rather than the sequencing depth. In conclusion, we provide a power analysis tool (http://www2.hawaii.edu/~lgarmire/RNASeqPowerCalculator.htm) that captures the dispersion in the data and can serve as a practical reference under the budget constraint of RNA-Seq experiments.","author":[{"dropping-particle":"","family":"Ching","given":"Travers","non-dropping-particle":"","parse-names":false,"suffix":""},{"dropping-particle":"","family":"Huang","given":"Sijia","non-dropping-particle":"","parse-names":false,"suffix":""},{"dropping-particle":"","family":"Garmire","given":"Lana X","non-dropping-particle":"","parse-names":false,"suffix":""}],"container-title":"RNA (New York, N.Y.)","id":"ITEM-1","issue":"11","issued":{"date-parts":[["2014","11"]]},"page":"1684-96","publisher":"Cold Spring Harbor Laboratory Press","title":"Power analysis and sample size estimation for RNA-Seq differential expression.","type":"article-journal","volume":"20"},"uris":["http://www.mendeley.com/documents/?uuid=19bd2549-8245-384e-9ff3-82f1407a169b"]},{"id":"ITEM-2","itemData":{"DOI":"10.1186/1471-2105-11-95","ISSN":"1471-2105","PMID":"20170493","abstract":"BACKGROUND It has been long well known that genes do not act alone; rather groups of genes act in consort during a biological process. Consequently, the expression levels of genes are dependent on each other. Experimental techniques to detect such interacting pairs of genes have been in place for quite some time. With the advent of microarray technology, newer computational techniques to detect such interaction or association between gene expressions are being proposed which lead to an association network. While most microarray analyses look for genes that are differentially expressed, it is of potentially greater significance to identify how entire association network structures change between two or more biological settings, say normal versus diseased cell types. RESULTS We provide a recipe for conducting a differential analysis of networks constructed from microarray data under two experimental settings. At the core of our approach lies a connectivity score that represents the strength of genetic association or interaction between two genes. We use this score to propose formal statistical tests for each of following queries: (i) whether the overall modular structures of the two networks are different, (ii) whether the connectivity of a particular set of \"interesting genes\" has changed between the two networks, and (iii) whether the connectivity of a given single gene has changed between the two networks. A number of examples of this score is provided. We carried out our method on two types of simulated data: Gaussian networks and networks based on differential equations. We show that, for appropriate choices of the connectivity scores and tuning parameters, our method works well on simulated data. We also analyze a real data set involving normal versus heavy mice and identify an interesting set of genes that may play key roles in obesity. CONCLUSIONS Examining changes in network structure can provide valuable information about the underlying biochemical pathways. Differential network analysis with appropriate connectivity scores is a useful tool in exploring changes in network structures under different biological conditions. An R package of our tests can be downloaded from the supplementary website http://www.somnathdatta.org/Supp/DNA.","author":[{"dropping-particle":"","family":"Gill","given":"Ryan","non-dropping-particle":"","parse-names":false,"suffix":""},{"dropping-particle":"","family":"Datta","given":"Somnath","non-dropping-particle":"","parse-names":false,"suffix":""},{"dropping-particle":"","family":"Datta","given":"Susmita","non-dropping-particle":"","parse-names":false,"suffix":""}],"container-title":"BMC bioinformatics","id":"ITEM-2","issued":{"date-parts":[["2010","2","19"]]},"page":"95","publisher":"BioMed Central","title":"A statistical framework for differential network analysis from microarray data.","type":"article-journal","volume":"11"},"uris":["http://www.mendeley.com/documents/?uuid=6d668127-bf4b-3b20-b678-59b910337f13"]},{"id":"ITEM-3","itemData":{"DOI":"10.1101/186288","abstract":"We develop an analytic statistical framework for examining a variety of gene-set enrichment analysis tests. Within this framework, we describe why statistical power for both self-contained and competitive gene set tests is a function of the correlation structure of co-expressed genes, and why this characteristic is undesireable for gene-set analyses. We additionally describe why past gene-set tests have suffered from inflated type 1 error, and how permutation-based methods have sought to address the issue with some success in the case of self-contained tests and with less success in the case of competitive tests. While the context of this investigation is microarray analysis, with particular focus on leading tests CAMERA, ROAST, SAFE, and GAGE, the observations are also relevant to recently proposed RNAseq gene-set tests, including MAST. The variable statistical power we describe as a function of gene correlation structure has not been studied. While type 1 error inflation has been well-studied and described previously for both self-contained and competitive tests, it has less often been done in an analytical framework and so it is useful to make assumptions explicit and examine parametric distributions. We propose three alternative tests, one of which replicates the properties of permutation-based self-contained tests but obviates the need for even recently proposed, rotation-based approximations to burdensome permutations in favor of closed-form densities. The two other tests we propose have the unique property that their statistical power is not a function of co-expression correlation in the gene-set and therefore may be the preferred methodology. We provide simulation support for these proposed methods, compare their results to leading gene-set tests, and apply them to an already-published study of smoking exposure on pregnant women. We call the suite of three proposed test \"JAGST\" -- Just Another Gene-Set Test -- and make the methods accessible via an R package of the same name.","author":[{"dropping-particle":"","family":"Swanson","given":"David","non-dropping-particle":"","parse-names":false,"suffix":""}],"container-title":"bioRxiv","id":"ITEM-3","issued":{"date-parts":[["2017","9","8"]]},"page":"186288","publisher":"Cold Spring Harbor Laboratory","title":"Statistical power of gene-set enrichment analysis is a function of gene set correlation structure","type":"article-journal"},"uris":["http://www.mendeley.com/documents/?uuid=5e833d36-4ad6-3897-ac95-5f2b5a59a0c8"]},{"id":"ITEM-4","itemData":{"DOI":"10.1038/nrg3706","author":[{"dropping-particle":"","family":"Sham","given":"Pak C","non-dropping-particle":"","parse-names":false,"suffix":""},{"dropping-particle":"","family":"Purcell","given":"Shaun M","non-dropping-particle":"","parse-names":false,"suffix":""}],"container-title":"Nature Publishing Group","id":"ITEM-4","issued":{"date-parts":[["2014"]]},"title":"Statistical power and significance testing in large-scale genetic studies","type":"article-journal","volume":"15"},"uris":["http://www.mendeley.com/documents/?uuid=4601dd91-0292-37db-b4be-0e02a2431f64"]}],"mendeley":{"formattedCitation":"&lt;sup&gt;8–11&lt;/sup&gt;","plainTextFormattedCitation":"8–11","previouslyFormattedCitation":"&lt;sup&gt;8–11&lt;/sup&gt;"},"properties":{"noteIndex":0},"schema":"https://github.com/citation-style-language/schema/raw/master/csl-citation.json"}</w:instrText>
      </w:r>
      <w:r w:rsidR="00D908C0" w:rsidRPr="0082680A">
        <w:rPr>
          <w:lang w:val="en-GB"/>
        </w:rPr>
        <w:fldChar w:fldCharType="separate"/>
      </w:r>
      <w:r w:rsidR="00442425" w:rsidRPr="00442425">
        <w:rPr>
          <w:noProof/>
          <w:vertAlign w:val="superscript"/>
          <w:lang w:val="en-GB"/>
        </w:rPr>
        <w:t>8–11</w:t>
      </w:r>
      <w:r w:rsidR="00D908C0" w:rsidRPr="0082680A">
        <w:rPr>
          <w:lang w:val="en-GB"/>
        </w:rPr>
        <w:fldChar w:fldCharType="end"/>
      </w:r>
      <w:r w:rsidRPr="0082680A">
        <w:rPr>
          <w:lang w:val="en-GB"/>
        </w:rPr>
        <w:t xml:space="preserve"> For example, in genetic association studies, the enormity of the human genome has led to the necessary recruitment of thousands of participants to retain statistical power </w:t>
      </w:r>
      <w:r w:rsidR="000F649D" w:rsidRPr="0082680A">
        <w:rPr>
          <w:lang w:val="en-GB"/>
        </w:rPr>
        <w:fldChar w:fldCharType="begin" w:fldLock="1"/>
      </w:r>
      <w:r w:rsidR="0050527E">
        <w:rPr>
          <w:lang w:val="en-GB"/>
        </w:rPr>
        <w:instrText>ADDIN CSL_CITATION {"citationItems":[{"id":"ITEM-1","itemData":{"DOI":"10.1136/bmj.k1687","author":[{"dropping-particle":"","family":"Turnbull","given":"Clare","non-dropping-particle":"","parse-names":false,"suffix":""},{"dropping-particle":"","family":"Scott","given":"Richard H","non-dropping-particle":"","parse-names":false,"suffix":""},{"dropping-particle":"","family":"Thomas","given":"Ellen","non-dropping-particle":"","parse-names":false,"suffix":""},{"dropping-particle":"","family":"Jones","given":"Louise","non-dropping-particle":"","parse-names":false,"suffix":""},{"dropping-particle":"","family":"Murugaesu","given":"Nirupa","non-dropping-particle":"","parse-names":false,"suffix":""},{"dropping-particle":"","family":"Boardman Pretty","given":"Freya","non-dropping-particle":"","parse-names":false,"suffix":""},{"dropping-particle":"","family":"Halai","given":"Dina","non-dropping-particle":"","parse-names":false,"suffix":""},{"dropping-particle":"","family":"Baple","given":"Emma","non-dropping-particle":"","parse-names":false,"suffix":""},{"dropping-particle":"","family":"Craig","given":"Clare","non-dropping-particle":"","parse-names":false,"suffix":""},{"dropping-particle":"","family":"Hamblin","given":"Angela","non-dropping-particle":"","parse-names":false,"suffix":""},{"dropping-particle":"","family":"Henderson","given":"Shirley","non-dropping-particle":"","parse-names":false,"suffix":""},{"dropping-particle":"","family":"Patch","given":"Christine","non-dropping-particle":"","parse-names":false,"suffix":""},{"dropping-particle":"","family":"ONeill","given":"Amanda","non-dropping-particle":"","parse-names":false,"suffix":""},{"dropping-particle":"","family":"Devereau","given":"Andrew","non-dropping-particle":"","parse-names":false,"suffix":""},{"dropping-particle":"","family":"Smith","given":"Katherine","non-dropping-particle":"","parse-names":false,"suffix":""},{"dropping-particle":"","family":"Rueda Martin","given":"Antonio","non-dropping-particle":"","parse-names":false,"suffix":""},{"dropping-particle":"","family":"Sosinsky","given":"Alona","non-dropping-particle":"","parse-names":false,"suffix":""},{"dropping-particle":"","family":"McDonagh","given":"Ellen M","non-dropping-particle":"","parse-names":false,"suffix":""},{"dropping-particle":"","family":"Sultana","given":"Razvan","non-dropping-particle":"","parse-names":false,"suffix":""},{"dropping-particle":"","family":"Mueller","given":"Michael","non-dropping-particle":"","parse-names":false,"suffix":""},{"dropping-particle":"","family":"Smedley","given":"Damian","non-dropping-particle":"","parse-names":false,"suffix":""},{"dropping-particle":"","family":"Toms","given":"Adam","non-dropping-particle":"","parse-names":false,"suffix":""},{"dropping-particle":"","family":"Dinh","given":"Lisa","non-dropping-particle":"","parse-names":false,"suffix":""},{"dropping-particle":"","family":"Fowler","given":"Tom","non-dropping-particle":"","parse-names":false,"suffix":""},{"dropping-particle":"","family":"Bale","given":"Mark","non-dropping-particle":"","parse-names":false,"suffix":""},{"dropping-particle":"","family":"Hubbard","given":"Tim","non-dropping-particle":"","parse-names":false,"suffix":""},{"dropping-particle":"","family":"Rendon","given":"Augusto","non-dropping-particle":"","parse-names":false,"suffix":""},{"dropping-particle":"","family":"Hill","given":"Sue","non-dropping-particle":"","parse-names":false,"suffix":""},{"dropping-particle":"","family":"Caulfield","given":"Mark J","non-dropping-particle":"","parse-names":false,"suffix":""}],"container-title":"BMJ","id":"ITEM-1","issued":{"date-parts":[["2018"]]},"title":"The 100 000 Genomes Project: bringing whole genome sequencing to the NHS","type":"article-journal","volume":"361"},"uris":["http://www.mendeley.com/documents/?uuid=6c6ff4c9-f5bb-34c1-aa24-e247e286f1e5"]},{"id":"ITEM-2","itemData":{"DOI":"10.1038/mp.2017.77","ISSN":"1359-4184","abstract":"Largest GWAS of PTSD (&lt;i&gt;N&lt;/i&gt;=20 070) yields genetic overlap with schizophrenia and sex differences in heritability","author":[{"dropping-particle":"","family":"Duncan","given":"L E","non-dropping-particle":"","parse-names":false,"suffix":""},{"dropping-particle":"","family":"Ratanatharathorn","given":"A","non-dropping-particle":"","parse-names":false,"suffix":""},{"dropping-particle":"","family":"Aiello","given":"A E","non-dropping-particle":"","parse-names":false,"suffix":""},{"dropping-particle":"","family":"Almli","given":"L M","non-dropping-particle":"","parse-names":false,"suffix":""},{"dropping-particle":"","family":"Amstadter","given":"A B","non-dropping-particle":"","parse-names":false,"suffix":""},{"dropping-particle":"","family":"Ashley-Koch","given":"A E","non-dropping-particle":"","parse-names":false,"suffix":""},{"dropping-particle":"","family":"Baker","given":"D G","non-dropping-particle":"","parse-names":false,"suffix":""},{"dropping-particle":"","family":"Beckham","given":"J C","non-dropping-particle":"","parse-names":false,"suffix":""},{"dropping-particle":"","family":"Bierut","given":"L J","non-dropping-particle":"","parse-names":false,"suffix":""},{"dropping-particle":"","family":"Bisson","given":"J","non-dropping-particle":"","parse-names":false,"suffix":""},{"dropping-particle":"","family":"Bradley","given":"B","non-dropping-particle":"","parse-names":false,"suffix":""},{"dropping-particle":"","family":"Chen","given":"C-Y","non-dropping-particle":"","parse-names":false,"suffix":""},{"dropping-particle":"","family":"Dalvie","given":"S","non-dropping-particle":"","parse-names":false,"suffix":""},{"dropping-particle":"","family":"Farrer","given":"L A","non-dropping-particle":"","parse-names":false,"suffix":""},{"dropping-particle":"","family":"Galea","given":"S","non-dropping-particle":"","parse-names":false,"suffix":""},{"dropping-particle":"","family":"Garrett","given":"M E","non-dropping-particle":"","parse-names":false,"suffix":""},{"dropping-particle":"","family":"Gelernter","given":"J E","non-dropping-particle":"","parse-names":false,"suffix":""},{"dropping-particle":"","family":"Guffanti","given":"G","non-dropping-particle":"","parse-names":false,"suffix":""},{"dropping-particle":"","family":"Hauser","given":"M A","non-dropping-particle":"","parse-names":false,"suffix":""},{"dropping-particle":"","family":"Johnson","given":"E O","non-dropping-particle":"","parse-names":false,"suffix":""},{"dropping-particle":"","family":"Kessler","given":"R C","non-dropping-particle":"","parse-names":false,"suffix":""},{"dropping-particle":"","family":"Kimbrel","given":"N A","non-dropping-particle":"","parse-names":false,"suffix":""},{"dropping-particle":"","family":"King","given":"A","non-dropping-particle":"","parse-names":false,"suffix":""},{"dropping-particle":"","family":"Koen","given":"N","non-dropping-particle":"","parse-names":false,"suffix":""},{"dropping-particle":"","family":"Kranzler","given":"H R","non-dropping-particle":"","parse-names":false,"suffix":""},{"dropping-particle":"","family":"Logue","given":"M W","non-dropping-particle":"","parse-names":false,"suffix":""},{"dropping-particle":"","family":"Maihofer","given":"A X","non-dropping-particle":"","parse-names":false,"suffix":""},{"dropping-particle":"","family":"Martin","given":"A R","non-dropping-particle":"","parse-names":false,"suffix":""},{"dropping-particle":"","family":"Miller","given":"M W","non-dropping-particle":"","parse-names":false,"suffix":""},{"dropping-particle":"","family":"Morey","given":"R A","non-dropping-particle":"","parse-names":false,"suffix":""},{"dropping-particle":"","family":"Nugent","given":"N R","non-dropping-particle":"","parse-names":false,"suffix":""},{"dropping-particle":"","family":"Rice","given":"J P","non-dropping-particle":"","parse-names":false,"suffix":""},{"dropping-particle":"","family":"Ripke","given":"S","non-dropping-particle":"","parse-names":false,"suffix":""},{"dropping-particle":"","family":"Roberts","given":"A L","non-dropping-particle":"","parse-names":false,"suffix":""},{"dropping-particle":"","family":"Saccone","given":"N L","non-dropping-particle":"","parse-names":false,"suffix":""},{"dropping-particle":"","family":"Smoller","given":"J W","non-dropping-particle":"","parse-names":false,"suffix":""},{"dropping-particle":"","family":"Stein","given":"D J","non-dropping-particle":"","parse-names":false,"suffix":""},{"dropping-particle":"","family":"Stein","given":"M B","non-dropping-particle":"","parse-names":false,"suffix":""},{"dropping-particle":"","family":"Sumner","given":"J A","non-dropping-particle":"","parse-names":false,"suffix":""},{"dropping-particle":"","family":"Uddin","given":"M","non-dropping-particle":"","parse-names":false,"suffix":""},{"dropping-particle":"","family":"Ursano","given":"R J","non-dropping-particle":"","parse-names":false,"suffix":""},{"dropping-particle":"","family":"Wildman","given":"D E","non-dropping-particle":"","parse-names":false,"suffix":""},{"dropping-particle":"","family":"Yehuda","given":"R","non-dropping-particle":"","parse-names":false,"suffix":""},{"dropping-particle":"","family":"Zhao","given":"H","non-dropping-particle":"","parse-names":false,"suffix":""},{"dropping-particle":"","family":"Daly","given":"M J","non-dropping-particle":"","parse-names":false,"suffix":""},{"dropping-particle":"","family":"Liberzon","given":"I","non-dropping-particle":"","parse-names":false,"suffix":""},{"dropping-particle":"","family":"Ressler","given":"K J","non-dropping-particle":"","parse-names":false,"suffix":""},{"dropping-particle":"","family":"Nievergelt","given":"C M","non-dropping-particle":"","parse-names":false,"suffix":""},{"dropping-particle":"","family":"Koenen","given":"K C","non-dropping-particle":"","parse-names":false,"suffix":""}],"container-title":"Molecular Psychiatry","id":"ITEM-2","issue":"3","issued":{"date-parts":[["2017","4","25"]]},"page":"666","publisher":"Nature Publishing Group","title":"Largest GWAS of PTSD (N=20 070) yields genetic overlap with schizophrenia and sex differences in heritability","type":"article-journal","volume":"23"},"uris":["http://www.mendeley.com/documents/?uuid=88d82e46-2c54-3e78-944f-a824d7bab7f7"]},{"id":"ITEM-3","itemData":{"DOI":"10.1038/mp.2015.225","ISSN":"1359-4184","abstract":"Shared genetic aetiology between cognitive functions and physical and mental health in UK Biobank (&lt;i&gt;N&lt;/i&gt;=112 151) and 24 GWAS consortia","author":[{"dropping-particle":"","family":"Hagenaars","given":"S P","non-dropping-particle":"","parse-names":false,"suffix":""},{"dropping-particle":"","family":"Harris","given":"S E","non-dropping-particle":"","parse-names":false,"suffix":""},{"dropping-particle":"","family":"Davies","given":"G","non-dropping-particle":"","parse-names":false,"suffix":""},{"dropping-particle":"","family":"Hill","given":"W D","non-dropping-particle":"","parse-names":false,"suffix":""},{"dropping-particle":"","family":"Liewald","given":"D C M","non-dropping-particle":"","parse-names":false,"suffix":""},{"dropping-particle":"","family":"Ritchie","given":"S J","non-dropping-particle":"","parse-names":false,"suffix":""},{"dropping-particle":"","family":"Marioni","given":"R E","non-dropping-particle":"","parse-names":false,"suffix":""},{"dropping-particle":"","family":"Fawns-Ritchie","given":"C","non-dropping-particle":"","parse-names":false,"suffix":""},{"dropping-particle":"","family":"Cullen","given":"B","non-dropping-particle":"","parse-names":false,"suffix":""},{"dropping-particle":"","family":"Malik","given":"R","non-dropping-particle":"","parse-names":false,"suffix":""},{"dropping-particle":"","family":"Worrall","given":"B B","non-dropping-particle":"","parse-names":false,"suffix":""},{"dropping-particle":"","family":"Sudlow","given":"C L M","non-dropping-particle":"","parse-names":false,"suffix":""},{"dropping-particle":"","family":"Wardlaw","given":"J M","non-dropping-particle":"","parse-names":false,"suffix":""},{"dropping-particle":"","family":"Gallacher","given":"J","non-dropping-particle":"","parse-names":false,"suffix":""},{"dropping-particle":"","family":"Pell","given":"J","non-dropping-particle":"","parse-names":false,"suffix":""},{"dropping-particle":"","family":"McIntosh","given":"A M","non-dropping-particle":"","parse-names":false,"suffix":""},{"dropping-particle":"","family":"Smith","given":"D J","non-dropping-particle":"","parse-names":false,"suffix":""},{"dropping-particle":"","family":"Gale","given":"C R","non-dropping-particle":"","parse-names":false,"suffix":""},{"dropping-particle":"","family":"Deary","given":"I J","non-dropping-particle":"","parse-names":false,"suffix":""},{"dropping-particle":"","family":"Smith","given":"D J","non-dropping-particle":"","parse-names":false,"suffix":""},{"dropping-particle":"","family":"Gale","given":"C R","non-dropping-particle":"","parse-names":false,"suffix":""},{"dropping-particle":"","family":"Deary","given":"I J","non-dropping-particle":"","parse-names":false,"suffix":""}],"container-title":"Molecular Psychiatry","id":"ITEM-3","issue":"11","issued":{"date-parts":[["2016","11","26"]]},"page":"1624-1632","publisher":"Nature Publishing Group","title":"Shared genetic aetiology between cognitive functions and physical and mental health in UK Biobank (N=112 151) and 24 GWAS consortia","type":"article-journal","volume":"21"},"uris":["http://www.mendeley.com/documents/?uuid=5d455db7-939f-32db-8892-70a6d11d512c"]}],"mendeley":{"formattedCitation":"&lt;sup&gt;12–14&lt;/sup&gt;","plainTextFormattedCitation":"12–14","previouslyFormattedCitation":"&lt;sup&gt;12–14&lt;/sup&gt;"},"properties":{"noteIndex":0},"schema":"https://github.com/citation-style-language/schema/raw/master/csl-citation.json"}</w:instrText>
      </w:r>
      <w:r w:rsidR="000F649D" w:rsidRPr="0082680A">
        <w:rPr>
          <w:lang w:val="en-GB"/>
        </w:rPr>
        <w:fldChar w:fldCharType="separate"/>
      </w:r>
      <w:r w:rsidR="00442425" w:rsidRPr="00442425">
        <w:rPr>
          <w:noProof/>
          <w:vertAlign w:val="superscript"/>
          <w:lang w:val="en-GB"/>
        </w:rPr>
        <w:t>12–14</w:t>
      </w:r>
      <w:r w:rsidR="000F649D" w:rsidRPr="0082680A">
        <w:rPr>
          <w:lang w:val="en-GB"/>
        </w:rPr>
        <w:fldChar w:fldCharType="end"/>
      </w:r>
      <w:r w:rsidR="000F649D" w:rsidRPr="0082680A">
        <w:rPr>
          <w:lang w:val="en-GB"/>
        </w:rPr>
        <w:t>.</w:t>
      </w:r>
      <w:r w:rsidRPr="0082680A">
        <w:rPr>
          <w:lang w:val="en-GB"/>
        </w:rPr>
        <w:t xml:space="preserve"> Statistical power is also affected by the rarity and effect size of a polymorphism, sometimes requiring millions of participants to pass power analysis </w:t>
      </w:r>
      <w:r w:rsidR="000F649D" w:rsidRPr="0082680A">
        <w:rPr>
          <w:lang w:val="en-GB"/>
        </w:rPr>
        <w:fldChar w:fldCharType="begin" w:fldLock="1"/>
      </w:r>
      <w:r w:rsidR="0050527E">
        <w:rPr>
          <w:lang w:val="en-GB"/>
        </w:rPr>
        <w:instrText>ADDIN CSL_CITATION {"citationItems":[{"id":"ITEM-1","itemData":{"DOI":"10.1016/J.AJHG.2017.06.005","ISSN":"0002-9297","abstract":"Application of the experimental design of genome-wide association studies (GWASs) is now 10 years old (young), and here we review the remarkable range of discoveries it has facilitated in population and complex-trait genetics, the biology of diseases, and translation toward new therapeutics. We predict the likely discoveries in the next 10 years, when GWASs will be based on millions of samples with array data imputed to a large fully sequenced reference panel and on hundreds of thousands of samples with whole-genome sequencing data.","author":[{"dropping-particle":"","family":"Visscher","given":"Peter M.","non-dropping-particle":"","parse-names":false,"suffix":""},{"dropping-particle":"","family":"Wray","given":"Naomi R.","non-dropping-particle":"","parse-names":false,"suffix":""},{"dropping-particle":"","family":"Zhang","given":"Qian","non-dropping-particle":"","parse-names":false,"suffix":""},{"dropping-particle":"","family":"Sklar","given":"Pamela","non-dropping-particle":"","parse-names":false,"suffix":""},{"dropping-particle":"","family":"McCarthy","given":"Mark I.","non-dropping-particle":"","parse-names":false,"suffix":""},{"dropping-particle":"","family":"Brown","given":"Matthew A.","non-dropping-particle":"","parse-names":false,"suffix":""},{"dropping-particle":"","family":"Yang","given":"Jian","non-dropping-particle":"","parse-names":false,"suffix":""}],"container-title":"The American Journal of Human Genetics","id":"ITEM-1","issue":"1","issued":{"date-parts":[["2017","7","6"]]},"page":"5-22","publisher":"Cell Press","title":"10 Years of GWAS Discovery: Biology, Function, and Translation","type":"article-journal","volume":"101"},"uris":["http://www.mendeley.com/documents/?uuid=17f3c33e-da2e-3433-97c2-81101816ccf5"]}],"mendeley":{"formattedCitation":"&lt;sup&gt;15&lt;/sup&gt;","plainTextFormattedCitation":"15","previouslyFormattedCitation":"&lt;sup&gt;15&lt;/sup&gt;"},"properties":{"noteIndex":0},"schema":"https://github.com/citation-style-language/schema/raw/master/csl-citation.json"}</w:instrText>
      </w:r>
      <w:r w:rsidR="000F649D" w:rsidRPr="0082680A">
        <w:rPr>
          <w:lang w:val="en-GB"/>
        </w:rPr>
        <w:fldChar w:fldCharType="separate"/>
      </w:r>
      <w:r w:rsidR="00442425" w:rsidRPr="00442425">
        <w:rPr>
          <w:noProof/>
          <w:vertAlign w:val="superscript"/>
          <w:lang w:val="en-GB"/>
        </w:rPr>
        <w:t>15</w:t>
      </w:r>
      <w:r w:rsidR="000F649D" w:rsidRPr="0082680A">
        <w:rPr>
          <w:lang w:val="en-GB"/>
        </w:rPr>
        <w:fldChar w:fldCharType="end"/>
      </w:r>
      <w:r w:rsidRPr="0082680A">
        <w:rPr>
          <w:lang w:val="en-GB"/>
        </w:rPr>
        <w:t xml:space="preserve">. </w:t>
      </w:r>
      <w:r w:rsidR="00BB2145" w:rsidRPr="0082680A">
        <w:rPr>
          <w:lang w:val="en-GB"/>
        </w:rPr>
        <w:t>I</w:t>
      </w:r>
      <w:r w:rsidRPr="0082680A">
        <w:rPr>
          <w:lang w:val="en-GB"/>
        </w:rPr>
        <w:t xml:space="preserve">ncreasing efforts are </w:t>
      </w:r>
      <w:r w:rsidR="00BB2145" w:rsidRPr="0082680A">
        <w:rPr>
          <w:lang w:val="en-GB"/>
        </w:rPr>
        <w:t xml:space="preserve">also </w:t>
      </w:r>
      <w:r w:rsidRPr="0082680A">
        <w:rPr>
          <w:lang w:val="en-GB"/>
        </w:rPr>
        <w:t xml:space="preserve">being made to generate large transcriptomic cohorts, with a number of </w:t>
      </w:r>
      <w:r w:rsidR="00840875" w:rsidRPr="0082680A">
        <w:rPr>
          <w:lang w:val="en-GB"/>
        </w:rPr>
        <w:t>RNA-Seq</w:t>
      </w:r>
      <w:r w:rsidRPr="0082680A">
        <w:rPr>
          <w:lang w:val="en-GB"/>
        </w:rPr>
        <w:t xml:space="preserve"> projects accumulating samples in the hundreds </w:t>
      </w:r>
      <w:r w:rsidR="00BB2145" w:rsidRPr="0082680A">
        <w:rPr>
          <w:lang w:val="en-GB"/>
        </w:rPr>
        <w:t>or</w:t>
      </w:r>
      <w:r w:rsidRPr="0082680A">
        <w:rPr>
          <w:lang w:val="en-GB"/>
        </w:rPr>
        <w:t xml:space="preserve"> thousands, and some single cell sequencing experiments reaching into the millions </w:t>
      </w:r>
      <w:r w:rsidR="000F649D" w:rsidRPr="0082680A">
        <w:rPr>
          <w:lang w:val="en-GB"/>
        </w:rPr>
        <w:fldChar w:fldCharType="begin" w:fldLock="1"/>
      </w:r>
      <w:r w:rsidR="0050527E">
        <w:rPr>
          <w:lang w:val="en-GB"/>
        </w:rPr>
        <w:instrText>ADDIN CSL_CITATION {"citationItems":[{"id":"ITEM-1","itemData":{"DOI":"10.1186/s12920-017-0295-9","ISSN":"1755-8794","PMID":"28985737","abstract":"BACKGROUND Cigarette smoking is the leading modifiable risk factor for disease and death worldwide. Previous studies quantifying gene-level expression have documented the effect of smoking on mRNA levels. Using RNA sequencing, it is possible to analyze the impact of smoking on complex regulatory phenomena (e.g. alternative splicing, differential isoform usage) leading to a more detailed understanding of the biology underlying smoking-related disease. METHODS We used whole-blood RNA sequencing to describe gene and exon-level expression differences between 229 current and 286 former smokers in the COPDGene study. We performed differential gene expression and differential exon usage analyses using the voom/limma and DEXseq R packages. Samples from current and former smokers were compared while controlling for age, gender, race, lifetime smoke exposure, cell counts, and technical covariates. RESULTS At an adjusted p-value &lt;0.05, 171 genes were differentially expressed between current and former smokers. Differentially expressed genes included 7 long non-coding RNAs that have not been previously associated with smoking: LINC00599, LINC01362, LINC00824, LINC01624, RP11-563D10.1, RP11-98G13.1, AC004791.2. Secondary analysis of acute smoking (having smoked within 2-h) revealed 5 of the 171 smoking genes demonstrated an acute response above the baseline effect of chronic smoking. Exon-level analyses identified 9 exons from 8 genes with significant differential usage by smoking status, suggesting smoking-induced changes in isoform expression. CONCLUSIONS Transcriptomic changes at the gene and exon levels from whole blood can refine our understanding of the molecular mechanisms underlying the response to smoking.","author":[{"dropping-particle":"","family":"Parker","given":"Margaret M.","non-dropping-particle":"","parse-names":false,"suffix":""},{"dropping-particle":"","family":"Chase","given":"Robert P.","non-dropping-particle":"","parse-names":false,"suffix":""},{"dropping-particle":"","family":"Lamb","given":"Andrew","non-dropping-particle":"","parse-names":false,"suffix":""},{"dropping-particle":"","family":"Reyes","given":"Alejandro","non-dropping-particle":"","parse-names":false,"suffix":""},{"dropping-particle":"","family":"Saferali","given":"Aabida","non-dropping-particle":"","parse-names":false,"suffix":""},{"dropping-particle":"","family":"Yun","given":"Jeong H.","non-dropping-particle":"","parse-names":false,"suffix":""},{"dropping-particle":"","family":"Himes","given":"Blanca E.","non-dropping-particle":"","parse-names":false,"suffix":""},{"dropping-particle":"","family":"Silverman","given":"Edwin K.","non-dropping-particle":"","parse-names":false,"suffix":""},{"dropping-particle":"","family":"Hersh","given":"Craig P.","non-dropping-particle":"","parse-names":false,"suffix":""},{"dropping-particle":"","family":"Castaldi","given":"Peter J.","non-dropping-particle":"","parse-names":false,"suffix":""}],"container-title":"BMC Medical Genomics","id":"ITEM-1","issue":"1","issued":{"date-parts":[["2017","12","6"]]},"page":"58","title":"RNA sequencing identifies novel non-coding RNA and exon-specific effects associated with cigarette smoking","type":"article-journal","volume":"10"},"uris":["http://www.mendeley.com/documents/?uuid=cef4bc0e-6300-311f-a676-36da9897da02"]},{"id":"ITEM-2","itemData":{"DOI":"10.1038/sdata.2018.142","ISSN":"2052-4463","abstract":"A multi-omic atlas of the human frontal cortex for aging and Alzheimer’s disease research","author":[{"dropping-particle":"","family":"Jager","given":"Philip L.","non-dropping-particle":"De","parse-names":false,"suffix":""},{"dropping-particle":"","family":"Ma","given":"Yiyi","non-dropping-particle":"","parse-names":false,"suffix":""},{"dropping-particle":"","family":"McCabe","given":"Cristin","non-dropping-particle":"","parse-names":false,"suffix":""},{"dropping-particle":"","family":"Xu","given":"Jishu","non-dropping-particle":"","parse-names":false,"suffix":""},{"dropping-particle":"","family":"Vardarajan","given":"Badri N.","non-dropping-particle":"","parse-names":false,"suffix":""},{"dropping-particle":"","family":"Felsky","given":"Daniel","non-dropping-particle":"","parse-names":false,"suffix":""},{"dropping-particle":"","family":"Klein","given":"Hans-Ulrich","non-dropping-particle":"","parse-names":false,"suffix":""},{"dropping-particle":"","family":"White","given":"Charles C.","non-dropping-particle":"","parse-names":false,"suffix":""},{"dropping-particle":"","family":"Peters","given":"Mette A.","non-dropping-particle":"","parse-names":false,"suffix":""},{"dropping-particle":"","family":"Lodgson","given":"Ben","non-dropping-particle":"","parse-names":false,"suffix":""},{"dropping-particle":"","family":"Nejad","given":"Parham","non-dropping-particle":"","parse-names":false,"suffix":""},{"dropping-particle":"","family":"Tang","given":"Anna","non-dropping-particle":"","parse-names":false,"suffix":""},{"dropping-particle":"","family":"Mangravite","given":"Lara M.","non-dropping-particle":"","parse-names":false,"suffix":""},{"dropping-particle":"","family":"Yu","given":"Lei","non-dropping-particle":"","parse-names":false,"suffix":""},{"dropping-particle":"","family":"Gaiteri","given":"Chris","non-dropping-particle":"","parse-names":false,"suffix":""},{"dropping-particle":"","family":"Mostafavi","given":"Sara","non-dropping-particle":"","parse-names":false,"suffix":""},{"dropping-particle":"","family":"Schneider","given":"Julie A.","non-dropping-particle":"","parse-names":false,"suffix":""},{"dropping-particle":"","family":"Bennett","given":"David A.","non-dropping-particle":"","parse-names":false,"suffix":""}],"container-title":"Scientific Data","id":"ITEM-2","issued":{"date-parts":[["2018","8","7"]]},"page":"180142","publisher":"Nature Publishing Group","title":"A multi-omic atlas of the human frontal cortex for aging and Alzheimer’s disease research","type":"article-journal","volume":"5"},"uris":["http://www.mendeley.com/documents/?uuid=53a67f55-850a-3c82-b16e-a269a1f00727"]},{"id":"ITEM-3","itemData":{"abstract":"Purpose In early breast cancer (BC), five conventional biomarkers-estrogen receptor (ER), progesterone receptor (PgR), human epidermal growth factor receptor 2 (HER2), Ki67, and Nottingham histologic grade (NHG)-are used to determine prognosis and treatment. We aimed to develop classifiers for these biomarkers that were based on tumor mRNA sequencing (RNA-seq), compare classification performance, and test whether such predictors could add value for risk stratification. Methods In total, 3,678 patients with BC were studied. For 405 tumors, a comprehensive multi-rater histopathologic evaluation was performed. Using RNA-seq data, single-gene classifiers and multigene classifiers (MGCs) were trained on consensus histopathology labels. Trained classifiers were tested on a prospective population-based series of 3,273 BCs that included a median follow-up of 52 months (Sweden Cancerome Analysis Network-Breast [SCAN-B], ClinicalTrials.gov identifier: NCT02306096), and results were evaluated by agreement statistics and Kaplan-Meier and Cox survival analyses. Results Pathologist concordance was high for ER, PgR, and HER2 (average κ, 0.920, 0.891, and 0.899, respectively) but moderate for Ki67 and NHG (average κ, 0.734 and 0.581). Concordance between RNA-seq classifiers and histopathology for the independent cohort of 3,273 was similar to interpathologist concordance. Patients with discordant classifications, predicted as hormone responsive by histopathology but non-hormone responsive by MGC, had significantly inferior overall survival compared with patients who had concordant results. This extended to patients who received no adjuvant therapy (hazard ratio [HR], 3.19; 95% CI, 1.19 to 8.57), or endocrine therapy alone (HR, 2.64; 95% CI, 1.55 to 4.51). For cases identified as hormone responsive by histopathol-ogy and who received endocrine therapy alone, the MGC hormone-responsive classifier remained significant after multivariable adjustment (HR, 2.45; 95% CI, 1.39 to 4.34). Conclusion Classification error rates for RNA-seq-based classifiers for the five key BC biomarkers generally were equivalent to conventional histopathology. However, RNA-seq classifiers provided added clinical value in particular for tumors determined by histo-pathology to be hormone responsive but by RNA-seq to be hormone insensitive. JCO Precis Oncol.","author":[{"dropping-particle":"","family":"Brueffer","given":"Christian","non-dropping-particle":"","parse-names":false,"suffix":""},{"dropping-particle":"","family":"Vallon-Christersson","given":"Johan","non-dropping-particle":"","parse-names":false,"suffix":""},{"dropping-particle":"","family":"Grabau","given":"Dorthe","non-dropping-particle":"","parse-names":false,"suffix":""},{"dropping-particle":"","family":"Ehinger","given":"Anna","non-dropping-particle":"","parse-names":false,"suffix":""},{"dropping-particle":"","family":"Häkkinen","given":"Jari","non-dropping-particle":"","parse-names":false,"suffix":""},{"dropping-particle":"","family":"Hegardt","given":"Cecilia","non-dropping-particle":"","parse-names":false,"suffix":""},{"dropping-particle":"","family":"Malina","given":"Janne","non-dropping-particle":"","parse-names":false,"suffix":""},{"dropping-particle":"","family":"Chen","given":"Yilun","non-dropping-particle":"","parse-names":false,"suffix":""},{"dropping-particle":"","family":"Bendahl","given":"Pär-Ola","non-dropping-particle":"","parse-names":false,"suffix":""},{"dropping-particle":"","family":"Manjer","given":"Jonas","non-dropping-particle":"","parse-names":false,"suffix":""},{"dropping-particle":"","family":"Malmberg","given":"Martin","non-dropping-particle":"","parse-names":false,"suffix":""},{"dropping-particle":"","family":"Larsson","given":"Christer","non-dropping-particle":"","parse-names":false,"suffix":""},{"dropping-particle":"","family":"Loman","given":"Niklas","non-dropping-particle":"","parse-names":false,"suffix":""},{"dropping-particle":"","family":"Rydén","given":"Lisa","non-dropping-particle":"","parse-names":false,"suffix":""},{"dropping-particle":"","family":"Borg","given":"Åke","non-dropping-particle":"","parse-names":false,"suffix":""},{"dropping-particle":"","family":"Saal","given":"Lao H","non-dropping-particle":"","parse-names":false,"suffix":""}],"id":"ITEM-3","issued":{"date-parts":[["2018"]]},"title":"Clinical Value of RNA Sequencing-Based Classifiers for Prediction of the Five Conventional Breast Cancer Biomarkers: A Report From the Population-Based Multicenter Sweden Cancerome Analysis Network-Breast Initiative","type":"report","volume":"19"},"uris":["http://www.mendeley.com/documents/?uuid=b2ef6e51-09b7-32fb-aaa9-75c55c44d56a"]},{"id":"ITEM-4","itemData":{"DOI":"10.1016/S0140-6736(15)01316-1","ISSN":"01406736","PMID":"27017310","abstract":"BACKGROUND Identification of blood biomarkers that prospectively predict progression of Mycobacterium tuberculosis infection to tuberculosis disease might lead to interventions that combat the tuberculosis epidemic. We aimed to assess whether global gene expression measured in whole blood of healthy people allowed identification of prospective signatures of risk of active tuberculosis disease. METHODS In this prospective cohort study, we followed up healthy, South African adolescents aged 12-18 years from the adolescent cohort study (ACS) who were infected with M tuberculosis for 2 years. We collected blood samples from study participants every 6 months and monitored the adolescents for progression to tuberculosis disease. A prospective signature of risk was derived from whole blood RNA sequencing data by comparing participants who developed active tuberculosis disease (progressors) with those who remained healthy (matched controls). After adaptation to multiplex quantitative real-time PCR (qRT-PCR), the signature was used to predict tuberculosis disease in untouched adolescent samples and in samples from independent cohorts of South African and Gambian adult progressors and controls. Participants of the independent cohorts were household contacts of adults with active pulmonary tuberculosis disease. FINDINGS Between July 6, 2005, and April 23, 2007, we enrolled 6363 participants from the ACS study and 4466 from independent South African and Gambian cohorts. 46 progressors and 107 matched controls were identified in the ACS cohort. A 16 gene signature of risk was identified. The signature predicted tuberculosis progression with a sensitivity of 66·1% (95% CI 63·2-68·9) and a specificity of 80·6% (79·2-82·0) in the 12 months preceding tuberculosis diagnosis. The risk signature was validated in an untouched group of adolescents (p=0·018 for RNA sequencing and p=0·0095 for qRT-PCR) and in the independent South African and Gambian cohorts (p values &lt;0·0001 by qRT-PCR) with a sensitivity of 53·7% (42·6-64·3) and a specificity of 82·8% (76·7-86) in the 12 months preceding tuberculosis. INTERPRETATION The whole blood tuberculosis risk signature prospectively identified people at risk of developing active tuberculosis, opening the possibility for targeted intervention to prevent the disease. FUNDING Bill &amp; Melinda Gates Foundation, the National Institutes of Health, Aeras, the European Union, and the South African Medical Research Council.","author":[{"dropping-particle":"","family":"Zak","given":"Daniel E","non-dropping-particle":"","parse-names":false,"suffix":""},{"dropping-particle":"","family":"Penn-Nicholson","given":"Adam","non-dropping-particle":"","parse-names":false,"suffix":""},{"dropping-particle":"","family":"Scriba","given":"Thomas J","non-dropping-particle":"","parse-names":false,"suffix":""},{"dropping-particle":"","family":"Thompson","given":"Ethan","non-dropping-particle":"","parse-names":false,"suffix":""},{"dropping-particle":"","family":"Suliman","given":"Sara","non-dropping-particle":"","parse-names":false,"suffix":""},{"dropping-particle":"","family":"Amon","given":"Lynn M","non-dropping-particle":"","parse-names":false,"suffix":""},{"dropping-particle":"","family":"Mahomed","given":"Hassan","non-dropping-particle":"","parse-names":false,"suffix":""},{"dropping-particle":"","family":"Erasmus","given":"Mzwandile","non-dropping-particle":"","parse-names":false,"suffix":""},{"dropping-particle":"","family":"Whatney","given":"Wendy","non-dropping-particle":"","parse-names":false,"suffix":""},{"dropping-particle":"","family":"Hussey","given":"Gregory D","non-dropping-particle":"","parse-names":false,"suffix":""},{"dropping-particle":"","family":"Abrahams","given":"Deborah","non-dropping-particle":"","parse-names":false,"suffix":""},{"dropping-particle":"","family":"Kafaar","given":"Fazlin","non-dropping-particle":"","parse-names":false,"suffix":""},{"dropping-particle":"","family":"Hawkridge","given":"Tony","non-dropping-particle":"","parse-names":false,"suffix":""},{"dropping-particle":"","family":"Verver","given":"Suzanne","non-dropping-particle":"","parse-names":false,"suffix":""},{"dropping-particle":"","family":"Hughes","given":"E Jane","non-dropping-particle":"","parse-names":false,"suffix":""},{"dropping-particle":"","family":"Ota","given":"Martin","non-dropping-particle":"","parse-names":false,"suffix":""},{"dropping-particle":"","family":"Sutherland","given":"Jayne","non-dropping-particle":"","parse-names":false,"suffix":""},{"dropping-particle":"","family":"Howe","given":"Rawleigh","non-dropping-particle":"","parse-names":false,"suffix":""},{"dropping-particle":"","family":"Dockrell","given":"Hazel M","non-dropping-particle":"","parse-names":false,"suffix":""},{"dropping-particle":"","family":"Boom","given":"W Henry","non-dropping-particle":"","parse-names":false,"suffix":""},{"dropping-particle":"","family":"Thiel","given":"Bonnie","non-dropping-particle":"","parse-names":false,"suffix":""},{"dropping-particle":"","family":"Ottenhoff","given":"Tom H M","non-dropping-particle":"","parse-names":false,"suffix":""},{"dropping-particle":"","family":"Mayanja-Kizza","given":"Harriet","non-dropping-particle":"","parse-names":false,"suffix":""},{"dropping-particle":"","family":"Crampin","given":"Amelia C","non-dropping-particle":"","parse-names":false,"suffix":""},{"dropping-particle":"","family":"Downing","given":"Katrina","non-dropping-particle":"","parse-names":false,"suffix":""},{"dropping-particle":"","family":"Hatherill","given":"Mark","non-dropping-particle":"","parse-names":false,"suffix":""},{"dropping-particle":"","family":"Valvo","given":"Joe","non-dropping-particle":"","parse-names":false,"suffix":""},{"dropping-particle":"","family":"Shankar","given":"Smitha","non-dropping-particle":"","parse-names":false,"suffix":""},{"dropping-particle":"","family":"Parida","given":"Shreemanta K","non-dropping-particle":"","parse-names":false,"suffix":""},{"dropping-particle":"","family":"Kaufmann","given":"Stefan H E","non-dropping-particle":"","parse-names":false,"suffix":""},{"dropping-particle":"","family":"Walzl","given":"Gerhard","non-dropping-particle":"","parse-names":false,"suffix":""},{"dropping-particle":"","family":"Aderem","given":"Alan","non-dropping-particle":"","parse-names":false,"suffix":""},{"dropping-particle":"","family":"Hanekom","given":"Willem A","non-dropping-particle":"","parse-names":false,"suffix":""},{"dropping-particle":"","family":"ACS and GC6-74 cohort study groups","given":"","non-dropping-particle":"","parse-names":false,"suffix":""}],"container-title":"The Lancet","id":"ITEM-4","issue":"10035","issued":{"date-parts":[["2016","6","4"]]},"page":"2312-2322","title":"A blood RNA signature for tuberculosis disease risk: a prospective cohort study","type":"article-journal","volume":"387"},"uris":["http://www.mendeley.com/documents/?uuid=ab82c86b-67da-4068-96b9-a5b19ab8e985"]}],"mendeley":{"formattedCitation":"&lt;sup&gt;16–19&lt;/sup&gt;","plainTextFormattedCitation":"16–19","previouslyFormattedCitation":"&lt;sup&gt;16–19&lt;/sup&gt;"},"properties":{"noteIndex":0},"schema":"https://github.com/citation-style-language/schema/raw/master/csl-citation.json"}</w:instrText>
      </w:r>
      <w:r w:rsidR="000F649D" w:rsidRPr="0082680A">
        <w:rPr>
          <w:lang w:val="en-GB"/>
        </w:rPr>
        <w:fldChar w:fldCharType="separate"/>
      </w:r>
      <w:r w:rsidR="00442425" w:rsidRPr="00442425">
        <w:rPr>
          <w:noProof/>
          <w:vertAlign w:val="superscript"/>
          <w:lang w:val="en-GB"/>
        </w:rPr>
        <w:t>16–19</w:t>
      </w:r>
      <w:r w:rsidR="000F649D" w:rsidRPr="0082680A">
        <w:rPr>
          <w:lang w:val="en-GB"/>
        </w:rPr>
        <w:fldChar w:fldCharType="end"/>
      </w:r>
      <w:r w:rsidR="00035010" w:rsidRPr="0082680A">
        <w:rPr>
          <w:lang w:val="en-GB"/>
        </w:rPr>
        <w:t>.</w:t>
      </w:r>
      <w:r w:rsidRPr="0082680A">
        <w:rPr>
          <w:lang w:val="en-GB"/>
        </w:rPr>
        <w:t xml:space="preserve"> </w:t>
      </w:r>
    </w:p>
    <w:p w14:paraId="33AADD8D" w14:textId="783F5D21" w:rsidR="00DE7A7E" w:rsidRPr="0082680A" w:rsidRDefault="00F44FAF">
      <w:pPr>
        <w:contextualSpacing w:val="0"/>
        <w:rPr>
          <w:lang w:val="en-GB"/>
        </w:rPr>
      </w:pPr>
      <w:r w:rsidRPr="0082680A">
        <w:rPr>
          <w:lang w:val="en-GB"/>
        </w:rPr>
        <w:t xml:space="preserve">Big data </w:t>
      </w:r>
      <w:r w:rsidR="005C4E13" w:rsidRPr="0082680A">
        <w:rPr>
          <w:lang w:val="en-GB"/>
        </w:rPr>
        <w:t xml:space="preserve">- the popular term referring to </w:t>
      </w:r>
      <w:r w:rsidR="00DE7A7E" w:rsidRPr="0082680A">
        <w:rPr>
          <w:lang w:val="en-GB"/>
        </w:rPr>
        <w:t xml:space="preserve">data collection on a large scale </w:t>
      </w:r>
      <w:r w:rsidR="005C4E13" w:rsidRPr="0082680A">
        <w:rPr>
          <w:lang w:val="en-GB"/>
        </w:rPr>
        <w:t xml:space="preserve">- </w:t>
      </w:r>
      <w:r w:rsidRPr="0082680A">
        <w:rPr>
          <w:lang w:val="en-GB"/>
        </w:rPr>
        <w:t xml:space="preserve">is attractive because it is powerful, however, big data is not always </w:t>
      </w:r>
      <w:r w:rsidR="00BB2145" w:rsidRPr="0082680A">
        <w:rPr>
          <w:lang w:val="en-GB"/>
        </w:rPr>
        <w:t>attainable</w:t>
      </w:r>
      <w:r w:rsidRPr="0082680A">
        <w:rPr>
          <w:lang w:val="en-GB"/>
        </w:rPr>
        <w:t xml:space="preserve">. Recruitment of individuals takes vast amounts of time, money, and organisational power that </w:t>
      </w:r>
      <w:r w:rsidR="00BB2145" w:rsidRPr="0082680A">
        <w:rPr>
          <w:lang w:val="en-GB"/>
        </w:rPr>
        <w:t>often crosses</w:t>
      </w:r>
      <w:r w:rsidRPr="0082680A">
        <w:rPr>
          <w:lang w:val="en-GB"/>
        </w:rPr>
        <w:t xml:space="preserve"> </w:t>
      </w:r>
      <w:r w:rsidR="00BB2145" w:rsidRPr="0082680A">
        <w:rPr>
          <w:lang w:val="en-GB"/>
        </w:rPr>
        <w:t>national borders</w:t>
      </w:r>
      <w:r w:rsidRPr="0082680A">
        <w:rPr>
          <w:lang w:val="en-GB"/>
        </w:rPr>
        <w:t xml:space="preserve">. Those capable of </w:t>
      </w:r>
      <w:r w:rsidR="00BB2145" w:rsidRPr="0082680A">
        <w:rPr>
          <w:lang w:val="en-GB"/>
        </w:rPr>
        <w:t>producing</w:t>
      </w:r>
      <w:r w:rsidRPr="0082680A">
        <w:rPr>
          <w:lang w:val="en-GB"/>
        </w:rPr>
        <w:t xml:space="preserve"> such </w:t>
      </w:r>
      <w:r w:rsidR="00BB2145" w:rsidRPr="0082680A">
        <w:rPr>
          <w:lang w:val="en-GB"/>
        </w:rPr>
        <w:t>data</w:t>
      </w:r>
      <w:r w:rsidRPr="0082680A">
        <w:rPr>
          <w:lang w:val="en-GB"/>
        </w:rPr>
        <w:t xml:space="preserve"> are generally large pharmaceutical companies or a collaborative effort across many academic institutions. For both, these organisations are far less likely to provide their data as open access due to its value. Subsequently, we are left with a conundrum </w:t>
      </w:r>
      <w:r w:rsidR="00DE7A7E" w:rsidRPr="0082680A">
        <w:rPr>
          <w:lang w:val="en-GB"/>
        </w:rPr>
        <w:t>–</w:t>
      </w:r>
      <w:r w:rsidRPr="0082680A">
        <w:rPr>
          <w:lang w:val="en-GB"/>
        </w:rPr>
        <w:t xml:space="preserve"> </w:t>
      </w:r>
      <w:r w:rsidR="00DE7A7E" w:rsidRPr="0082680A">
        <w:rPr>
          <w:lang w:val="en-GB"/>
        </w:rPr>
        <w:t>statistical models</w:t>
      </w:r>
      <w:r w:rsidRPr="0082680A">
        <w:rPr>
          <w:lang w:val="en-GB"/>
        </w:rPr>
        <w:t xml:space="preserve"> require the power of large datasets, but large datasets are </w:t>
      </w:r>
      <w:r w:rsidR="005C4E13" w:rsidRPr="0082680A">
        <w:rPr>
          <w:lang w:val="en-GB"/>
        </w:rPr>
        <w:t xml:space="preserve">sparsely </w:t>
      </w:r>
      <w:r w:rsidRPr="0082680A">
        <w:rPr>
          <w:lang w:val="en-GB"/>
        </w:rPr>
        <w:t xml:space="preserve">available. What </w:t>
      </w:r>
      <w:r w:rsidR="00DE7A7E" w:rsidRPr="0082680A">
        <w:rPr>
          <w:lang w:val="en-GB"/>
        </w:rPr>
        <w:t>we do have, however,</w:t>
      </w:r>
      <w:r w:rsidRPr="0082680A">
        <w:rPr>
          <w:lang w:val="en-GB"/>
        </w:rPr>
        <w:t xml:space="preserve"> are </w:t>
      </w:r>
      <w:r w:rsidR="00DE7A7E" w:rsidRPr="0082680A">
        <w:rPr>
          <w:lang w:val="en-GB"/>
        </w:rPr>
        <w:t xml:space="preserve">very </w:t>
      </w:r>
      <w:r w:rsidRPr="0082680A">
        <w:rPr>
          <w:lang w:val="en-GB"/>
        </w:rPr>
        <w:t>large numbers of much smaller datasets. Thousands of transcriptomic datasets are housed in databases such as the Gene Expression Omnibus (GEO,</w:t>
      </w:r>
      <w:r w:rsidR="00B958C5" w:rsidRPr="0082680A">
        <w:rPr>
          <w:rStyle w:val="Hyperlink"/>
          <w:lang w:val="en-GB"/>
        </w:rPr>
        <w:t xml:space="preserve"> http://www.ncbi.nlm.nih.gov/geo</w:t>
      </w:r>
      <w:r w:rsidRPr="0082680A">
        <w:rPr>
          <w:lang w:val="en-GB"/>
        </w:rPr>
        <w:t>) or ArrayExpress (</w:t>
      </w:r>
      <w:hyperlink r:id="rId28" w:history="1">
        <w:r w:rsidR="00B958C5" w:rsidRPr="0082680A">
          <w:rPr>
            <w:rStyle w:val="Hyperlink"/>
            <w:lang w:val="en-GB"/>
          </w:rPr>
          <w:t>https://www.ebi.ac.uk/arrayexpress</w:t>
        </w:r>
      </w:hyperlink>
      <w:r w:rsidRPr="0082680A">
        <w:rPr>
          <w:lang w:val="en-GB"/>
        </w:rPr>
        <w:t>),</w:t>
      </w:r>
      <w:r w:rsidR="00B958C5" w:rsidRPr="0082680A">
        <w:rPr>
          <w:lang w:val="en-GB"/>
        </w:rPr>
        <w:t xml:space="preserve"> </w:t>
      </w:r>
      <w:r w:rsidRPr="0082680A">
        <w:rPr>
          <w:lang w:val="en-GB"/>
        </w:rPr>
        <w:t xml:space="preserve">and are </w:t>
      </w:r>
      <w:r w:rsidR="00DE7A7E" w:rsidRPr="0082680A">
        <w:rPr>
          <w:lang w:val="en-GB"/>
        </w:rPr>
        <w:t>generally</w:t>
      </w:r>
      <w:r w:rsidRPr="0082680A">
        <w:rPr>
          <w:lang w:val="en-GB"/>
        </w:rPr>
        <w:t xml:space="preserve"> quite small</w:t>
      </w:r>
      <w:r w:rsidR="00DE7A7E" w:rsidRPr="0082680A">
        <w:rPr>
          <w:lang w:val="en-GB"/>
        </w:rPr>
        <w:t xml:space="preserve">; the average number of samples in a GEO dataset is just 25 </w:t>
      </w:r>
      <w:r w:rsidR="00DE7A7E" w:rsidRPr="0082680A">
        <w:rPr>
          <w:lang w:val="en-GB"/>
        </w:rPr>
        <w:fldChar w:fldCharType="begin" w:fldLock="1"/>
      </w:r>
      <w:r w:rsidR="0050527E">
        <w:rPr>
          <w:lang w:val="en-GB"/>
        </w:rPr>
        <w:instrText>ADDIN CSL_CITATION {"citationItems":[{"id":"ITEM-1","itemData":{"DOI":"10.1093/nar/gks1193","ISSN":"1362-4962","PMID":"23193258","abstract":"The Gene Expression Omnibus (GEO, http://www.ncbi.nlm.nih.gov/geo/) is an international public repository for high-throughput microarray and next-generation sequence functional genomic data sets submitted by the research community. The resource supports archiving of raw data, processed data and metadata which are indexed, cross-linked and searchable. All data are freely available for download in a variety of formats. GEO also provides several web-based tools and strategies to assist users to query, analyse and visualize data. This article reports current status and recent database developments, including the release of GEO2R, an R-based web application that helps users analyse GEO data.","author":[{"dropping-particle":"","family":"Barrett","given":"Tanya","non-dropping-particle":"","parse-names":false,"suffix":""},{"dropping-particle":"","family":"Wilhite","given":"Stephen E","non-dropping-particle":"","parse-names":false,"suffix":""},{"dropping-particle":"","family":"Ledoux","given":"Pierre","non-dropping-particle":"","parse-names":false,"suffix":""},{"dropping-particle":"","family":"Evangelista","given":"Carlos","non-dropping-particle":"","parse-names":false,"suffix":""},{"dropping-particle":"","family":"Kim","given":"Irene F","non-dropping-particle":"","parse-names":false,"suffix":""},{"dropping-particle":"","family":"Tomashevsky","given":"Maxim","non-dropping-particle":"","parse-names":false,"suffix":""},{"dropping-particle":"","family":"Marshall","given":"Kimberly A","non-dropping-particle":"","parse-names":false,"suffix":""},{"dropping-particle":"","family":"Phillippy","given":"Katherine H","non-dropping-particle":"","parse-names":false,"suffix":""},{"dropping-particle":"","family":"Sherman","given":"Patti M","non-dropping-particle":"","parse-names":false,"suffix":""},{"dropping-particle":"","family":"Holko","given":"Michelle","non-dropping-particle":"","parse-names":false,"suffix":""},{"dropping-particle":"","family":"Yefanov","given":"Andrey","non-dropping-particle":"","parse-names":false,"suffix":""},{"dropping-particle":"","family":"Lee","given":"Hyeseung","non-dropping-particle":"","parse-names":false,"suffix":""},{"dropping-particle":"","family":"Zhang","given":"Naigong","non-dropping-particle":"","parse-names":false,"suffix":""},{"dropping-particle":"","family":"Robertson","given":"Cynthia L","non-dropping-particle":"","parse-names":false,"suffix":""},{"dropping-particle":"","family":"Serova","given":"Nadezhda","non-dropping-particle":"","parse-names":false,"suffix":""},{"dropping-particle":"","family":"Davis","given":"Sean","non-dropping-particle":"","parse-names":false,"suffix":""},{"dropping-particle":"","family":"Soboleva","given":"Alexandra","non-dropping-particle":"","parse-names":false,"suffix":""}],"container-title":"Nucleic acids research","id":"ITEM-1","issue":"Database issue","issued":{"date-parts":[["2013","1"]]},"page":"D991-5","publisher":"Oxford University Press","title":"NCBI GEO: archive for functional genomics data sets--update.","type":"article-journal","volume":"41"},"uris":["http://www.mendeley.com/documents/?uuid=040ba138-e438-38de-ad08-816f1127f586"]}],"mendeley":{"formattedCitation":"&lt;sup&gt;20&lt;/sup&gt;","plainTextFormattedCitation":"20","previouslyFormattedCitation":"&lt;sup&gt;20&lt;/sup&gt;"},"properties":{"noteIndex":0},"schema":"https://github.com/citation-style-language/schema/raw/master/csl-citation.json"}</w:instrText>
      </w:r>
      <w:r w:rsidR="00DE7A7E" w:rsidRPr="0082680A">
        <w:rPr>
          <w:lang w:val="en-GB"/>
        </w:rPr>
        <w:fldChar w:fldCharType="separate"/>
      </w:r>
      <w:r w:rsidR="00442425" w:rsidRPr="00442425">
        <w:rPr>
          <w:noProof/>
          <w:vertAlign w:val="superscript"/>
          <w:lang w:val="en-GB"/>
        </w:rPr>
        <w:t>20</w:t>
      </w:r>
      <w:r w:rsidR="00DE7A7E" w:rsidRPr="0082680A">
        <w:rPr>
          <w:lang w:val="en-GB"/>
        </w:rPr>
        <w:fldChar w:fldCharType="end"/>
      </w:r>
      <w:r w:rsidRPr="0082680A">
        <w:rPr>
          <w:lang w:val="en-GB"/>
        </w:rPr>
        <w:t xml:space="preserve">. </w:t>
      </w:r>
      <w:r w:rsidR="00DE7A7E" w:rsidRPr="0082680A">
        <w:rPr>
          <w:lang w:val="en-GB"/>
        </w:rPr>
        <w:t xml:space="preserve">In fact, when we analysed the sample numbers for the 4348 datasets curated in GEO’s </w:t>
      </w:r>
      <w:r w:rsidR="00DE7A7E" w:rsidRPr="0082680A">
        <w:rPr>
          <w:lang w:val="en-GB"/>
        </w:rPr>
        <w:lastRenderedPageBreak/>
        <w:t xml:space="preserve">curated </w:t>
      </w:r>
      <w:proofErr w:type="spellStart"/>
      <w:r w:rsidR="00DE7A7E" w:rsidRPr="0082680A">
        <w:rPr>
          <w:lang w:val="en-GB"/>
        </w:rPr>
        <w:t>GenomeBrowser</w:t>
      </w:r>
      <w:proofErr w:type="spellEnd"/>
      <w:r w:rsidR="00DE7A7E" w:rsidRPr="0082680A">
        <w:rPr>
          <w:lang w:val="en-GB"/>
        </w:rPr>
        <w:t xml:space="preserve"> database (</w:t>
      </w:r>
      <w:hyperlink r:id="rId29" w:history="1">
        <w:r w:rsidR="00DE7A7E" w:rsidRPr="0082680A">
          <w:rPr>
            <w:rStyle w:val="Hyperlink"/>
            <w:lang w:val="en-GB"/>
          </w:rPr>
          <w:t>www.ncbi.nlm.nih.gov/sites/GDSbrowser</w:t>
        </w:r>
      </w:hyperlink>
      <w:r w:rsidR="00DE7A7E" w:rsidRPr="0082680A">
        <w:rPr>
          <w:lang w:val="en-GB"/>
        </w:rPr>
        <w:t xml:space="preserve">), the </w:t>
      </w:r>
      <w:r w:rsidR="005C3E9A">
        <w:rPr>
          <w:lang w:val="en-GB"/>
        </w:rPr>
        <w:t>median</w:t>
      </w:r>
      <w:r w:rsidR="00DE7A7E" w:rsidRPr="0082680A">
        <w:rPr>
          <w:lang w:val="en-GB"/>
        </w:rPr>
        <w:t xml:space="preserve"> sample size was </w:t>
      </w:r>
      <w:r w:rsidR="005C3E9A">
        <w:rPr>
          <w:lang w:val="en-GB"/>
        </w:rPr>
        <w:t>12</w:t>
      </w:r>
      <w:r w:rsidR="00DE7A7E" w:rsidRPr="0082680A">
        <w:rPr>
          <w:lang w:val="en-GB"/>
        </w:rPr>
        <w:t xml:space="preserve"> (Figure 1).</w:t>
      </w:r>
    </w:p>
    <w:p w14:paraId="6360B03A" w14:textId="77777777" w:rsidR="00DE7A7E" w:rsidRPr="0082680A" w:rsidRDefault="00DE7A7E">
      <w:pPr>
        <w:contextualSpacing w:val="0"/>
        <w:rPr>
          <w:lang w:val="en-GB"/>
        </w:rPr>
      </w:pPr>
    </w:p>
    <w:p w14:paraId="1D148803" w14:textId="77777777" w:rsidR="00DE7A7E" w:rsidRPr="0082680A" w:rsidRDefault="00DE7A7E" w:rsidP="00DE7A7E">
      <w:pPr>
        <w:pStyle w:val="NoSpacing"/>
        <w:rPr>
          <w:lang w:val="en-GB"/>
        </w:rPr>
      </w:pPr>
      <w:r w:rsidRPr="0082680A">
        <w:rPr>
          <w:noProof/>
          <w:lang w:val="en-GB"/>
        </w:rPr>
        <w:drawing>
          <wp:inline distT="0" distB="0" distL="0" distR="0" wp14:anchorId="12956BEF" wp14:editId="2CBDBDDD">
            <wp:extent cx="5039360" cy="3308126"/>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EO_DatasetBrowser_Samples.pdf"/>
                    <pic:cNvPicPr/>
                  </pic:nvPicPr>
                  <pic:blipFill rotWithShape="1">
                    <a:blip r:embed="rId30">
                      <a:extLst>
                        <a:ext uri="{28A0092B-C50C-407E-A947-70E740481C1C}">
                          <a14:useLocalDpi xmlns:a14="http://schemas.microsoft.com/office/drawing/2010/main" val="0"/>
                        </a:ext>
                      </a:extLst>
                    </a:blip>
                    <a:srcRect t="7170"/>
                    <a:stretch/>
                  </pic:blipFill>
                  <pic:spPr bwMode="auto">
                    <a:xfrm>
                      <a:off x="0" y="0"/>
                      <a:ext cx="5039360" cy="3308126"/>
                    </a:xfrm>
                    <a:prstGeom prst="rect">
                      <a:avLst/>
                    </a:prstGeom>
                    <a:ln>
                      <a:noFill/>
                    </a:ln>
                    <a:extLst>
                      <a:ext uri="{53640926-AAD7-44D8-BBD7-CCE9431645EC}">
                        <a14:shadowObscured xmlns:a14="http://schemas.microsoft.com/office/drawing/2010/main"/>
                      </a:ext>
                    </a:extLst>
                  </pic:spPr>
                </pic:pic>
              </a:graphicData>
            </a:graphic>
          </wp:inline>
        </w:drawing>
      </w:r>
    </w:p>
    <w:p w14:paraId="1A30B48A" w14:textId="45D8CDBF" w:rsidR="00E733CA" w:rsidRPr="0082680A" w:rsidRDefault="00DE7A7E" w:rsidP="00DE7A7E">
      <w:pPr>
        <w:pStyle w:val="Caption"/>
        <w:rPr>
          <w:b w:val="0"/>
          <w:lang w:val="en-GB"/>
        </w:rPr>
      </w:pPr>
      <w:bookmarkStart w:id="7" w:name="_Toc3225997"/>
      <w:r w:rsidRPr="0082680A">
        <w:rPr>
          <w:lang w:val="en-GB"/>
        </w:rPr>
        <w:t xml:space="preserve">Figure </w:t>
      </w:r>
      <w:r w:rsidR="00045FF4" w:rsidRPr="0082680A">
        <w:rPr>
          <w:noProof/>
          <w:lang w:val="en-GB"/>
        </w:rPr>
        <w:fldChar w:fldCharType="begin"/>
      </w:r>
      <w:r w:rsidR="00045FF4" w:rsidRPr="0082680A">
        <w:rPr>
          <w:noProof/>
          <w:lang w:val="en-GB"/>
        </w:rPr>
        <w:instrText xml:space="preserve"> SEQ Figure \* ARABIC </w:instrText>
      </w:r>
      <w:r w:rsidR="00045FF4" w:rsidRPr="0082680A">
        <w:rPr>
          <w:noProof/>
          <w:lang w:val="en-GB"/>
        </w:rPr>
        <w:fldChar w:fldCharType="separate"/>
      </w:r>
      <w:r w:rsidR="00066B5A">
        <w:rPr>
          <w:noProof/>
          <w:lang w:val="en-GB"/>
        </w:rPr>
        <w:t>1</w:t>
      </w:r>
      <w:r w:rsidR="00045FF4" w:rsidRPr="0082680A">
        <w:rPr>
          <w:noProof/>
          <w:lang w:val="en-GB"/>
        </w:rPr>
        <w:fldChar w:fldCharType="end"/>
      </w:r>
      <w:r w:rsidRPr="0082680A">
        <w:rPr>
          <w:lang w:val="en-GB"/>
        </w:rPr>
        <w:t xml:space="preserve">: </w:t>
      </w:r>
      <w:r w:rsidRPr="0082680A">
        <w:rPr>
          <w:b w:val="0"/>
          <w:lang w:val="en-GB"/>
        </w:rPr>
        <w:t xml:space="preserve">A histogram of sample size for datasets housed in the GEO database </w:t>
      </w:r>
      <w:proofErr w:type="spellStart"/>
      <w:r w:rsidRPr="0082680A">
        <w:rPr>
          <w:b w:val="0"/>
          <w:lang w:val="en-GB"/>
        </w:rPr>
        <w:t>GenomeBrowser</w:t>
      </w:r>
      <w:proofErr w:type="spellEnd"/>
      <w:r w:rsidR="00E733CA" w:rsidRPr="0082680A">
        <w:rPr>
          <w:b w:val="0"/>
          <w:lang w:val="en-GB"/>
        </w:rPr>
        <w:t>. X-axis indicates bins of 5 for total number of samples. Y-axis indicates frequency of datasets containing the number of samples indicated by the bin.</w:t>
      </w:r>
      <w:bookmarkEnd w:id="7"/>
    </w:p>
    <w:p w14:paraId="7FEC36CA" w14:textId="77777777" w:rsidR="00E733CA" w:rsidRPr="0082680A" w:rsidRDefault="00E733CA">
      <w:pPr>
        <w:rPr>
          <w:iCs/>
          <w:color w:val="000000" w:themeColor="text1"/>
          <w:szCs w:val="18"/>
          <w:lang w:val="en-GB"/>
        </w:rPr>
      </w:pPr>
      <w:r w:rsidRPr="0082680A">
        <w:rPr>
          <w:b/>
          <w:lang w:val="en-GB"/>
        </w:rPr>
        <w:br w:type="page"/>
      </w:r>
    </w:p>
    <w:p w14:paraId="434E58ED" w14:textId="77777777" w:rsidR="00DE7A7E" w:rsidRPr="0082680A" w:rsidRDefault="00DE7A7E" w:rsidP="00DE7A7E">
      <w:pPr>
        <w:pStyle w:val="Caption"/>
        <w:rPr>
          <w:b w:val="0"/>
          <w:lang w:val="en-GB"/>
        </w:rPr>
      </w:pPr>
    </w:p>
    <w:p w14:paraId="6BABAE65" w14:textId="5DA33DE5" w:rsidR="00DD630F" w:rsidRPr="0082680A" w:rsidRDefault="00DE7A7E">
      <w:pPr>
        <w:contextualSpacing w:val="0"/>
        <w:rPr>
          <w:lang w:val="en-GB"/>
        </w:rPr>
      </w:pPr>
      <w:r w:rsidRPr="0082680A">
        <w:rPr>
          <w:lang w:val="en-GB"/>
        </w:rPr>
        <w:t xml:space="preserve">Small datasets are plentiful because most laboratories are working to tight budgets and have significant publication pressures. Small datasets, though, are unreliable and are feeding the trend of sweeping statements of significant discovery that are fundamentally unfounded. </w:t>
      </w:r>
      <w:r w:rsidR="00F44FAF" w:rsidRPr="0082680A">
        <w:rPr>
          <w:lang w:val="en-GB"/>
        </w:rPr>
        <w:t xml:space="preserve">As we cannot </w:t>
      </w:r>
      <w:r w:rsidRPr="0082680A">
        <w:rPr>
          <w:lang w:val="en-GB"/>
        </w:rPr>
        <w:t>expect</w:t>
      </w:r>
      <w:r w:rsidR="00F44FAF" w:rsidRPr="0082680A">
        <w:rPr>
          <w:lang w:val="en-GB"/>
        </w:rPr>
        <w:t xml:space="preserve"> large, well-powered datasets </w:t>
      </w:r>
      <w:r w:rsidRPr="0082680A">
        <w:rPr>
          <w:lang w:val="en-GB"/>
        </w:rPr>
        <w:t>to be</w:t>
      </w:r>
      <w:r w:rsidR="00F44FAF" w:rsidRPr="0082680A">
        <w:rPr>
          <w:lang w:val="en-GB"/>
        </w:rPr>
        <w:t xml:space="preserve"> available </w:t>
      </w:r>
      <w:r w:rsidR="000A291B" w:rsidRPr="0082680A">
        <w:rPr>
          <w:lang w:val="en-GB"/>
        </w:rPr>
        <w:t>publicly</w:t>
      </w:r>
      <w:r w:rsidR="00F44FAF" w:rsidRPr="0082680A">
        <w:rPr>
          <w:lang w:val="en-GB"/>
        </w:rPr>
        <w:t xml:space="preserve">, </w:t>
      </w:r>
      <w:r w:rsidRPr="0082680A">
        <w:rPr>
          <w:lang w:val="en-GB"/>
        </w:rPr>
        <w:t xml:space="preserve">we must explore and develop methodologies which are capable of </w:t>
      </w:r>
      <w:r w:rsidR="00F44FAF" w:rsidRPr="0082680A">
        <w:rPr>
          <w:lang w:val="en-GB"/>
        </w:rPr>
        <w:t>extract</w:t>
      </w:r>
      <w:r w:rsidRPr="0082680A">
        <w:rPr>
          <w:lang w:val="en-GB"/>
        </w:rPr>
        <w:t>ing</w:t>
      </w:r>
      <w:r w:rsidR="00F44FAF" w:rsidRPr="0082680A">
        <w:rPr>
          <w:lang w:val="en-GB"/>
        </w:rPr>
        <w:t xml:space="preserve"> statistically robust results from</w:t>
      </w:r>
      <w:r w:rsidRPr="0082680A">
        <w:rPr>
          <w:lang w:val="en-GB"/>
        </w:rPr>
        <w:t xml:space="preserve"> </w:t>
      </w:r>
      <w:r w:rsidR="00F44FAF" w:rsidRPr="0082680A">
        <w:rPr>
          <w:lang w:val="en-GB"/>
        </w:rPr>
        <w:t>underpowered dataset</w:t>
      </w:r>
      <w:r w:rsidRPr="0082680A">
        <w:rPr>
          <w:lang w:val="en-GB"/>
        </w:rPr>
        <w:t>s</w:t>
      </w:r>
      <w:r w:rsidR="00F44FAF" w:rsidRPr="0082680A">
        <w:rPr>
          <w:lang w:val="en-GB"/>
        </w:rPr>
        <w:t xml:space="preserve">. </w:t>
      </w:r>
      <w:r w:rsidRPr="0082680A">
        <w:rPr>
          <w:lang w:val="en-GB"/>
        </w:rPr>
        <w:t>F</w:t>
      </w:r>
      <w:r w:rsidR="00F44FAF" w:rsidRPr="0082680A">
        <w:rPr>
          <w:lang w:val="en-GB"/>
        </w:rPr>
        <w:t>ew methodologies exist to provide such analyses, leading to a lack of discovery in conditions whose causes are unknown, and for whom data is desperately rare. By designing more methodological pipelines which can produce meaningful biological discoveries from underpowered datasets, this would allow us to utilise the valuable information these</w:t>
      </w:r>
      <w:r w:rsidR="00BB2145" w:rsidRPr="0082680A">
        <w:rPr>
          <w:lang w:val="en-GB"/>
        </w:rPr>
        <w:t xml:space="preserve"> precious</w:t>
      </w:r>
      <w:r w:rsidR="00F44FAF" w:rsidRPr="0082680A">
        <w:rPr>
          <w:lang w:val="en-GB"/>
        </w:rPr>
        <w:t xml:space="preserve"> samples hold. </w:t>
      </w:r>
    </w:p>
    <w:p w14:paraId="344E5825" w14:textId="77777777" w:rsidR="00DD630F" w:rsidRPr="00842FD0" w:rsidRDefault="00F44FAF" w:rsidP="00842FD0">
      <w:pPr>
        <w:pStyle w:val="Heading2"/>
      </w:pPr>
      <w:bookmarkStart w:id="8" w:name="_Toc527800519"/>
      <w:bookmarkStart w:id="9" w:name="_Toc3211308"/>
      <w:r w:rsidRPr="00842FD0">
        <w:t>Finding the Intersection</w:t>
      </w:r>
      <w:bookmarkEnd w:id="8"/>
      <w:bookmarkEnd w:id="9"/>
    </w:p>
    <w:p w14:paraId="2976D1ED" w14:textId="158269D3" w:rsidR="00BB2145" w:rsidRPr="0082680A" w:rsidRDefault="00F44FAF">
      <w:pPr>
        <w:contextualSpacing w:val="0"/>
        <w:rPr>
          <w:lang w:val="en-GB"/>
        </w:rPr>
      </w:pPr>
      <w:r w:rsidRPr="0082680A">
        <w:rPr>
          <w:lang w:val="en-GB"/>
        </w:rPr>
        <w:t xml:space="preserve">It is clear, therefore, that to remove the roadblock to </w:t>
      </w:r>
      <w:r w:rsidR="00E06098">
        <w:rPr>
          <w:lang w:val="en-GB"/>
        </w:rPr>
        <w:t>disease mechanism discovery,</w:t>
      </w:r>
      <w:r w:rsidRPr="0082680A">
        <w:rPr>
          <w:lang w:val="en-GB"/>
        </w:rPr>
        <w:t xml:space="preserve"> we must develop methodologies that not only successfully isolate </w:t>
      </w:r>
      <w:r w:rsidR="00E06098">
        <w:rPr>
          <w:lang w:val="en-GB"/>
        </w:rPr>
        <w:t xml:space="preserve">these </w:t>
      </w:r>
      <w:r w:rsidRPr="0082680A">
        <w:rPr>
          <w:lang w:val="en-GB"/>
        </w:rPr>
        <w:t>causal mechanisms, but do so rapidly, cheaply, and with the capability to handle datasets of limited size.</w:t>
      </w:r>
      <w:r w:rsidR="005C4E13" w:rsidRPr="0082680A">
        <w:rPr>
          <w:lang w:val="en-GB"/>
        </w:rPr>
        <w:t xml:space="preserve"> On</w:t>
      </w:r>
      <w:r w:rsidR="00BB2145" w:rsidRPr="0082680A">
        <w:rPr>
          <w:lang w:val="en-GB"/>
        </w:rPr>
        <w:t>e of the core problems for developing successful treatments is navigating</w:t>
      </w:r>
      <w:r w:rsidRPr="0082680A">
        <w:rPr>
          <w:lang w:val="en-GB"/>
        </w:rPr>
        <w:t xml:space="preserve"> </w:t>
      </w:r>
      <w:r w:rsidR="00BB2145" w:rsidRPr="0082680A">
        <w:rPr>
          <w:lang w:val="en-GB"/>
        </w:rPr>
        <w:t>the</w:t>
      </w:r>
      <w:r w:rsidRPr="0082680A">
        <w:rPr>
          <w:lang w:val="en-GB"/>
        </w:rPr>
        <w:t xml:space="preserve"> combination of genetic and environmental factors which result in a highly variable population. Take for example, amyotrophic lateral sclerosis (ALS); a neurodegenerative condition affecting the motor neurons of the central nervous system. According to the Amyotrophic Lateral Sclerosis </w:t>
      </w:r>
      <w:proofErr w:type="gramStart"/>
      <w:r w:rsidRPr="0082680A">
        <w:rPr>
          <w:lang w:val="en-GB"/>
        </w:rPr>
        <w:t>online</w:t>
      </w:r>
      <w:proofErr w:type="gramEnd"/>
      <w:r w:rsidRPr="0082680A">
        <w:rPr>
          <w:lang w:val="en-GB"/>
        </w:rPr>
        <w:t xml:space="preserve"> Database (</w:t>
      </w:r>
      <w:proofErr w:type="spellStart"/>
      <w:r w:rsidRPr="0082680A">
        <w:rPr>
          <w:lang w:val="en-GB"/>
        </w:rPr>
        <w:t>ALSoD</w:t>
      </w:r>
      <w:proofErr w:type="spellEnd"/>
      <w:r w:rsidRPr="0082680A">
        <w:rPr>
          <w:lang w:val="en-GB"/>
        </w:rPr>
        <w:t>,</w:t>
      </w:r>
      <w:r w:rsidR="00B958C5" w:rsidRPr="0082680A">
        <w:rPr>
          <w:lang w:val="en-GB"/>
        </w:rPr>
        <w:t xml:space="preserve"> </w:t>
      </w:r>
      <w:hyperlink r:id="rId31" w:history="1">
        <w:r w:rsidR="00B958C5" w:rsidRPr="0082680A">
          <w:rPr>
            <w:rStyle w:val="Hyperlink"/>
            <w:lang w:val="en-GB"/>
          </w:rPr>
          <w:t>http://alsod.iop.kcl.ac.uk/</w:t>
        </w:r>
      </w:hyperlink>
      <w:r w:rsidRPr="0082680A">
        <w:rPr>
          <w:lang w:val="en-GB"/>
        </w:rPr>
        <w:t xml:space="preserve">), as many as 126 genes </w:t>
      </w:r>
      <w:r w:rsidR="005476C5" w:rsidRPr="0082680A">
        <w:rPr>
          <w:lang w:val="en-GB"/>
        </w:rPr>
        <w:t>can contribute</w:t>
      </w:r>
      <w:r w:rsidRPr="0082680A">
        <w:rPr>
          <w:lang w:val="en-GB"/>
        </w:rPr>
        <w:t xml:space="preserve"> to ALS development</w:t>
      </w:r>
      <w:r w:rsidR="00BB2145" w:rsidRPr="0082680A">
        <w:rPr>
          <w:lang w:val="en-GB"/>
        </w:rPr>
        <w:t>.</w:t>
      </w:r>
      <w:r w:rsidRPr="0082680A">
        <w:rPr>
          <w:lang w:val="en-GB"/>
        </w:rPr>
        <w:t xml:space="preserve"> </w:t>
      </w:r>
      <w:r w:rsidR="00BB2145" w:rsidRPr="0082680A">
        <w:rPr>
          <w:lang w:val="en-GB"/>
        </w:rPr>
        <w:t>A</w:t>
      </w:r>
      <w:r w:rsidRPr="0082680A">
        <w:rPr>
          <w:lang w:val="en-GB"/>
        </w:rPr>
        <w:t>longside</w:t>
      </w:r>
      <w:r w:rsidR="00BB2145" w:rsidRPr="0082680A">
        <w:rPr>
          <w:lang w:val="en-GB"/>
        </w:rPr>
        <w:t xml:space="preserve"> genetics, </w:t>
      </w:r>
      <w:r w:rsidRPr="0082680A">
        <w:rPr>
          <w:lang w:val="en-GB"/>
        </w:rPr>
        <w:t xml:space="preserve">environmental risk factors include gender, geographical location, smoking, serving in the military, careers in sport, exposure to pesticides, </w:t>
      </w:r>
      <w:r w:rsidR="00BB2145" w:rsidRPr="0082680A">
        <w:rPr>
          <w:lang w:val="en-GB"/>
        </w:rPr>
        <w:t>and</w:t>
      </w:r>
      <w:r w:rsidRPr="0082680A">
        <w:rPr>
          <w:lang w:val="en-GB"/>
        </w:rPr>
        <w:t xml:space="preserve"> suffering from head trauma </w:t>
      </w:r>
      <w:r w:rsidR="00035010" w:rsidRPr="0082680A">
        <w:rPr>
          <w:lang w:val="en-GB"/>
        </w:rPr>
        <w:fldChar w:fldCharType="begin" w:fldLock="1"/>
      </w:r>
      <w:r w:rsidR="0050527E">
        <w:rPr>
          <w:lang w:val="en-GB"/>
        </w:rPr>
        <w:instrText>ADDIN CSL_CITATION {"citationItems":[{"id":"ITEM-1","itemData":{"DOI":"10.1016/j.ncl.2015.07.009","ISSN":"1557-9875","PMID":"26515627","abstract":"The causes of amyotrophic lateral sclerosis (ALS) are largely unknown, and may always be multiple, including environmental factors. Monogenetic determinants of ALS are involved in roughly 20% of all cases (including 10% familial cases). Less well understood multigenetic causes may contribute to another 20% to 80%. Environmental factors likely play a role in the development of ALS in susceptible individuals, but proved causation remains elusive. This article discusses the possible factors of male gender (males are selectively exposed to different influences, or genetically predisposed to be susceptible), smoking, military service, exercise, electrical exposure, heavy metals, agricultural chemicals, and geographic clusters.","author":[{"dropping-particle":"","family":"Oskarsson","given":"Björn","non-dropping-particle":"","parse-names":false,"suffix":""},{"dropping-particle":"","family":"Horton","given":"D Kevin","non-dropping-particle":"","parse-names":false,"suffix":""},{"dropping-particle":"","family":"Mitsumoto","given":"Hiroshi","non-dropping-particle":"","parse-names":false,"suffix":""}],"container-title":"Neurologic clinics","id":"ITEM-1","issue":"4","issued":{"date-parts":[["2015","11"]]},"page":"877-88","publisher":"NIH Public Access","title":"Potential Environmental Factors in Amyotrophic Lateral Sclerosis.","type":"article-journal","volume":"33"},"uris":["http://www.mendeley.com/documents/?uuid=08099a5d-2ba6-33fa-8572-96e398a91542"]}],"mendeley":{"formattedCitation":"&lt;sup&gt;21&lt;/sup&gt;","plainTextFormattedCitation":"21","previouslyFormattedCitation":"&lt;sup&gt;21&lt;/sup&gt;"},"properties":{"noteIndex":0},"schema":"https://github.com/citation-style-language/schema/raw/master/csl-citation.json"}</w:instrText>
      </w:r>
      <w:r w:rsidR="00035010" w:rsidRPr="0082680A">
        <w:rPr>
          <w:lang w:val="en-GB"/>
        </w:rPr>
        <w:fldChar w:fldCharType="separate"/>
      </w:r>
      <w:r w:rsidR="00442425" w:rsidRPr="00442425">
        <w:rPr>
          <w:noProof/>
          <w:vertAlign w:val="superscript"/>
          <w:lang w:val="en-GB"/>
        </w:rPr>
        <w:t>21</w:t>
      </w:r>
      <w:r w:rsidR="00035010" w:rsidRPr="0082680A">
        <w:rPr>
          <w:lang w:val="en-GB"/>
        </w:rPr>
        <w:fldChar w:fldCharType="end"/>
      </w:r>
      <w:r w:rsidRPr="0082680A">
        <w:rPr>
          <w:lang w:val="en-GB"/>
        </w:rPr>
        <w:t xml:space="preserve">. Each patient will have a unique combination of a number of these factors, as well as those we have not discovered yet. </w:t>
      </w:r>
    </w:p>
    <w:p w14:paraId="3C1726A4" w14:textId="677201D9" w:rsidR="00DD630F" w:rsidRPr="0082680A" w:rsidRDefault="00BB2145">
      <w:pPr>
        <w:contextualSpacing w:val="0"/>
        <w:rPr>
          <w:lang w:val="en-GB"/>
        </w:rPr>
      </w:pPr>
      <w:r w:rsidRPr="0082680A">
        <w:rPr>
          <w:lang w:val="en-GB"/>
        </w:rPr>
        <w:t>H</w:t>
      </w:r>
      <w:r w:rsidR="000A291B" w:rsidRPr="0082680A">
        <w:rPr>
          <w:lang w:val="en-GB"/>
        </w:rPr>
        <w:t>eterogeneous</w:t>
      </w:r>
      <w:r w:rsidRPr="0082680A">
        <w:rPr>
          <w:lang w:val="en-GB"/>
        </w:rPr>
        <w:t xml:space="preserve"> genetic and environmental</w:t>
      </w:r>
      <w:r w:rsidR="000A291B" w:rsidRPr="0082680A">
        <w:rPr>
          <w:lang w:val="en-GB"/>
        </w:rPr>
        <w:t xml:space="preserve"> backgrounds </w:t>
      </w:r>
      <w:r w:rsidRPr="0082680A">
        <w:rPr>
          <w:lang w:val="en-GB"/>
        </w:rPr>
        <w:t>lead to</w:t>
      </w:r>
      <w:r w:rsidR="00F44FAF" w:rsidRPr="0082680A">
        <w:rPr>
          <w:lang w:val="en-GB"/>
        </w:rPr>
        <w:t xml:space="preserve"> high degree</w:t>
      </w:r>
      <w:r w:rsidRPr="0082680A">
        <w:rPr>
          <w:lang w:val="en-GB"/>
        </w:rPr>
        <w:t xml:space="preserve">s </w:t>
      </w:r>
      <w:r w:rsidR="00F44FAF" w:rsidRPr="0082680A">
        <w:rPr>
          <w:lang w:val="en-GB"/>
        </w:rPr>
        <w:t xml:space="preserve">of variability within the population, </w:t>
      </w:r>
      <w:r w:rsidRPr="0082680A">
        <w:rPr>
          <w:lang w:val="en-GB"/>
        </w:rPr>
        <w:t>which is likely why many medications experience less-than-perfect efficacy</w:t>
      </w:r>
      <w:r w:rsidR="00397D8F">
        <w:rPr>
          <w:lang w:val="en-GB"/>
        </w:rPr>
        <w:t xml:space="preserve"> </w:t>
      </w:r>
      <w:r w:rsidR="00397D8F">
        <w:rPr>
          <w:lang w:val="en-GB"/>
        </w:rPr>
        <w:fldChar w:fldCharType="begin" w:fldLock="1"/>
      </w:r>
      <w:r w:rsidR="0050527E">
        <w:rPr>
          <w:lang w:val="en-GB"/>
        </w:rPr>
        <w:instrText>ADDIN CSL_CITATION {"citationItems":[{"id":"ITEM-1","itemData":{"DOI":"10.1186/s12916-015-0494-1","ISSN":"1741-7015","abstract":"The vastness of clinical data and the progressing specialization of medical knowledge may lead to misinterpretation of medication efficacy. To show a realistic perspective on drug efficacy we present meta-analyses on some of the most commonly used pharmacological interventions. For each pharmacological intervention we present statistical indexes (absolute risk or response difference, percentage response ratio, mean difference, standardized mean difference) that are often used to represent efficacy. We found that some of the medications have relatively low effect sizes with only 11 out of 17 of them showing a minimal clinically important difference. Efficacy was often established based on surrogate outcomes and not the more relevant patient-oriented outcomes. As the interpretation of the efficacy of medication is complex, more training for physicians might be needed to get a more realistic view of drug efficacy. That could help prevent harmful overtreatment and reinforce an evidence-based, but personalized medicine.","author":[{"dropping-particle":"","family":"Leucht","given":"Stefan","non-dropping-particle":"","parse-names":false,"suffix":""},{"dropping-particle":"","family":"Helfer","given":"Bartosz","non-dropping-particle":"","parse-names":false,"suffix":""},{"dropping-particle":"","family":"Gartlehner","given":"Gerald","non-dropping-particle":"","parse-names":false,"suffix":""},{"dropping-particle":"","family":"Davis","given":"John M.","non-dropping-particle":"","parse-names":false,"suffix":""}],"container-title":"BMC Medicine","id":"ITEM-1","issue":"1","issued":{"date-parts":[["2015","12","2"]]},"page":"253","publisher":"BioMed Central","title":"How effective are common medications: a perspective based on meta-analyses of major drugs","type":"article-journal","volume":"13"},"uris":["http://www.mendeley.com/documents/?uuid=4becae75-ccb8-36d1-a78c-013f8fdd1d45"]},{"id":"ITEM-2","itemData":{"DOI":"10.1038/nm.3632","ISSN":"1078-8956","abstract":"Current drug approval regulations in Europe and the United States require that the treatment group demonstrates a clear benefit compared with the control group. These laws should be updated to reflect patient heterogeneity in clinical trials, and allow for approval of drugs that show efficacy in only a subset of treated patients.","container-title":"Nature Medicine","id":"ITEM-2","issue":"7","issued":{"date-parts":[["2014","7","1"]]},"page":"689-689","publisher":"Nature Publishing Group","title":"Embracing patient heterogeneity","type":"article-journal","volume":"20"},"uris":["http://www.mendeley.com/documents/?uuid=2a416809-63bf-3c43-b0cf-575d6ca68f17"]}],"mendeley":{"formattedCitation":"&lt;sup&gt;22,23&lt;/sup&gt;","plainTextFormattedCitation":"22,23","previouslyFormattedCitation":"&lt;sup&gt;22,23&lt;/sup&gt;"},"properties":{"noteIndex":0},"schema":"https://github.com/citation-style-language/schema/raw/master/csl-citation.json"}</w:instrText>
      </w:r>
      <w:r w:rsidR="00397D8F">
        <w:rPr>
          <w:lang w:val="en-GB"/>
        </w:rPr>
        <w:fldChar w:fldCharType="separate"/>
      </w:r>
      <w:r w:rsidR="00442425" w:rsidRPr="00442425">
        <w:rPr>
          <w:noProof/>
          <w:vertAlign w:val="superscript"/>
          <w:lang w:val="en-GB"/>
        </w:rPr>
        <w:t>22,23</w:t>
      </w:r>
      <w:r w:rsidR="00397D8F">
        <w:rPr>
          <w:lang w:val="en-GB"/>
        </w:rPr>
        <w:fldChar w:fldCharType="end"/>
      </w:r>
      <w:r w:rsidRPr="0082680A">
        <w:rPr>
          <w:lang w:val="en-GB"/>
        </w:rPr>
        <w:t>.</w:t>
      </w:r>
      <w:r w:rsidR="00F44FAF" w:rsidRPr="0082680A">
        <w:rPr>
          <w:lang w:val="en-GB"/>
        </w:rPr>
        <w:t xml:space="preserve"> </w:t>
      </w:r>
      <w:r w:rsidRPr="0082680A">
        <w:rPr>
          <w:lang w:val="en-GB"/>
        </w:rPr>
        <w:t>We propose</w:t>
      </w:r>
      <w:r w:rsidR="005476C5" w:rsidRPr="0082680A">
        <w:rPr>
          <w:lang w:val="en-GB"/>
        </w:rPr>
        <w:t xml:space="preserve"> </w:t>
      </w:r>
      <w:r w:rsidRPr="0082680A">
        <w:rPr>
          <w:lang w:val="en-GB"/>
        </w:rPr>
        <w:t xml:space="preserve">that </w:t>
      </w:r>
      <w:r w:rsidR="005476C5" w:rsidRPr="0082680A">
        <w:rPr>
          <w:lang w:val="en-GB"/>
        </w:rPr>
        <w:t xml:space="preserve">this </w:t>
      </w:r>
      <w:r w:rsidRPr="0082680A">
        <w:rPr>
          <w:lang w:val="en-GB"/>
        </w:rPr>
        <w:t>v</w:t>
      </w:r>
      <w:r w:rsidR="00F44FAF" w:rsidRPr="0082680A">
        <w:rPr>
          <w:lang w:val="en-GB"/>
        </w:rPr>
        <w:t xml:space="preserve">ariability can be used to our advantage. Where </w:t>
      </w:r>
      <w:r w:rsidR="005476C5" w:rsidRPr="0082680A">
        <w:rPr>
          <w:lang w:val="en-GB"/>
        </w:rPr>
        <w:t>groups of similar individuals within a population</w:t>
      </w:r>
      <w:r w:rsidR="00F44FAF" w:rsidRPr="0082680A">
        <w:rPr>
          <w:lang w:val="en-GB"/>
        </w:rPr>
        <w:t xml:space="preserve"> may be </w:t>
      </w:r>
      <w:r w:rsidRPr="0082680A">
        <w:rPr>
          <w:lang w:val="en-GB"/>
        </w:rPr>
        <w:t>uniquely</w:t>
      </w:r>
      <w:r w:rsidR="00F44FAF" w:rsidRPr="0082680A">
        <w:rPr>
          <w:lang w:val="en-GB"/>
        </w:rPr>
        <w:t xml:space="preserve"> complex in their own right, this complexity is wildly reduced when we query what </w:t>
      </w:r>
      <w:r w:rsidR="005476C5" w:rsidRPr="0082680A">
        <w:rPr>
          <w:lang w:val="en-GB"/>
        </w:rPr>
        <w:t>each sub-population</w:t>
      </w:r>
      <w:r w:rsidR="00F44FAF" w:rsidRPr="0082680A">
        <w:rPr>
          <w:lang w:val="en-GB"/>
        </w:rPr>
        <w:t xml:space="preserve"> </w:t>
      </w:r>
      <w:r w:rsidR="005476C5" w:rsidRPr="0082680A">
        <w:rPr>
          <w:lang w:val="en-GB"/>
        </w:rPr>
        <w:t>has</w:t>
      </w:r>
      <w:r w:rsidR="00F44FAF" w:rsidRPr="0082680A">
        <w:rPr>
          <w:lang w:val="en-GB"/>
        </w:rPr>
        <w:t xml:space="preserve"> in common. If we imagine this comparison as a </w:t>
      </w:r>
      <w:r w:rsidR="00035010" w:rsidRPr="0082680A">
        <w:rPr>
          <w:lang w:val="en-GB"/>
        </w:rPr>
        <w:t>Venn</w:t>
      </w:r>
      <w:r w:rsidR="00F44FAF" w:rsidRPr="0082680A">
        <w:rPr>
          <w:lang w:val="en-GB"/>
        </w:rPr>
        <w:t xml:space="preserve"> diagram, the strength in this approach is that once </w:t>
      </w:r>
      <w:r w:rsidRPr="0082680A">
        <w:rPr>
          <w:lang w:val="en-GB"/>
        </w:rPr>
        <w:t>the non-overlapping portions of each</w:t>
      </w:r>
      <w:r w:rsidR="00F44FAF" w:rsidRPr="0082680A">
        <w:rPr>
          <w:lang w:val="en-GB"/>
        </w:rPr>
        <w:t xml:space="preserve"> circle (representing population-specific processes) are cut away, the common overlap is revealed. Such an overlap can be conducted with many more populations, resulting in a greatly purified signal. We believe that through computational comparison of diverse populations, we can identify the molecular mechanisms which reside at the point of convergence. Our view is that these mechanisms may not only represent the dysfunction of the phenotype of </w:t>
      </w:r>
      <w:proofErr w:type="gramStart"/>
      <w:r w:rsidR="00F44FAF" w:rsidRPr="0082680A">
        <w:rPr>
          <w:lang w:val="en-GB"/>
        </w:rPr>
        <w:t>interest, but</w:t>
      </w:r>
      <w:proofErr w:type="gramEnd"/>
      <w:r w:rsidR="00F44FAF" w:rsidRPr="0082680A">
        <w:rPr>
          <w:lang w:val="en-GB"/>
        </w:rPr>
        <w:t xml:space="preserve"> may </w:t>
      </w:r>
      <w:r w:rsidR="00F44FAF" w:rsidRPr="0082680A">
        <w:rPr>
          <w:lang w:val="en-GB"/>
        </w:rPr>
        <w:lastRenderedPageBreak/>
        <w:t xml:space="preserve">also contain the </w:t>
      </w:r>
      <w:r w:rsidRPr="0082680A">
        <w:rPr>
          <w:lang w:val="en-GB"/>
        </w:rPr>
        <w:t xml:space="preserve">common </w:t>
      </w:r>
      <w:r w:rsidR="00F44FAF" w:rsidRPr="0082680A">
        <w:rPr>
          <w:lang w:val="en-GB"/>
        </w:rPr>
        <w:t>drivers - and possible therapeutic targets</w:t>
      </w:r>
      <w:r w:rsidR="00D634B7">
        <w:rPr>
          <w:lang w:val="en-GB"/>
        </w:rPr>
        <w:t xml:space="preserve"> (genes or gene products whose activity can be altered via addition of drug compound)</w:t>
      </w:r>
      <w:r w:rsidR="00F44FAF" w:rsidRPr="0082680A">
        <w:rPr>
          <w:lang w:val="en-GB"/>
        </w:rPr>
        <w:t xml:space="preserve"> - of this dysfunction. </w:t>
      </w:r>
      <w:r w:rsidRPr="0082680A">
        <w:rPr>
          <w:lang w:val="en-GB"/>
        </w:rPr>
        <w:t xml:space="preserve">Since we know that these drivers may not be the same for all members of the disease population, the final product of this approach could represent a concentrated pool of possible targets, whose selection for therapeutic intervention will be based on the individual patient profile. </w:t>
      </w:r>
    </w:p>
    <w:p w14:paraId="5F3227EF" w14:textId="692D2D21" w:rsidR="00DD630F" w:rsidRPr="00691215" w:rsidRDefault="00842FD0" w:rsidP="00691215">
      <w:pPr>
        <w:pStyle w:val="Heading3"/>
      </w:pPr>
      <w:bookmarkStart w:id="10" w:name="_Toc527800520"/>
      <w:r w:rsidRPr="00691215">
        <w:t xml:space="preserve"> </w:t>
      </w:r>
      <w:bookmarkStart w:id="11" w:name="_Toc3211309"/>
      <w:r w:rsidR="00F44FAF" w:rsidRPr="00691215">
        <w:t>The Value of Signatures</w:t>
      </w:r>
      <w:bookmarkEnd w:id="10"/>
      <w:bookmarkEnd w:id="11"/>
    </w:p>
    <w:p w14:paraId="2232EB2B" w14:textId="32FC86A8" w:rsidR="00DD630F" w:rsidRPr="0082680A" w:rsidRDefault="00F44FAF">
      <w:pPr>
        <w:contextualSpacing w:val="0"/>
        <w:rPr>
          <w:lang w:val="en-GB"/>
        </w:rPr>
      </w:pPr>
      <w:r w:rsidRPr="0082680A">
        <w:rPr>
          <w:lang w:val="en-GB"/>
        </w:rPr>
        <w:t xml:space="preserve">The centre of the </w:t>
      </w:r>
      <w:r w:rsidR="00035010" w:rsidRPr="0082680A">
        <w:rPr>
          <w:lang w:val="en-GB"/>
        </w:rPr>
        <w:t>Venn</w:t>
      </w:r>
      <w:r w:rsidRPr="0082680A">
        <w:rPr>
          <w:lang w:val="en-GB"/>
        </w:rPr>
        <w:t xml:space="preserve"> diagram - what we believe </w:t>
      </w:r>
      <w:r w:rsidR="005476C5" w:rsidRPr="0082680A">
        <w:rPr>
          <w:lang w:val="en-GB"/>
        </w:rPr>
        <w:t>may</w:t>
      </w:r>
      <w:r w:rsidRPr="0082680A">
        <w:rPr>
          <w:lang w:val="en-GB"/>
        </w:rPr>
        <w:t xml:space="preserve"> represent the </w:t>
      </w:r>
      <w:r w:rsidR="00BB2145" w:rsidRPr="0082680A">
        <w:rPr>
          <w:lang w:val="en-GB"/>
        </w:rPr>
        <w:t>driver</w:t>
      </w:r>
      <w:r w:rsidRPr="0082680A">
        <w:rPr>
          <w:lang w:val="en-GB"/>
        </w:rPr>
        <w:t xml:space="preserve"> of a</w:t>
      </w:r>
      <w:r w:rsidR="005476C5" w:rsidRPr="0082680A">
        <w:rPr>
          <w:lang w:val="en-GB"/>
        </w:rPr>
        <w:t xml:space="preserve"> common</w:t>
      </w:r>
      <w:r w:rsidRPr="0082680A">
        <w:rPr>
          <w:lang w:val="en-GB"/>
        </w:rPr>
        <w:t xml:space="preserve"> </w:t>
      </w:r>
      <w:r w:rsidR="00BB2145" w:rsidRPr="0082680A">
        <w:rPr>
          <w:lang w:val="en-GB"/>
        </w:rPr>
        <w:t>phenotype</w:t>
      </w:r>
      <w:r w:rsidRPr="0082680A">
        <w:rPr>
          <w:lang w:val="en-GB"/>
        </w:rPr>
        <w:t xml:space="preserve"> </w:t>
      </w:r>
      <w:r w:rsidR="005476C5" w:rsidRPr="0082680A">
        <w:rPr>
          <w:lang w:val="en-GB"/>
        </w:rPr>
        <w:t>–</w:t>
      </w:r>
      <w:r w:rsidRPr="0082680A">
        <w:rPr>
          <w:lang w:val="en-GB"/>
        </w:rPr>
        <w:t xml:space="preserve"> </w:t>
      </w:r>
      <w:r w:rsidR="00426B19">
        <w:rPr>
          <w:lang w:val="en-GB"/>
        </w:rPr>
        <w:t>is one example of</w:t>
      </w:r>
      <w:r w:rsidR="005476C5" w:rsidRPr="0082680A">
        <w:rPr>
          <w:lang w:val="en-GB"/>
        </w:rPr>
        <w:t xml:space="preserve"> a</w:t>
      </w:r>
      <w:r w:rsidRPr="0082680A">
        <w:rPr>
          <w:lang w:val="en-GB"/>
        </w:rPr>
        <w:t xml:space="preserve"> “signature”.</w:t>
      </w:r>
      <w:r w:rsidR="005476C5" w:rsidRPr="0082680A">
        <w:rPr>
          <w:lang w:val="en-GB"/>
        </w:rPr>
        <w:t xml:space="preserve"> Signatures are models, or representations of a particular feature. A molecular signature is a group of biological entities (e.g. genes, RNA, proteins) whose activity is representative of a phenotype. For example, predictive signatures are molecules whose activity can predict the presence, absence or severity of a phenotype.</w:t>
      </w:r>
      <w:r w:rsidRPr="0082680A">
        <w:rPr>
          <w:lang w:val="en-GB"/>
        </w:rPr>
        <w:t xml:space="preserve"> Signatures can be constructed from many different types of data; a signature can be a list of genes, proteins, genetic loci, or even a network of molecules sharing tight functional relationships. Common disease signatures have been constructed in a great number of medical fields, including </w:t>
      </w:r>
      <w:r w:rsidR="000F32F3" w:rsidRPr="0082680A">
        <w:rPr>
          <w:lang w:val="en-GB"/>
        </w:rPr>
        <w:t>neurological</w:t>
      </w:r>
      <w:r w:rsidRPr="0082680A">
        <w:rPr>
          <w:lang w:val="en-GB"/>
        </w:rPr>
        <w:t xml:space="preserve"> and psychiatric disorders </w:t>
      </w:r>
      <w:r w:rsidR="000F32F3" w:rsidRPr="0082680A">
        <w:rPr>
          <w:lang w:val="en-GB"/>
        </w:rPr>
        <w:fldChar w:fldCharType="begin" w:fldLock="1"/>
      </w:r>
      <w:r w:rsidR="0050527E">
        <w:rPr>
          <w:lang w:val="en-GB"/>
        </w:rPr>
        <w:instrText>ADDIN CSL_CITATION {"citationItems":[{"id":"ITEM-1","itemData":{"DOI":"10.1007/s12035-014-8673-1","ISSN":"0893-7648","author":[{"dropping-particle":"","family":"Shang","given":"Hong","non-dropping-particle":"","parse-names":false,"suffix":""},{"dropping-particle":"","family":"Liu","given":"Guiyou","non-dropping-particle":"","parse-names":false,"suffix":""},{"dropping-particle":"","family":"Jiang","given":"Yongshuai","non-dropping-particle":"","parse-names":false,"suffix":""},{"dropping-particle":"","family":"Fu","given":"Jin","non-dropping-particle":"","parse-names":false,"suffix":""},{"dropping-particle":"","family":"Zhang","given":"Benping","non-dropping-particle":"","parse-names":false,"suffix":""},{"dropping-particle":"","family":"Song","given":"Rongrong","non-dropping-particle":"","parse-names":false,"suffix":""},{"dropping-particle":"","family":"Wang","given":"Weizhi","non-dropping-particle":"","parse-names":false,"suffix":""}],"container-title":"Molecular Neurobiology","id":"ITEM-1","issue":"1","issued":{"date-parts":[["2015","2","20"]]},"page":"361-369","publisher":"Springer US","title":"Pathway Analysis of Two Amyotrophic Lateral Sclerosis GWAS Highlights Shared Genetic Signals with Alzheimer’s Disease and Parkinson’s Disease","type":"article-journal","volume":"51"},"uris":["http://www.mendeley.com/documents/?uuid=78a4cdcd-7568-4799-bf2d-e6c03b6a80f3"]},{"id":"ITEM-2","itemData":{"DOI":"10.1016/J.NBD.2014.11.002","ISSN":"0969-9961","abstract":"Aging is considered as one of the main factors promoting the risk for Parkinson's disease (PD), and common mechanisms of dopamine neuron degeneration in aging and PD have been proposed in recent years. Here, we use a statistical meta-analysis of human brain transcriptomics data to investigate potential mechanistic relationships between adult brain aging and PD pathogenesis at the pathway and network level. The analyses identify statistically significant shared pathway and network alterations in aging and PD and an enrichment in PD-associated sequence variants from genome-wide association studies among the jointly deregulated genes. We find robust discriminative patterns for groups of functionally related genes with potential applications as combined risk biomarkers to detect aging- and PD-linked oxidative stress, e.g., a consistent over-expression of metallothioneins matching with findings in previous independent studies. Interestingly, analyzing the regulatory network and mouse knockout expression data for NR4A2, a transcription factor previously associated with rare mutations in PD and here found as the most significantly under-expressed gene in PD among the jointly altered genes, suggests that aging-related NR4A2 expression changes may increase PD risk via downstream effects similar to disease-linked mutations and to expression changes in sporadic PD. Overall, the analyses suggest mechanistic explanations for the age-dependence of PD risk and reveal significant and robust shared process alterations with potential applications in biomarker development for pre-symptomatic risk assessment or early stage diagnosis.","author":[{"dropping-particle":"","family":"Glaab","given":"Enrico","non-dropping-particle":"","parse-names":false,"suffix":""},{"dropping-particle":"","family":"Schneider","given":"Reinhard","non-dropping-particle":"","parse-names":false,"suffix":""}],"container-title":"Neurobiology of Disease","id":"ITEM-2","issued":{"date-parts":[["2015","2","1"]]},"page":"1-13","publisher":"Academic Press","title":"Comparative pathway and network analysis of brain transcriptome changes during adult aging and in Parkinson's disease","type":"article-journal","volume":"74"},"uris":["http://www.mendeley.com/documents/?uuid=0a3fe85b-337c-3d32-976c-f968e1868e24"]},{"id":"ITEM-3","itemData":{"DOI":"10.1126/science.aad6469","ISSN":"1095-9203","PMID":"29439242","abstract":"The predisposition to neuropsychiatric disease involves a complex, polygenic, and pleiotropic genetic architecture. However, little is known about how genetic variants impart brain dysfunction or pathology. We used transcriptomic profiling as a quantitative readout of molecular brain-based phenotypes across five major psychiatric disorders-autism, schizophrenia, bipolar disorder, depression, and alcoholism-compared with matched controls. We identified patterns of shared and distinct gene-expression perturbations across these conditions. The degree of sharing of transcriptional dysregulation is related to polygenic (single-nucleotide polymorphism-based) overlap across disorders, suggesting a substantial causal genetic component. This comprehensive systems-level view of the neurobiological architecture of major neuropsychiatric illness demonstrates pathways of molecular convergence and specificity.","author":[{"dropping-particle":"","family":"Gandal","given":"Michael J","non-dropping-particle":"","parse-names":false,"suffix":""},{"dropping-particle":"","family":"Haney","given":"Jillian R","non-dropping-particle":"","parse-names":false,"suffix":""},{"dropping-particle":"","family":"Parikshak","given":"Neelroop N","non-dropping-particle":"","parse-names":false,"suffix":""},{"dropping-particle":"","family":"Leppa","given":"Virpi","non-dropping-particle":"","parse-names":false,"suffix":""},{"dropping-particle":"","family":"Ramaswami","given":"Gokul","non-dropping-particle":"","parse-names":false,"suffix":""},{"dropping-particle":"","family":"Hartl","given":"Chris","non-dropping-particle":"","parse-names":false,"suffix":""},{"dropping-particle":"","family":"Schork","given":"Andrew J","non-dropping-particle":"","parse-names":false,"suffix":""},{"dropping-particle":"","family":"Appadurai","given":"Vivek","non-dropping-particle":"","parse-names":false,"suffix":""},{"dropping-particle":"","family":"Buil","given":"Alfonso","non-dropping-particle":"","parse-names":false,"suffix":""},{"dropping-particle":"","family":"Werge","given":"Thomas M","non-dropping-particle":"","parse-names":false,"suffix":""},{"dropping-particle":"","family":"Liu","given":"Chunyu","non-dropping-particle":"","parse-names":false,"suffix":""},{"dropping-particle":"","family":"White","given":"Kevin P","non-dropping-particle":"","parse-names":false,"suffix":""},{"dropping-particle":"","family":"CommonMind Consortium","given":"CommonMind","non-dropping-particle":"","parse-names":false,"suffix":""},{"dropping-particle":"","family":"PsychENCODE Consortium","given":"PsychENCODE","non-dropping-particle":"","parse-names":false,"suffix":""},{"dropping-particle":"","family":"iPSYCH-BROAD Working Group","given":"iPSYCH-BROAD Working","non-dropping-particle":"","parse-names":false,"suffix":""},{"dropping-particle":"","family":"Horvath","given":"Steve","non-dropping-particle":"","parse-names":false,"suffix":""},{"dropping-particle":"","family":"Geschwind","given":"Daniel H","non-dropping-particle":"","parse-names":false,"suffix":""}],"container-title":"Science (New York, N.Y.)","id":"ITEM-3","issue":"6376","issued":{"date-parts":[["2018","2","9"]]},"page":"693-697","publisher":"American Association for the Advancement of Science","title":"Shared molecular neuropathology across major psychiatric disorders parallels polygenic overlap.","type":"article-journal","volume":"359"},"uris":["http://www.mendeley.com/documents/?uuid=2327a267-34db-4fac-9923-f806c1452aab"]}],"mendeley":{"formattedCitation":"&lt;sup&gt;24–26&lt;/sup&gt;","plainTextFormattedCitation":"24–26","previouslyFormattedCitation":"&lt;sup&gt;24–26&lt;/sup&gt;"},"properties":{"noteIndex":0},"schema":"https://github.com/citation-style-language/schema/raw/master/csl-citation.json"}</w:instrText>
      </w:r>
      <w:r w:rsidR="000F32F3" w:rsidRPr="0082680A">
        <w:rPr>
          <w:lang w:val="en-GB"/>
        </w:rPr>
        <w:fldChar w:fldCharType="separate"/>
      </w:r>
      <w:r w:rsidR="00442425" w:rsidRPr="00442425">
        <w:rPr>
          <w:noProof/>
          <w:vertAlign w:val="superscript"/>
          <w:lang w:val="en-GB"/>
        </w:rPr>
        <w:t>24–26</w:t>
      </w:r>
      <w:r w:rsidR="000F32F3" w:rsidRPr="0082680A">
        <w:rPr>
          <w:lang w:val="en-GB"/>
        </w:rPr>
        <w:fldChar w:fldCharType="end"/>
      </w:r>
      <w:r w:rsidRPr="0082680A">
        <w:rPr>
          <w:lang w:val="en-GB"/>
        </w:rPr>
        <w:t xml:space="preserve">, blood disorders </w:t>
      </w:r>
      <w:r w:rsidR="000F32F3" w:rsidRPr="0082680A">
        <w:rPr>
          <w:lang w:val="en-GB"/>
        </w:rPr>
        <w:fldChar w:fldCharType="begin" w:fldLock="1"/>
      </w:r>
      <w:r w:rsidR="0050527E">
        <w:rPr>
          <w:lang w:val="en-GB"/>
        </w:rPr>
        <w:instrText>ADDIN CSL_CITATION {"citationItems":[{"id":"ITEM-1","itemData":{"DOI":"10.1038/srep37099","ISSN":"2045-2322","PMID":"27892526","abstract":"Thrombosis is a leading cause of morbidity and mortality in patients with myeloproliferative disorders (MPDs), particularly polycythemia vera (PV) and essential thrombocythemia (ET). Despite the attempts to establish a link between them, the shared biological mechanisms are yet to be characterized. An integrated gene expression meta-analysis of five independent publicly available microarray data of the three diseases was conducted to identify shared gene expression signatures and overlapping biological processes. Using INMEX bioinformatic tool, based on combined Effect Size (ES) approaches, we identified a total of 1,157 differentially expressed genes (DEGs) (697 overexpressed and 460 underexpressed genes) shared between the three diseases. EnrichR tool's rich library was used for comprehensive functional enrichment and pathway analysis which revealed \"mRNA Splicing\" and \"SUMO E3 ligases SUMOylate target proteins\" among the most enriched terms. Network based meta-analysis identified MYC and FN1 to be the most highly ranked hub genes. Our results reveal that the alterations in biomarkers of the coagulation cascade like F2R, PROS1, SELPLG and ITGB2 were common between the three diseases. Interestingly, the study has generated a novel database of candidate genetic markers, pathways and transcription factors shared between thrombosis and MPDs, which might aid in the development of prognostic therapeutic biomarkers.","author":[{"dropping-particle":"","family":"Jha","given":"Prabhash Kumar","non-dropping-particle":"","parse-names":false,"suffix":""},{"dropping-particle":"","family":"Vijay","given":"Aatira","non-dropping-particle":"","parse-names":false,"suffix":""},{"dropping-particle":"","family":"Sahu","given":"Anita","non-dropping-particle":"","parse-names":false,"suffix":""},{"dropping-particle":"","family":"Ashraf","given":"Mohammad Zahid","non-dropping-particle":"","parse-names":false,"suffix":""}],"container-title":"Scientific reports","id":"ITEM-1","issued":{"date-parts":[["2016"]]},"page":"37099","publisher":"Nature Publishing Group","title":"Comprehensive Gene expression meta-analysis and integrated bioinformatic approaches reveal shared signatures between thrombosis and myeloproliferative disorders.","type":"article-journal","volume":"6"},"uris":["http://www.mendeley.com/documents/?uuid=9a8ccdbc-ee7a-3b32-95db-18c24888527c"]}],"mendeley":{"formattedCitation":"&lt;sup&gt;27&lt;/sup&gt;","plainTextFormattedCitation":"27","previouslyFormattedCitation":"&lt;sup&gt;27&lt;/sup&gt;"},"properties":{"noteIndex":0},"schema":"https://github.com/citation-style-language/schema/raw/master/csl-citation.json"}</w:instrText>
      </w:r>
      <w:r w:rsidR="000F32F3" w:rsidRPr="0082680A">
        <w:rPr>
          <w:lang w:val="en-GB"/>
        </w:rPr>
        <w:fldChar w:fldCharType="separate"/>
      </w:r>
      <w:r w:rsidR="00442425" w:rsidRPr="00442425">
        <w:rPr>
          <w:noProof/>
          <w:vertAlign w:val="superscript"/>
          <w:lang w:val="en-GB"/>
        </w:rPr>
        <w:t>27</w:t>
      </w:r>
      <w:r w:rsidR="000F32F3" w:rsidRPr="0082680A">
        <w:rPr>
          <w:lang w:val="en-GB"/>
        </w:rPr>
        <w:fldChar w:fldCharType="end"/>
      </w:r>
      <w:r w:rsidRPr="0082680A">
        <w:rPr>
          <w:lang w:val="en-GB"/>
        </w:rPr>
        <w:t xml:space="preserve">, autoimmune conditions </w:t>
      </w:r>
      <w:r w:rsidR="000F32F3" w:rsidRPr="0082680A">
        <w:rPr>
          <w:lang w:val="en-GB"/>
        </w:rPr>
        <w:fldChar w:fldCharType="begin" w:fldLock="1"/>
      </w:r>
      <w:r w:rsidR="0050527E">
        <w:rPr>
          <w:lang w:val="en-GB"/>
        </w:rPr>
        <w:instrText>ADDIN CSL_CITATION {"citationItems":[{"id":"ITEM-1","itemData":{"DOI":"10.1038/nrg3502","ISSN":"1471-0056","abstract":"Research into the genetics of immune and inflammatory disease has experienced major recent advances owing to the availability of a custom single-nucleotide polymorphism (SNP) genotyping array — the Immunochip — developed specifically to investigate these disorders. In this Analysis, the authors assess findings from studies that have used this platform, and explore the shared and phenotype-specific genetic associations among several immune-mediated diseases.","author":[{"dropping-particle":"","family":"Parkes","given":"Miles","non-dropping-particle":"","parse-names":false,"suffix":""},{"dropping-particle":"","family":"Cortes","given":"Adrian","non-dropping-particle":"","parse-names":false,"suffix":""},{"dropping-particle":"","family":"Heel","given":"David A.","non-dropping-particle":"van","parse-names":false,"suffix":""},{"dropping-particle":"","family":"Brown","given":"Matthew A.","non-dropping-particle":"","parse-names":false,"suffix":""}],"container-title":"Nature Reviews Genetics","id":"ITEM-1","issue":"9","issued":{"date-parts":[["2013","9","6"]]},"page":"661-673","publisher":"Nature Publishing Group","title":"Genetic insights into common pathways and complex relationships among immune-mediated diseases","type":"article-journal","volume":"14"},"uris":["http://www.mendeley.com/documents/?uuid=c5ec1dd1-d96b-4bd7-a5cb-c0a04af50c10"]},{"id":"ITEM-2","itemData":{"DOI":"10.1038/gene.2012.55","ISSN":"1466-4879","abstract":"Common and specific signatures of gene expression and protein–protein interactions in autoimmune diseases","author":[{"dropping-particle":"","family":"Tuller","given":"T","non-dropping-particle":"","parse-names":false,"suffix":""},{"dropping-particle":"","family":"Atar","given":"S","non-dropping-particle":"","parse-names":false,"suffix":""},{"dropping-particle":"","family":"Ruppin","given":"E","non-dropping-particle":"","parse-names":false,"suffix":""},{"dropping-particle":"","family":"Gurevich","given":"M","non-dropping-particle":"","parse-names":false,"suffix":""},{"dropping-particle":"","family":"Achiron","given":"A","non-dropping-particle":"","parse-names":false,"suffix":""}],"container-title":"Genes &amp; Immunity","id":"ITEM-2","issue":"2","issued":{"date-parts":[["2013","3","29"]]},"page":"67-82","publisher":"Nature Publishing Group","title":"Common and specific signatures of gene expression and protein–protein interactions in autoimmune diseases","type":"article-journal","volume":"14"},"uris":["http://www.mendeley.com/documents/?uuid=e32486b4-e5a0-4ed5-8137-0da88442ad98"]}],"mendeley":{"formattedCitation":"&lt;sup&gt;28,29&lt;/sup&gt;","plainTextFormattedCitation":"28,29","previouslyFormattedCitation":"&lt;sup&gt;28,29&lt;/sup&gt;"},"properties":{"noteIndex":0},"schema":"https://github.com/citation-style-language/schema/raw/master/csl-citation.json"}</w:instrText>
      </w:r>
      <w:r w:rsidR="000F32F3" w:rsidRPr="0082680A">
        <w:rPr>
          <w:lang w:val="en-GB"/>
        </w:rPr>
        <w:fldChar w:fldCharType="separate"/>
      </w:r>
      <w:r w:rsidR="00442425" w:rsidRPr="00442425">
        <w:rPr>
          <w:noProof/>
          <w:vertAlign w:val="superscript"/>
          <w:lang w:val="en-GB"/>
        </w:rPr>
        <w:t>28,29</w:t>
      </w:r>
      <w:r w:rsidR="000F32F3" w:rsidRPr="0082680A">
        <w:rPr>
          <w:lang w:val="en-GB"/>
        </w:rPr>
        <w:fldChar w:fldCharType="end"/>
      </w:r>
      <w:r w:rsidRPr="0082680A">
        <w:rPr>
          <w:lang w:val="en-GB"/>
        </w:rPr>
        <w:t xml:space="preserve">, aging </w:t>
      </w:r>
      <w:r w:rsidR="000F32F3" w:rsidRPr="0082680A">
        <w:rPr>
          <w:lang w:val="en-GB"/>
        </w:rPr>
        <w:fldChar w:fldCharType="begin" w:fldLock="1"/>
      </w:r>
      <w:r w:rsidR="0050527E">
        <w:rPr>
          <w:lang w:val="en-GB"/>
        </w:rPr>
        <w:instrText>ADDIN CSL_CITATION {"citationItems":[{"id":"ITEM-1","itemData":{"DOI":"10.1093/bioinformatics/btp073","ISSN":"1460-2059","author":[{"dropping-particle":"","family":"Magalhães","given":"João Pedro","non-dropping-particle":"de","parse-names":false,"suffix":""},{"dropping-particle":"","family":"Curado","given":"João","non-dropping-particle":"","parse-names":false,"suffix":""},{"dropping-particle":"","family":"Church","given":"George M.","non-dropping-particle":"","parse-names":false,"suffix":""}],"container-title":"Bioinformatics","id":"ITEM-1","issue":"7","issued":{"date-parts":[["2009","4","1"]]},"page":"875-881","publisher":"Oxford University Press","title":"Meta-analysis of age-related gene expression profiles identifies common signatures of aging","type":"article-journal","volume":"25"},"uris":["http://www.mendeley.com/documents/?uuid=27cda2c3-84e4-413d-8db6-2e99365e3a67"]},{"id":"ITEM-2","itemData":{"DOI":"10.1111/acel.12362","ISSN":"14749718","author":[{"dropping-particle":"","family":"Johnson","given":"Simon C.","non-dropping-particle":"","parse-names":false,"suffix":""},{"dropping-particle":"","family":"Dong","given":"Xiao","non-dropping-particle":"","parse-names":false,"suffix":""},{"dropping-particle":"","family":"Vijg","given":"Jan","non-dropping-particle":"","parse-names":false,"suffix":""},{"dropping-particle":"","family":"Suh","given":"Yousin","non-dropping-particle":"","parse-names":false,"suffix":""}],"container-title":"Aging Cell","id":"ITEM-2","issue":"5","issued":{"date-parts":[["2015","10","1"]]},"page":"809-817","publisher":"Wiley/Blackwell (10.1111)","title":"Genetic evidence for common pathways in human age-related diseases","type":"article-journal","volume":"14"},"uris":["http://www.mendeley.com/documents/?uuid=a3404bcf-ca91-4f39-9e82-4d43a26424c2"]}],"mendeley":{"formattedCitation":"&lt;sup&gt;30,31&lt;/sup&gt;","plainTextFormattedCitation":"30,31","previouslyFormattedCitation":"&lt;sup&gt;30,31&lt;/sup&gt;"},"properties":{"noteIndex":0},"schema":"https://github.com/citation-style-language/schema/raw/master/csl-citation.json"}</w:instrText>
      </w:r>
      <w:r w:rsidR="000F32F3" w:rsidRPr="0082680A">
        <w:rPr>
          <w:lang w:val="en-GB"/>
        </w:rPr>
        <w:fldChar w:fldCharType="separate"/>
      </w:r>
      <w:r w:rsidR="00442425" w:rsidRPr="00442425">
        <w:rPr>
          <w:noProof/>
          <w:vertAlign w:val="superscript"/>
          <w:lang w:val="en-GB"/>
        </w:rPr>
        <w:t>30,31</w:t>
      </w:r>
      <w:r w:rsidR="000F32F3" w:rsidRPr="0082680A">
        <w:rPr>
          <w:lang w:val="en-GB"/>
        </w:rPr>
        <w:fldChar w:fldCharType="end"/>
      </w:r>
      <w:r w:rsidRPr="0082680A">
        <w:rPr>
          <w:lang w:val="en-GB"/>
        </w:rPr>
        <w:t>, and cancer</w:t>
      </w:r>
      <w:r w:rsidR="000F32F3" w:rsidRPr="0082680A">
        <w:rPr>
          <w:lang w:val="en-GB"/>
        </w:rPr>
        <w:t xml:space="preserve"> </w:t>
      </w:r>
      <w:r w:rsidR="000F32F3" w:rsidRPr="0082680A">
        <w:rPr>
          <w:lang w:val="en-GB"/>
        </w:rPr>
        <w:fldChar w:fldCharType="begin" w:fldLock="1"/>
      </w:r>
      <w:r w:rsidR="0050527E">
        <w:rPr>
          <w:lang w:val="en-GB"/>
        </w:rPr>
        <w:instrText>ADDIN CSL_CITATION {"citationItems":[{"id":"ITEM-1","itemData":{"DOI":"10.1016/J.EJCA.2017.01.025","ISSN":"0959-8049","abstract":"BACKGROUND\nNeovascularisation supports the metastatic switch in many aggressive solid cancers. Tumour neovessels are mostly lined by endothelial cells sprouting from nearby capillaries, but they could also be contributed by circulating endothelial progenitor cells (EPCs). However, scant information is available about tumour-derived EPCs. \n\nMETHODS\nWe carried out the first thorough, unbiased comparison of phenotype, function and genotype of normal versus tumour-derived endothelial colony forming cells (ECFCs), a truly endothelial EPC subtype. We used healthy donors–derived ECFCs (N-ECFCs) as control for breast cancer (BC)– and renal cell carcinoma (RCC)–derived ECFCs. \n\nRESULTS\nWe found that both BC- and RCC-ECFCs belong to the endothelial lineage. Normal and tumour-derived ECFCs did not differ in terms of proliferative and tubulogenic rates. However, RCC-ECFCs were more resistant to rapamycin-induced apoptosis, whereas BC-ECFCs were more sensitive as compared with N-ECFCs. Gene expression profiling revealed 382 differentially expressed genes (DEGs; 192 upregulated and 150 downregulated) and 71 DEGs (33 upregulated, 38 downregulated) when comparing, respectively, BC- and RCC-ECFCs with N-ECFCs. Nonetheless, BC- and RCC-derived ECFCs shared 35 DEGs, 10 of which were validated by qRT-PCR; such 35 DEGs are organised in a gene network centred on FOS. \n\nCONCLUSION\nThese results provide the first clear-cut evidence that BC- and RCC-derived ECFCs exhibit an altered gene expression profile as compared with N-ECFCs; yet, they share a common gene signature that could highlight novel and more specific targets to suppress tumour vascularisation.","author":[{"dropping-particle":"","family":"Moccia","given":"Francesco","non-dropping-particle":"","parse-names":false,"suffix":""},{"dropping-particle":"","family":"Fotia","given":"Vittoria","non-dropping-particle":"","parse-names":false,"suffix":""},{"dropping-particle":"","family":"Tancredi","given":"Richard","non-dropping-particle":"","parse-names":false,"suffix":""},{"dropping-particle":"","family":"Porta","given":"Matteo Giovanni","non-dropping-particle":"Della","parse-names":false,"suffix":""},{"dropping-particle":"","family":"Rosti","given":"Vittorio","non-dropping-particle":"","parse-names":false,"suffix":""},{"dropping-particle":"","family":"Bonetti","given":"Elisa","non-dropping-particle":"","parse-names":false,"suffix":""},{"dropping-particle":"","family":"Poletto","given":"Valentina","non-dropping-particle":"","parse-names":false,"suffix":""},{"dropping-particle":"","family":"Marchini","given":"Sergio","non-dropping-particle":"","parse-names":false,"suffix":""},{"dropping-particle":"","family":"Beltrame","given":"Luca","non-dropping-particle":"","parse-names":false,"suffix":""},{"dropping-particle":"","family":"Gallizzi","given":"Giulia","non-dropping-particle":"","parse-names":false,"suffix":""},{"dropping-particle":"","family":"Prada","given":"Gian Antonio","non-dropping-particle":"Da","parse-names":false,"suffix":""},{"dropping-particle":"","family":"Pedrazzoli","given":"Paolo","non-dropping-particle":"","parse-names":false,"suffix":""},{"dropping-particle":"","family":"Riccardi","given":"Alberto","non-dropping-particle":"","parse-names":false,"suffix":""},{"dropping-particle":"","family":"Porta","given":"Camillo","non-dropping-particle":"","parse-names":false,"suffix":""},{"dropping-particle":"","family":"Zambelli","given":"Alberto","non-dropping-particle":"","parse-names":false,"suffix":""},{"dropping-particle":"","family":"D'Incalci","given":"Maurizio","non-dropping-particle":"","parse-names":false,"suffix":""}],"container-title":"European Journal of Cancer","id":"ITEM-1","issued":{"date-parts":[["2017","5","1"]]},"page":"155-164","publisher":"Pergamon","title":"Breast and renal cancer—Derived endothelial colony forming cells share a common gene signature","type":"article-journal","volume":"77"},"uris":["http://www.mendeley.com/documents/?uuid=1c3a5595-3dbd-4886-8832-9e22d911ca73"]}],"mendeley":{"formattedCitation":"&lt;sup&gt;32&lt;/sup&gt;","plainTextFormattedCitation":"32","previouslyFormattedCitation":"&lt;sup&gt;32&lt;/sup&gt;"},"properties":{"noteIndex":0},"schema":"https://github.com/citation-style-language/schema/raw/master/csl-citation.json"}</w:instrText>
      </w:r>
      <w:r w:rsidR="000F32F3" w:rsidRPr="0082680A">
        <w:rPr>
          <w:lang w:val="en-GB"/>
        </w:rPr>
        <w:fldChar w:fldCharType="separate"/>
      </w:r>
      <w:r w:rsidR="00442425" w:rsidRPr="00442425">
        <w:rPr>
          <w:noProof/>
          <w:vertAlign w:val="superscript"/>
          <w:lang w:val="en-GB"/>
        </w:rPr>
        <w:t>32</w:t>
      </w:r>
      <w:r w:rsidR="000F32F3" w:rsidRPr="0082680A">
        <w:rPr>
          <w:lang w:val="en-GB"/>
        </w:rPr>
        <w:fldChar w:fldCharType="end"/>
      </w:r>
      <w:r w:rsidRPr="0082680A">
        <w:rPr>
          <w:lang w:val="en-GB"/>
        </w:rPr>
        <w:t xml:space="preserve">. The great value in </w:t>
      </w:r>
      <w:r w:rsidRPr="0082680A">
        <w:rPr>
          <w:i/>
          <w:lang w:val="en-GB"/>
        </w:rPr>
        <w:t>in silico</w:t>
      </w:r>
      <w:r w:rsidRPr="0082680A">
        <w:rPr>
          <w:lang w:val="en-GB"/>
        </w:rPr>
        <w:t>-generated signatures is that they have the potential to be the “shortcut” we know is desperately needed; instead of decades of expensive exploratory lab work, computationally-generated signatures could provide meaningful predictions in a fraction of the time. With computation times decreasing, storage space increasing, and new methodologies published every day</w:t>
      </w:r>
      <w:r w:rsidR="005C4E13" w:rsidRPr="0082680A">
        <w:rPr>
          <w:lang w:val="en-GB"/>
        </w:rPr>
        <w:t xml:space="preserve">, </w:t>
      </w:r>
      <w:r w:rsidRPr="0082680A">
        <w:rPr>
          <w:lang w:val="en-GB"/>
        </w:rPr>
        <w:t xml:space="preserve">the contributions </w:t>
      </w:r>
      <w:r w:rsidRPr="0082680A">
        <w:rPr>
          <w:i/>
          <w:lang w:val="en-GB"/>
        </w:rPr>
        <w:t>in silico</w:t>
      </w:r>
      <w:r w:rsidRPr="0082680A">
        <w:rPr>
          <w:lang w:val="en-GB"/>
        </w:rPr>
        <w:t xml:space="preserve"> approaches are making </w:t>
      </w:r>
      <w:r w:rsidR="005C4E13" w:rsidRPr="0082680A">
        <w:rPr>
          <w:lang w:val="en-GB"/>
        </w:rPr>
        <w:t>are ever increasing</w:t>
      </w:r>
      <w:r w:rsidRPr="0082680A">
        <w:rPr>
          <w:lang w:val="en-GB"/>
        </w:rPr>
        <w:t xml:space="preserve">. </w:t>
      </w:r>
    </w:p>
    <w:p w14:paraId="1674A751" w14:textId="1CF4C6A8" w:rsidR="00DD630F" w:rsidRPr="0082680A" w:rsidRDefault="00F44FAF">
      <w:pPr>
        <w:contextualSpacing w:val="0"/>
        <w:rPr>
          <w:lang w:val="en-GB"/>
        </w:rPr>
      </w:pPr>
      <w:r w:rsidRPr="0082680A">
        <w:rPr>
          <w:lang w:val="en-GB"/>
        </w:rPr>
        <w:t>However</w:t>
      </w:r>
      <w:r w:rsidR="000F32F3" w:rsidRPr="0082680A">
        <w:rPr>
          <w:i/>
          <w:lang w:val="en-GB"/>
        </w:rPr>
        <w:t xml:space="preserve">, </w:t>
      </w:r>
      <w:r w:rsidR="00BB2145" w:rsidRPr="0082680A">
        <w:rPr>
          <w:lang w:val="en-GB"/>
        </w:rPr>
        <w:t xml:space="preserve">if our methodological approach is to be one in which we generate </w:t>
      </w:r>
      <w:r w:rsidR="000F32F3" w:rsidRPr="0082680A">
        <w:rPr>
          <w:i/>
          <w:lang w:val="en-GB"/>
        </w:rPr>
        <w:t>i</w:t>
      </w:r>
      <w:r w:rsidRPr="0082680A">
        <w:rPr>
          <w:i/>
          <w:lang w:val="en-GB"/>
        </w:rPr>
        <w:t>n silico</w:t>
      </w:r>
      <w:r w:rsidRPr="0082680A">
        <w:rPr>
          <w:lang w:val="en-GB"/>
        </w:rPr>
        <w:t xml:space="preserve"> signatures</w:t>
      </w:r>
      <w:r w:rsidR="00BB2145" w:rsidRPr="0082680A">
        <w:rPr>
          <w:lang w:val="en-GB"/>
        </w:rPr>
        <w:t>, we must be cognisant of their</w:t>
      </w:r>
      <w:r w:rsidRPr="0082680A">
        <w:rPr>
          <w:lang w:val="en-GB"/>
        </w:rPr>
        <w:t xml:space="preserve"> weaknesses</w:t>
      </w:r>
      <w:r w:rsidR="00BB2145" w:rsidRPr="0082680A">
        <w:rPr>
          <w:lang w:val="en-GB"/>
        </w:rPr>
        <w:t>, and formulate solutions</w:t>
      </w:r>
      <w:r w:rsidRPr="0082680A">
        <w:rPr>
          <w:lang w:val="en-GB"/>
        </w:rPr>
        <w:t xml:space="preserve">. Here, we will discuss a number of ways in which </w:t>
      </w:r>
      <w:r w:rsidRPr="0082680A">
        <w:rPr>
          <w:i/>
          <w:lang w:val="en-GB"/>
        </w:rPr>
        <w:t>in silico</w:t>
      </w:r>
      <w:r w:rsidRPr="0082680A">
        <w:rPr>
          <w:lang w:val="en-GB"/>
        </w:rPr>
        <w:t xml:space="preserve"> signatures are flawed, alongside suggested </w:t>
      </w:r>
      <w:r w:rsidR="00BB2145" w:rsidRPr="0082680A">
        <w:rPr>
          <w:lang w:val="en-GB"/>
        </w:rPr>
        <w:t xml:space="preserve">actions </w:t>
      </w:r>
      <w:r w:rsidRPr="0082680A">
        <w:rPr>
          <w:lang w:val="en-GB"/>
        </w:rPr>
        <w:t>by which they can be remedied.</w:t>
      </w:r>
    </w:p>
    <w:p w14:paraId="144387F9" w14:textId="05293D42" w:rsidR="00DD630F" w:rsidRPr="00691215" w:rsidRDefault="00842FD0" w:rsidP="00691215">
      <w:pPr>
        <w:pStyle w:val="Heading3"/>
      </w:pPr>
      <w:bookmarkStart w:id="12" w:name="_Toc527800521"/>
      <w:r w:rsidRPr="00691215">
        <w:t xml:space="preserve"> </w:t>
      </w:r>
      <w:bookmarkStart w:id="13" w:name="_Toc3211310"/>
      <w:r w:rsidR="00F44FAF" w:rsidRPr="00691215">
        <w:t>Signatures are Imperfect</w:t>
      </w:r>
      <w:bookmarkEnd w:id="12"/>
      <w:bookmarkEnd w:id="13"/>
    </w:p>
    <w:p w14:paraId="7DC4221C" w14:textId="7C0F17B1" w:rsidR="00DD630F" w:rsidRPr="0082680A" w:rsidRDefault="00BB2145">
      <w:pPr>
        <w:contextualSpacing w:val="0"/>
        <w:rPr>
          <w:lang w:val="en-GB"/>
        </w:rPr>
      </w:pPr>
      <w:r w:rsidRPr="0082680A">
        <w:rPr>
          <w:lang w:val="en-GB"/>
        </w:rPr>
        <w:t>Despite their appeal,</w:t>
      </w:r>
      <w:r w:rsidR="00F44FAF" w:rsidRPr="0082680A">
        <w:rPr>
          <w:lang w:val="en-GB"/>
        </w:rPr>
        <w:t xml:space="preserve"> signatures </w:t>
      </w:r>
      <w:r w:rsidRPr="0082680A">
        <w:rPr>
          <w:lang w:val="en-GB"/>
        </w:rPr>
        <w:t xml:space="preserve">are </w:t>
      </w:r>
      <w:r w:rsidR="00F44FAF" w:rsidRPr="0082680A">
        <w:rPr>
          <w:lang w:val="en-GB"/>
        </w:rPr>
        <w:t xml:space="preserve">notoriously difficult to replicate </w:t>
      </w:r>
      <w:r w:rsidR="000F32F3" w:rsidRPr="0082680A">
        <w:rPr>
          <w:lang w:val="en-GB"/>
        </w:rPr>
        <w:fldChar w:fldCharType="begin" w:fldLock="1"/>
      </w:r>
      <w:r w:rsidR="0050527E">
        <w:rPr>
          <w:lang w:val="en-GB"/>
        </w:rPr>
        <w:instrText>ADDIN CSL_CITATION {"citationItems":[{"id":"ITEM-1","itemData":{"DOI":"10.1038/nmeth757","ISSN":"1548-7091","PMID":"15846360","abstract":"Microarrays have been widely used for the analysis of gene expression, but the issue of reproducibility across platforms has yet to be fully resolved. To address this apparent problem, we compared gene expression between two microarray platforms: the short oligonucleotide Affymetrix Mouse Genome 430 2.0 GeneChip and a spotted cDNA array using a mouse model of angiotensin II-induced hypertension. RNA extracted from treated mice was analyzed using Affymetrix and cDNA platforms and then by quantitative RT-PCR (qRT-PCR) for validation of specific genes. For the 11,710 genes present on both arrays, we assessed the relative impact of experimental treatment and platform on measured expression and found that biological treatment had a far greater impact on measured expression than did platform for more than 90% of genes, a result validated by qRT-PCR. In the small number of cases in which platforms yielded discrepant results, qRT-PCR generally did not confirm either set of data, suggesting that sequence-specific effects may make expression predictions difficult to make using any technique.","author":[{"dropping-particle":"","family":"Larkin","given":"Jennie E","non-dropping-particle":"","parse-names":false,"suffix":""},{"dropping-particle":"","family":"Frank","given":"Bryan C","non-dropping-particle":"","parse-names":false,"suffix":""},{"dropping-particle":"","family":"Gavras","given":"Haralambos","non-dropping-particle":"","parse-names":false,"suffix":""},{"dropping-particle":"","family":"Sultana","given":"Razvan","non-dropping-particle":"","parse-names":false,"suffix":""},{"dropping-particle":"","family":"Quackenbush","given":"John","non-dropping-particle":"","parse-names":false,"suffix":""}],"container-title":"Nature Methods","id":"ITEM-1","issue":"5","issued":{"date-parts":[["2005","5","21"]]},"page":"337-344","title":"Independence and reproducibility across microarray platforms","type":"article-journal","volume":"2"},"uris":["http://www.mendeley.com/documents/?uuid=0c01a8eb-a6d3-3b91-803d-c35443cb9f63"]},{"id":"ITEM-2","itemData":{"DOI":"10.1038/nmeth756","ISSN":"1548-7091","PMID":"15846361","abstract":"Microarray technology is a powerful tool for measuring RNA expression for thousands of genes at once. Various studies have been published comparing competing platforms with mixed results: some find agreement, others do not. As the number of researchers starting to use microarrays and the number of cross-platform meta-analysis studies rapidly increases, appropriate platform assessments become more important. Here we present results from a comparison study that offers important improvements over those previously described in the literature. In particular, we noticed that none of the previously published papers consider differences between labs. For this study, a consortium of ten laboratories from the Washington, DC-Baltimore, USA, area was formed to compare data obtained from three widely used platforms using identical RNA samples. We used appropriate statistical analysis to demonstrate that there are relatively large differences in data obtained in labs using the same platform, but that the results from the best-performing labs agree rather well.","author":[{"dropping-particle":"","family":"Irizarry","given":"Rafael A","non-dropping-particle":"","parse-names":false,"suffix":""},{"dropping-particle":"","family":"Warren","given":"Daniel","non-dropping-particle":"","parse-names":false,"suffix":""},{"dropping-particle":"","family":"Spencer","given":"Forrest","non-dropping-particle":"","parse-names":false,"suffix":""},{"dropping-particle":"","family":"Kim","given":"Irene F","non-dropping-particle":"","parse-names":false,"suffix":""},{"dropping-particle":"","family":"Biswal","given":"Shyam","non-dropping-particle":"","parse-names":false,"suffix":""},{"dropping-particle":"","family":"Frank","given":"Bryan C","non-dropping-particle":"","parse-names":false,"suffix":""},{"dropping-particle":"","family":"Gabrielson","given":"Edward","non-dropping-particle":"","parse-names":false,"suffix":""},{"dropping-particle":"","family":"Garcia","given":"Joe G N","non-dropping-particle":"","parse-names":false,"suffix":""},{"dropping-particle":"","family":"Geoghegan","given":"Joel","non-dropping-particle":"","parse-names":false,"suffix":""},{"dropping-particle":"","family":"Germino","given":"Gregory","non-dropping-particle":"","parse-names":false,"suffix":""},{"dropping-particle":"","family":"Griffin","given":"Constance","non-dropping-particle":"","parse-names":false,"suffix":""},{"dropping-particle":"","family":"Hilmer","given":"Sara C","non-dropping-particle":"","parse-names":false,"suffix":""},{"dropping-particle":"","family":"Hoffman","given":"Eric","non-dropping-particle":"","parse-names":false,"suffix":""},{"dropping-particle":"","family":"Jedlicka","given":"Anne E","non-dropping-particle":"","parse-names":false,"suffix":""},{"dropping-particle":"","family":"Kawasaki","given":"Ernest","non-dropping-particle":"","parse-names":false,"suffix":""},{"dropping-particle":"","family":"Martínez-Murillo","given":"Francisco","non-dropping-particle":"","parse-names":false,"suffix":""},{"dropping-particle":"","family":"Morsberger","given":"Laura","non-dropping-particle":"","parse-names":false,"suffix":""},{"dropping-particle":"","family":"Lee","given":"Hannah","non-dropping-particle":"","parse-names":false,"suffix":""},{"dropping-particle":"","family":"Petersen","given":"David","non-dropping-particle":"","parse-names":false,"suffix":""},{"dropping-particle":"","family":"Quackenbush","given":"John","non-dropping-particle":"","parse-names":false,"suffix":""},{"dropping-particle":"","family":"Scott","given":"Alan","non-dropping-particle":"","parse-names":false,"suffix":""},{"dropping-particle":"","family":"Wilson","given":"Michael","non-dropping-particle":"","parse-names":false,"suffix":""},{"dropping-particle":"","family":"Yang","given":"Yanqin","non-dropping-particle":"","parse-names":false,"suffix":""},{"dropping-particle":"","family":"Ye","given":"Shui Qing","non-dropping-particle":"","parse-names":false,"suffix":""},{"dropping-particle":"","family":"Yu","given":"Wayne","non-dropping-particle":"","parse-names":false,"suffix":""}],"container-title":"Nature Methods","id":"ITEM-2","issue":"5","issued":{"date-parts":[["2005","5","21"]]},"page":"345-350","title":"Multiple-laboratory comparison of microarray platforms","type":"article-journal","volume":"2"},"uris":["http://www.mendeley.com/documents/?uuid=8543637f-7d9a-3f08-bc3b-9feaa4b81143"]},{"id":"ITEM-3","itemData":{"DOI":"10.1038/nature12831","ISSN":"0028-0836","abstract":"This Analysis compares two large-scale pharmacogenomic data sets that catalogued the sensitivity of a large number of cancer cell lines to approved and potential drugs, and finds that whereas the gene expression data are largely concordant between the two studies, the reported drug sensitivity measures and subsequently their association with genomic features are highly discordant.","author":[{"dropping-particle":"","family":"Haibe-Kains","given":"Benjamin","non-dropping-particle":"","parse-names":false,"suffix":""},{"dropping-particle":"","family":"El-Hachem","given":"Nehme","non-dropping-particle":"","parse-names":false,"suffix":""},{"dropping-particle":"","family":"Birkbak","given":"Nicolai Juul","non-dropping-particle":"","parse-names":false,"suffix":""},{"dropping-particle":"","family":"Jin","given":"Andrew C.","non-dropping-particle":"","parse-names":false,"suffix":""},{"dropping-particle":"","family":"Beck","given":"Andrew H.","non-dropping-particle":"","parse-names":false,"suffix":""},{"dropping-particle":"","family":"Aerts","given":"Hugo J. W. L.","non-dropping-particle":"","parse-names":false,"suffix":""},{"dropping-particle":"","family":"Quackenbush","given":"John","non-dropping-particle":"","parse-names":false,"suffix":""}],"container-title":"Nature","id":"ITEM-3","issue":"7480","issued":{"date-parts":[["2013","12","27"]]},"page":"389-393","publisher":"Nature Publishing Group","title":"Inconsistency in large pharmacogenomic studies","type":"article-journal","volume":"504"},"uris":["http://www.mendeley.com/documents/?uuid=3c9ced08-1b69-376b-a27a-35da6e1b3ac8"]},{"id":"ITEM-4","itemData":{"DOI":"10.1126/scitranslmed.3000313","ISSN":"1946-6234","PMID":"20371465","abstract":"Omics technologies are expected to enhance our understanding of a variety of diseases and to open the door to patient-specific personalized medicine. Despite the extensive literature on the use of gene expression arrays to predict prognosis in cancer patients, poor progress has been made in the translation of gene expression signatures for use in the clinics. Breast cancer provides a ripe arena for an analysis of why such signatures have failed to fulfill their promise.","author":[{"dropping-particle":"","family":"Koscielny","given":"S.","non-dropping-particle":"","parse-names":false,"suffix":""}],"container-title":"Science Translational Medicine","id":"ITEM-4","issue":"14","issued":{"date-parts":[["2010","1","13"]]},"page":"14ps2-14ps2","title":"Why Most Gene Expression Signatures of Tumors Have Not Been Useful in the Clinic","type":"article-journal","volume":"2"},"uris":["http://www.mendeley.com/documents/?uuid=79a938e2-0645-3cb5-aa6c-3a477820116a"]}],"mendeley":{"formattedCitation":"&lt;sup&gt;33–36&lt;/sup&gt;","plainTextFormattedCitation":"33–36","previouslyFormattedCitation":"&lt;sup&gt;33–36&lt;/sup&gt;"},"properties":{"noteIndex":0},"schema":"https://github.com/citation-style-language/schema/raw/master/csl-citation.json"}</w:instrText>
      </w:r>
      <w:r w:rsidR="000F32F3" w:rsidRPr="0082680A">
        <w:rPr>
          <w:lang w:val="en-GB"/>
        </w:rPr>
        <w:fldChar w:fldCharType="separate"/>
      </w:r>
      <w:r w:rsidR="00442425" w:rsidRPr="00442425">
        <w:rPr>
          <w:noProof/>
          <w:vertAlign w:val="superscript"/>
          <w:lang w:val="en-GB"/>
        </w:rPr>
        <w:t>33–36</w:t>
      </w:r>
      <w:r w:rsidR="000F32F3" w:rsidRPr="0082680A">
        <w:rPr>
          <w:lang w:val="en-GB"/>
        </w:rPr>
        <w:fldChar w:fldCharType="end"/>
      </w:r>
      <w:r w:rsidR="00F44FAF" w:rsidRPr="0082680A">
        <w:rPr>
          <w:lang w:val="en-GB"/>
        </w:rPr>
        <w:t xml:space="preserve">. </w:t>
      </w:r>
      <w:r w:rsidR="00117180" w:rsidRPr="0082680A">
        <w:rPr>
          <w:lang w:val="en-GB"/>
        </w:rPr>
        <w:t xml:space="preserve">There are a number of reasons why this occurs, but predominantly the issue is that signatures are unstable; Patil </w:t>
      </w:r>
      <w:r w:rsidR="00117180" w:rsidRPr="0082680A">
        <w:rPr>
          <w:i/>
          <w:lang w:val="en-GB"/>
        </w:rPr>
        <w:t>et al</w:t>
      </w:r>
      <w:r w:rsidR="005476C5" w:rsidRPr="0082680A">
        <w:rPr>
          <w:i/>
          <w:lang w:val="en-GB"/>
        </w:rPr>
        <w:t>.</w:t>
      </w:r>
      <w:r w:rsidR="00117180" w:rsidRPr="0082680A">
        <w:rPr>
          <w:i/>
          <w:lang w:val="en-GB"/>
        </w:rPr>
        <w:t xml:space="preserve"> </w:t>
      </w:r>
      <w:r w:rsidR="00117180" w:rsidRPr="0082680A">
        <w:rPr>
          <w:lang w:val="en-GB"/>
        </w:rPr>
        <w:t xml:space="preserve">demonstrated that the ability for a prognostic signature to predict cancer in an individual changed depending on the other patients selected to develop that signature </w:t>
      </w:r>
      <w:r w:rsidR="00117180" w:rsidRPr="0082680A">
        <w:rPr>
          <w:lang w:val="en-GB"/>
        </w:rPr>
        <w:fldChar w:fldCharType="begin" w:fldLock="1"/>
      </w:r>
      <w:r w:rsidR="0050527E">
        <w:rPr>
          <w:lang w:val="en-GB"/>
        </w:rPr>
        <w:instrText>ADDIN CSL_CITATION {"citationItems":[{"id":"ITEM-1","itemData":{"DOI":"10.1093/bioinformatics/btv157","ISSN":"1367-4811","PMID":"25788628","abstract":"MOTIVATION Prior to applying genomic predictors to clinical samples, the genomic data must be properly normalized to ensure that the test set data are comparable to the data upon which the predictor was trained. The most effective normalization methods depend on data from multiple patients. From a biomedical perspective, this implies that predictions for a single patient may change depending on which other patient samples they are normalized with. This test set bias will occur when any cross-sample normalization is used before clinical prediction. RESULTS We demonstrate that results from existing gene signatures which rely on normalizing test data may be irreproducible when the patient population changes composition or size using a set of curated, publicly available breast cancer microarray experiments. As an alternative, we examine the use of gene signatures that rely on ranks from the data and show why signatures using rank-based features can avoid test set bias while maintaining highly accurate classification, even across platforms. AVAILABILITY AND IMPLEMENTATION The code, data and instructions necessary to reproduce our entire analysis is available at https://github.com/prpatil/testsetbias.","author":[{"dropping-particle":"","family":"Patil","given":"Prasad","non-dropping-particle":"","parse-names":false,"suffix":""},{"dropping-particle":"","family":"Bachant-Winner","given":"Pierre-Olivier","non-dropping-particle":"","parse-names":false,"suffix":""},{"dropping-particle":"","family":"Haibe-Kains","given":"Benjamin","non-dropping-particle":"","parse-names":false,"suffix":""},{"dropping-particle":"","family":"Leek","given":"Jeffrey T","non-dropping-particle":"","parse-names":false,"suffix":""}],"container-title":"Bioinformatics (Oxford, England)","id":"ITEM-1","issue":"14","issued":{"date-parts":[["2015","7","15"]]},"page":"2318-23","publisher":"Oxford University Press","title":"Test set bias affects reproducibility of gene signatures.","type":"article-journal","volume":"31"},"uris":["http://www.mendeley.com/documents/?uuid=c7b34c86-8d9b-3421-834b-99c5eff87da2"]}],"mendeley":{"formattedCitation":"&lt;sup&gt;37&lt;/sup&gt;","plainTextFormattedCitation":"37","previouslyFormattedCitation":"&lt;sup&gt;37&lt;/sup&gt;"},"properties":{"noteIndex":0},"schema":"https://github.com/citation-style-language/schema/raw/master/csl-citation.json"}</w:instrText>
      </w:r>
      <w:r w:rsidR="00117180" w:rsidRPr="0082680A">
        <w:rPr>
          <w:lang w:val="en-GB"/>
        </w:rPr>
        <w:fldChar w:fldCharType="separate"/>
      </w:r>
      <w:r w:rsidR="00442425" w:rsidRPr="00442425">
        <w:rPr>
          <w:noProof/>
          <w:vertAlign w:val="superscript"/>
          <w:lang w:val="en-GB"/>
        </w:rPr>
        <w:t>37</w:t>
      </w:r>
      <w:r w:rsidR="00117180" w:rsidRPr="0082680A">
        <w:rPr>
          <w:lang w:val="en-GB"/>
        </w:rPr>
        <w:fldChar w:fldCharType="end"/>
      </w:r>
      <w:r w:rsidR="00117180" w:rsidRPr="0082680A">
        <w:rPr>
          <w:lang w:val="en-GB"/>
        </w:rPr>
        <w:t xml:space="preserve">. </w:t>
      </w:r>
      <w:r w:rsidR="00F44FAF" w:rsidRPr="0082680A">
        <w:rPr>
          <w:lang w:val="en-GB"/>
        </w:rPr>
        <w:t>Signature-generation methodologies</w:t>
      </w:r>
      <w:r w:rsidRPr="0082680A">
        <w:rPr>
          <w:lang w:val="en-GB"/>
        </w:rPr>
        <w:t xml:space="preserve"> are often guilty of insubstantial experimental design,</w:t>
      </w:r>
      <w:r w:rsidR="00F44FAF" w:rsidRPr="0082680A">
        <w:rPr>
          <w:lang w:val="en-GB"/>
        </w:rPr>
        <w:t xml:space="preserve"> which has inevitably blocked progress in this field. This section will </w:t>
      </w:r>
      <w:r w:rsidR="00F44FAF" w:rsidRPr="0082680A">
        <w:rPr>
          <w:lang w:val="en-GB"/>
        </w:rPr>
        <w:lastRenderedPageBreak/>
        <w:t>review and discuss the complications associated with signature generation</w:t>
      </w:r>
      <w:r w:rsidRPr="0082680A">
        <w:rPr>
          <w:lang w:val="en-GB"/>
        </w:rPr>
        <w:t>, and our proposed solutions to these issues</w:t>
      </w:r>
      <w:r w:rsidR="00F44FAF" w:rsidRPr="0082680A">
        <w:rPr>
          <w:lang w:val="en-GB"/>
        </w:rPr>
        <w:t>.</w:t>
      </w:r>
    </w:p>
    <w:p w14:paraId="685D9763" w14:textId="538E79E2" w:rsidR="00DD630F" w:rsidRPr="0082680A" w:rsidRDefault="00F44FAF" w:rsidP="00842FD0">
      <w:pPr>
        <w:pStyle w:val="Heading4"/>
        <w:rPr>
          <w:lang w:val="en-GB"/>
        </w:rPr>
      </w:pPr>
      <w:bookmarkStart w:id="14" w:name="_Toc527800522"/>
      <w:bookmarkStart w:id="15" w:name="_Toc3211311"/>
      <w:r w:rsidRPr="00842FD0">
        <w:t>Bias</w:t>
      </w:r>
      <w:bookmarkEnd w:id="14"/>
      <w:bookmarkEnd w:id="15"/>
    </w:p>
    <w:p w14:paraId="69859DAF" w14:textId="6576C512" w:rsidR="00DD630F" w:rsidRPr="0082680A" w:rsidRDefault="00F44FAF">
      <w:pPr>
        <w:contextualSpacing w:val="0"/>
        <w:rPr>
          <w:lang w:val="en-GB"/>
        </w:rPr>
      </w:pPr>
      <w:r w:rsidRPr="0082680A">
        <w:rPr>
          <w:lang w:val="en-GB"/>
        </w:rPr>
        <w:t xml:space="preserve">Bias is noise that we introduce into our </w:t>
      </w:r>
      <w:r w:rsidR="000A291B" w:rsidRPr="0082680A">
        <w:rPr>
          <w:lang w:val="en-GB"/>
        </w:rPr>
        <w:t>experiments and</w:t>
      </w:r>
      <w:r w:rsidRPr="0082680A">
        <w:rPr>
          <w:lang w:val="en-GB"/>
        </w:rPr>
        <w:t xml:space="preserve"> can occur at any stage of development. For example, the individual running an </w:t>
      </w:r>
      <w:r w:rsidR="00840875" w:rsidRPr="0082680A">
        <w:rPr>
          <w:lang w:val="en-GB"/>
        </w:rPr>
        <w:t>RNA-Seq</w:t>
      </w:r>
      <w:r w:rsidRPr="0082680A">
        <w:rPr>
          <w:lang w:val="en-GB"/>
        </w:rPr>
        <w:t xml:space="preserve"> protocol may decide to run cancerous samples on one day and non-cancerous samples the next, when any number of environmental fluctuations, protocol mishaps, or equipment changes could cause perceived “differences” in a case-control experiment. Even if </w:t>
      </w:r>
      <w:r w:rsidR="005476C5" w:rsidRPr="0082680A">
        <w:rPr>
          <w:lang w:val="en-GB"/>
        </w:rPr>
        <w:t>these mishaps were avoided</w:t>
      </w:r>
      <w:r w:rsidRPr="0082680A">
        <w:rPr>
          <w:lang w:val="en-GB"/>
        </w:rPr>
        <w:t xml:space="preserve">, it is well documented that data collection technologies are extremely variable, often producing considerable inconsistencies </w:t>
      </w:r>
      <w:r w:rsidR="00B7245E" w:rsidRPr="0082680A">
        <w:rPr>
          <w:lang w:val="en-GB"/>
        </w:rPr>
        <w:fldChar w:fldCharType="begin" w:fldLock="1"/>
      </w:r>
      <w:r w:rsidR="0050527E">
        <w:rPr>
          <w:lang w:val="en-GB"/>
        </w:rPr>
        <w:instrText>ADDIN CSL_CITATION {"citationItems":[{"id":"ITEM-1","itemData":{"author":[{"dropping-particle":"","family":"Marshall","given":"Eliot","non-dropping-particle":"","parse-names":false,"suffix":""}],"container-title":"Science","id":"ITEM-1","issue":"5696","issued":{"date-parts":[["2004"]]},"title":"Getting the Noise Out of Gene Arrays","type":"article-journal","volume":"306"},"uris":["http://www.mendeley.com/documents/?uuid=72bad8cc-e86c-3704-ba6e-bb86ec70cc60"]}],"mendeley":{"formattedCitation":"&lt;sup&gt;38&lt;/sup&gt;","plainTextFormattedCitation":"38","previouslyFormattedCitation":"&lt;sup&gt;38&lt;/sup&gt;"},"properties":{"noteIndex":0},"schema":"https://github.com/citation-style-language/schema/raw/master/csl-citation.json"}</w:instrText>
      </w:r>
      <w:r w:rsidR="00B7245E" w:rsidRPr="0082680A">
        <w:rPr>
          <w:lang w:val="en-GB"/>
        </w:rPr>
        <w:fldChar w:fldCharType="separate"/>
      </w:r>
      <w:r w:rsidR="00442425" w:rsidRPr="00442425">
        <w:rPr>
          <w:noProof/>
          <w:vertAlign w:val="superscript"/>
          <w:lang w:val="en-GB"/>
        </w:rPr>
        <w:t>38</w:t>
      </w:r>
      <w:r w:rsidR="00B7245E" w:rsidRPr="0082680A">
        <w:rPr>
          <w:lang w:val="en-GB"/>
        </w:rPr>
        <w:fldChar w:fldCharType="end"/>
      </w:r>
      <w:r w:rsidRPr="0082680A">
        <w:rPr>
          <w:lang w:val="en-GB"/>
        </w:rPr>
        <w:t xml:space="preserve">. Even the original source of data itself - the person, </w:t>
      </w:r>
      <w:r w:rsidR="00BB2145" w:rsidRPr="0082680A">
        <w:rPr>
          <w:lang w:val="en-GB"/>
        </w:rPr>
        <w:t xml:space="preserve">the mouse, or </w:t>
      </w:r>
      <w:r w:rsidRPr="0082680A">
        <w:rPr>
          <w:lang w:val="en-GB"/>
        </w:rPr>
        <w:t xml:space="preserve">the cell - brings its own bias. It could well be that the only real difference between your patient and control group is that one was given a cup of tea and a biscuit before their blood draw, whereas the other </w:t>
      </w:r>
      <w:r w:rsidR="00F4759A">
        <w:rPr>
          <w:lang w:val="en-GB"/>
        </w:rPr>
        <w:t>was not</w:t>
      </w:r>
      <w:r w:rsidRPr="0082680A">
        <w:rPr>
          <w:lang w:val="en-GB"/>
        </w:rPr>
        <w:t xml:space="preserve">. </w:t>
      </w:r>
    </w:p>
    <w:p w14:paraId="45FF31EB" w14:textId="47943073" w:rsidR="00DD630F" w:rsidRPr="0082680A" w:rsidRDefault="00F44FAF">
      <w:pPr>
        <w:contextualSpacing w:val="0"/>
        <w:rPr>
          <w:lang w:val="en-GB"/>
        </w:rPr>
      </w:pPr>
      <w:r w:rsidRPr="0082680A">
        <w:rPr>
          <w:lang w:val="en-GB"/>
        </w:rPr>
        <w:t>We also introduce bias to our signature when we d</w:t>
      </w:r>
      <w:r w:rsidR="005476C5" w:rsidRPr="0082680A">
        <w:rPr>
          <w:lang w:val="en-GB"/>
        </w:rPr>
        <w:t>ecide which datasets to include, to</w:t>
      </w:r>
      <w:r w:rsidRPr="0082680A">
        <w:rPr>
          <w:lang w:val="en-GB"/>
        </w:rPr>
        <w:t xml:space="preserve"> exclude, and how much data to include. Signatures exist in a world populated only by the samples you have placed within it, therefore if your samples are misrepresentative, so is your signature. A small world of data leaves a signature vulnerable to overfitting and sampling bias. Overfitting occurs when your model is trained upon data in such a way that it becomes biased towards its input. In other words, it is not successful when applied to other datasets or to real-world applications</w:t>
      </w:r>
      <w:r w:rsidR="005476C5" w:rsidRPr="0082680A">
        <w:rPr>
          <w:lang w:val="en-GB"/>
        </w:rPr>
        <w:t>. Overfitting is</w:t>
      </w:r>
      <w:r w:rsidRPr="0082680A">
        <w:rPr>
          <w:lang w:val="en-GB"/>
        </w:rPr>
        <w:t xml:space="preserve"> commonly </w:t>
      </w:r>
      <w:r w:rsidR="0050523A" w:rsidRPr="0082680A">
        <w:rPr>
          <w:lang w:val="en-GB"/>
        </w:rPr>
        <w:t>caused</w:t>
      </w:r>
      <w:r w:rsidRPr="0082680A">
        <w:rPr>
          <w:lang w:val="en-GB"/>
        </w:rPr>
        <w:t xml:space="preserve"> </w:t>
      </w:r>
      <w:r w:rsidR="0050523A" w:rsidRPr="0082680A">
        <w:rPr>
          <w:lang w:val="en-GB"/>
        </w:rPr>
        <w:t>by a</w:t>
      </w:r>
      <w:r w:rsidRPr="0082680A">
        <w:rPr>
          <w:lang w:val="en-GB"/>
        </w:rPr>
        <w:t xml:space="preserve"> training dataset </w:t>
      </w:r>
      <w:r w:rsidR="0050523A" w:rsidRPr="0082680A">
        <w:rPr>
          <w:lang w:val="en-GB"/>
        </w:rPr>
        <w:t xml:space="preserve">that </w:t>
      </w:r>
      <w:r w:rsidRPr="0082680A">
        <w:rPr>
          <w:lang w:val="en-GB"/>
        </w:rPr>
        <w:t xml:space="preserve">is too small, rendering the experiment underpowered. Another common reason why signatures don’t replicate is that the data on which they are built are so tightly controlled (e.g. same tissues, same platforms) that it introduces sampling bias </w:t>
      </w:r>
      <w:r w:rsidR="00B7245E" w:rsidRPr="0082680A">
        <w:rPr>
          <w:lang w:val="en-GB"/>
        </w:rPr>
        <w:fldChar w:fldCharType="begin" w:fldLock="1"/>
      </w:r>
      <w:r w:rsidR="0050527E">
        <w:rPr>
          <w:lang w:val="en-GB"/>
        </w:rPr>
        <w:instrText>ADDIN CSL_CITATION {"citationItems":[{"id":"ITEM-1","itemData":{"DOI":"10.1038/nrg2825","ISSN":"1471-0064","PMID":"20838408","abstract":"High-throughput technologies are widely used, for example to assay genetic variants, gene and protein expression, and epigenetic modifications. One often overlooked complication with such studies is batch effects, which occur because measurements are affected by laboratory conditions, reagent lots and personnel differences. This becomes a major problem when batch effects are correlated with an outcome of interest and lead to incorrect conclusions. Using both published studies and our own analyses, we argue that batch effects (as well as other technical and biological artefacts) are widespread and critical to address. We review experimental and computational approaches for doing so.","author":[{"dropping-particle":"","family":"Leek","given":"Jeffrey T","non-dropping-particle":"","parse-names":false,"suffix":""},{"dropping-particle":"","family":"Scharpf","given":"Robert B","non-dropping-particle":"","parse-names":false,"suffix":""},{"dropping-particle":"","family":"Bravo","given":"Héctor Corrada","non-dropping-particle":"","parse-names":false,"suffix":""},{"dropping-particle":"","family":"Simcha","given":"David","non-dropping-particle":"","parse-names":false,"suffix":""},{"dropping-particle":"","family":"Langmead","given":"Benjamin","non-dropping-particle":"","parse-names":false,"suffix":""},{"dropping-particle":"","family":"Johnson","given":"W Evan","non-dropping-particle":"","parse-names":false,"suffix":""},{"dropping-particle":"","family":"Geman","given":"Donald","non-dropping-particle":"","parse-names":false,"suffix":""},{"dropping-particle":"","family":"Baggerly","given":"Keith","non-dropping-particle":"","parse-names":false,"suffix":""},{"dropping-particle":"","family":"Irizarry","given":"Rafael A","non-dropping-particle":"","parse-names":false,"suffix":""}],"container-title":"Nature reviews. Genetics","id":"ITEM-1","issue":"10","issued":{"date-parts":[["2010"]]},"page":"733-9","publisher":"NIH Public Access","title":"Tackling the widespread and critical impact of batch effects in high-throughput data.","type":"article-journal","volume":"11"},"uris":["http://www.mendeley.com/documents/?uuid=12d14b6d-4853-3979-aaf7-7c2016e44170"]}],"mendeley":{"formattedCitation":"&lt;sup&gt;39&lt;/sup&gt;","plainTextFormattedCitation":"39","previouslyFormattedCitation":"&lt;sup&gt;39&lt;/sup&gt;"},"properties":{"noteIndex":0},"schema":"https://github.com/citation-style-language/schema/raw/master/csl-citation.json"}</w:instrText>
      </w:r>
      <w:r w:rsidR="00B7245E" w:rsidRPr="0082680A">
        <w:rPr>
          <w:lang w:val="en-GB"/>
        </w:rPr>
        <w:fldChar w:fldCharType="separate"/>
      </w:r>
      <w:r w:rsidR="00442425" w:rsidRPr="00442425">
        <w:rPr>
          <w:noProof/>
          <w:vertAlign w:val="superscript"/>
          <w:lang w:val="en-GB"/>
        </w:rPr>
        <w:t>39</w:t>
      </w:r>
      <w:r w:rsidR="00B7245E" w:rsidRPr="0082680A">
        <w:rPr>
          <w:lang w:val="en-GB"/>
        </w:rPr>
        <w:fldChar w:fldCharType="end"/>
      </w:r>
      <w:r w:rsidRPr="0082680A">
        <w:rPr>
          <w:lang w:val="en-GB"/>
        </w:rPr>
        <w:t>. For example,</w:t>
      </w:r>
      <w:r w:rsidR="000065C1" w:rsidRPr="0082680A">
        <w:rPr>
          <w:lang w:val="en-GB"/>
        </w:rPr>
        <w:t xml:space="preserve"> without statistical manipulation</w:t>
      </w:r>
      <w:r w:rsidR="005476C5" w:rsidRPr="0082680A">
        <w:rPr>
          <w:lang w:val="en-GB"/>
        </w:rPr>
        <w:t>,</w:t>
      </w:r>
      <w:r w:rsidR="005C4E13" w:rsidRPr="0082680A">
        <w:rPr>
          <w:lang w:val="en-GB"/>
        </w:rPr>
        <w:t xml:space="preserve"> </w:t>
      </w:r>
      <w:r w:rsidRPr="0082680A">
        <w:rPr>
          <w:lang w:val="en-GB"/>
        </w:rPr>
        <w:t xml:space="preserve">a lung cancer signature generated from tumour tissue which has been analysed on </w:t>
      </w:r>
      <w:r w:rsidR="005476C5" w:rsidRPr="0082680A">
        <w:rPr>
          <w:lang w:val="en-GB"/>
        </w:rPr>
        <w:t xml:space="preserve">a </w:t>
      </w:r>
      <w:r w:rsidRPr="0082680A">
        <w:rPr>
          <w:lang w:val="en-GB"/>
        </w:rPr>
        <w:t xml:space="preserve">microarray platform is unlikely to replicate </w:t>
      </w:r>
      <w:r w:rsidR="005C4E13" w:rsidRPr="0082680A">
        <w:rPr>
          <w:lang w:val="en-GB"/>
        </w:rPr>
        <w:t xml:space="preserve">reliably </w:t>
      </w:r>
      <w:r w:rsidRPr="0082680A">
        <w:rPr>
          <w:lang w:val="en-GB"/>
        </w:rPr>
        <w:t xml:space="preserve">in blood analysed on an </w:t>
      </w:r>
      <w:r w:rsidR="00840875" w:rsidRPr="0082680A">
        <w:rPr>
          <w:lang w:val="en-GB"/>
        </w:rPr>
        <w:t>RNA-Seq</w:t>
      </w:r>
      <w:r w:rsidRPr="0082680A">
        <w:rPr>
          <w:lang w:val="en-GB"/>
        </w:rPr>
        <w:t xml:space="preserve"> platform. To avoid overfitting, a number of steps can be taken </w:t>
      </w:r>
      <w:r w:rsidR="00B7245E" w:rsidRPr="0082680A">
        <w:rPr>
          <w:lang w:val="en-GB"/>
        </w:rPr>
        <w:fldChar w:fldCharType="begin" w:fldLock="1"/>
      </w:r>
      <w:r w:rsidR="0050527E">
        <w:rPr>
          <w:lang w:val="en-GB"/>
        </w:rPr>
        <w:instrText>ADDIN CSL_CITATION {"citationItems":[{"id":"ITEM-1","itemData":{"DOI":"10.1038/nmeth.3968","abstract":"Model selection and overfitting With four parameters I can fit an elephant and with five I can make him wiggle his trunk.-John von Neumann In recent months we discussed how to build a predictive regression model 1-3 and how to evaluate it with new data 4. This month we focus on overfitting, a common pitfall in this process whereby the model not only fits the underlying relationship between variables in the system (which we will call the underlying model) but also fits the noise unique to each observed sample, which may arise for biological or technical reasons. Model fit can be assessed using the difference between the model's predictions and new data (prediction error-our focus this month) or between the estimated and true parameter values (estimation error). Both errors are influenced by bias, the error introduced by using a predictive model that is incapable of capturing the underlying model, and by variance, the error due to sensitivity to noise in the data. In turn, both bias and variance are affected by model complexity (Fig. 1a), which itself is a function of model type, number of inputs and number of parameters. A model that is too simple to capture the underlying model is likely to have high bias and low variance (underfitting). Overly complex models typically have low bias and high variance (overfitting). Under-and overfitting are common problems in both regression and classification. For example, a straight line underfits a third-order polynomial underlying a model with normally distributed noise (Fig. 1b). In contrast, a fifth-order polynomial overfits it-model parameters are now heavily affected by the noise. As we would expect, fitting a third-order polynomial gives the best results, though if the high noise level obscured the actual trend and our goal was to reduce total error, we might choose a less complex model than the underlying model (for example, second-order). The situation is similar for classification-for example, a complex decision boundary may perfectly separate classes in the training set, but because it is greatly influenced by noise, it will frequently misclassify new cases (Fig. 1c). In both regression and classification problems, the overfitted model may perform perfectly on training data but is likely to perform very poorly, and counter to expectation, with new data. To illustrate how to choose a model and avoid under-and overfit-ting, let us return to last month's diagnostic test to predict a patient's disease status 4.…","author":[{"dropping-particle":"","family":"Lever","given":"Jake","non-dropping-particle":"","parse-names":false,"suffix":""},{"dropping-particle":"","family":"Krzywinski","given":"Martin","non-dropping-particle":"","parse-names":false,"suffix":""},{"dropping-particle":"","family":"Altman","given":"Naomi","non-dropping-particle":"","parse-names":false,"suffix":""}],"container-title":"Nature Publishing Group","id":"ITEM-1","issued":{"date-parts":[["2016"]]},"title":"Model selection and overfitting","type":"report","volume":"13"},"uris":["http://www.mendeley.com/documents/?uuid=0173d170-46c3-3f38-a03d-d04d208fc369"]}],"mendeley":{"formattedCitation":"&lt;sup&gt;40&lt;/sup&gt;","plainTextFormattedCitation":"40","previouslyFormattedCitation":"&lt;sup&gt;40&lt;/sup&gt;"},"properties":{"noteIndex":0},"schema":"https://github.com/citation-style-language/schema/raw/master/csl-citation.json"}</w:instrText>
      </w:r>
      <w:r w:rsidR="00B7245E" w:rsidRPr="0082680A">
        <w:rPr>
          <w:lang w:val="en-GB"/>
        </w:rPr>
        <w:fldChar w:fldCharType="separate"/>
      </w:r>
      <w:r w:rsidR="00442425" w:rsidRPr="00442425">
        <w:rPr>
          <w:noProof/>
          <w:vertAlign w:val="superscript"/>
          <w:lang w:val="en-GB"/>
        </w:rPr>
        <w:t>40</w:t>
      </w:r>
      <w:r w:rsidR="00B7245E" w:rsidRPr="0082680A">
        <w:rPr>
          <w:lang w:val="en-GB"/>
        </w:rPr>
        <w:fldChar w:fldCharType="end"/>
      </w:r>
      <w:r w:rsidRPr="0082680A">
        <w:rPr>
          <w:lang w:val="en-GB"/>
        </w:rPr>
        <w:t xml:space="preserve">. Underpowered experiments can increase their power with more samples, which ideally should be considered at the point of data collection. Tissue sampling bias can be controlled by ensuring that all tissues a signature is supposed to represent are present within the </w:t>
      </w:r>
      <w:r w:rsidR="00BB2145" w:rsidRPr="0082680A">
        <w:rPr>
          <w:lang w:val="en-GB"/>
        </w:rPr>
        <w:t>model building process</w:t>
      </w:r>
      <w:r w:rsidRPr="0082680A">
        <w:rPr>
          <w:lang w:val="en-GB"/>
        </w:rPr>
        <w:t xml:space="preserve">. Similarly, platform effects can be reduced with application of normalisation or rank-based methodologies </w:t>
      </w:r>
      <w:r w:rsidR="00B7245E" w:rsidRPr="0082680A">
        <w:rPr>
          <w:lang w:val="en-GB"/>
        </w:rPr>
        <w:fldChar w:fldCharType="begin" w:fldLock="1"/>
      </w:r>
      <w:r w:rsidR="0050527E">
        <w:rPr>
          <w:lang w:val="en-GB"/>
        </w:rPr>
        <w:instrText>ADDIN CSL_CITATION {"citationItems":[{"id":"ITEM-1","itemData":{"ISSN":"1367-4803","PMID":"12538238","abstract":"MOTIVATION When running experiments that involve multiple high density oligonucleotide arrays, it is important to remove sources of variation between arrays of non-biological origin. Normalization is a process for reducing this variation. It is common to see non-linear relations between arrays and the standard normalization provided by Affymetrix does not perform well in these situations. RESULTS We present three methods of performing normalization at the probe intensity level. These methods are called complete data methods because they make use of data from all arrays in an experiment to form the normalizing relation. These algorithms are compared to two methods that make use of a baseline array: a one number scaling based algorithm and a method that uses a non-linear normalizing relation by comparing the variability and bias of an expression measure. Two publicly available datasets are used to carry out the comparisons. The simplest and quickest complete data method is found to perform favorably. AVAILABILITY Software implementing all three of the complete data normalization methods is available as part of the R package Affy, which is a part of the Bioconductor project http://www.bioconductor.org. SUPPLEMENTARY INFORMATION Additional figures may be found at http://www.stat.berkeley.edu/~bolstad/normalize/index.html","author":[{"dropping-particle":"","family":"Bolstad","given":"B M","non-dropping-particle":"","parse-names":false,"suffix":""},{"dropping-particle":"","family":"Irizarry","given":"R A","non-dropping-particle":"","parse-names":false,"suffix":""},{"dropping-particle":"","family":"Astrand","given":"M","non-dropping-particle":"","parse-names":false,"suffix":""},{"dropping-particle":"","family":"Speed","given":"T P","non-dropping-particle":"","parse-names":false,"suffix":""}],"container-title":"Bioinformatics (Oxford, England)","id":"ITEM-1","issue":"2","issued":{"date-parts":[["2003","1","22"]]},"page":"185-93","title":"A comparison of normalization methods for high density oligonucleotide array data based on variance and bias.","type":"article-journal","volume":"19"},"uris":["http://www.mendeley.com/documents/?uuid=1755b954-0741-3e21-b304-c55e9340d94d"]},{"id":"ITEM-2","itemData":{"DOI":"10.1093/bib/bbv064","ISSN":"1467-5463","author":[{"dropping-particle":"","family":"Qi","given":"Lishuang","non-dropping-particle":"","parse-names":false,"suffix":""},{"dropping-particle":"","family":"Chen","given":"Libin","non-dropping-particle":"","parse-names":false,"suffix":""},{"dropping-particle":"","family":"Li","given":"Yang","non-dropping-particle":"","parse-names":false,"suffix":""},{"dropping-particle":"","family":"Qin","given":"Yuan","non-dropping-particle":"","parse-names":false,"suffix":""},{"dropping-particle":"","family":"Pan","given":"Rufei","non-dropping-particle":"","parse-names":false,"suffix":""},{"dropping-particle":"","family":"Zhao","given":"Wenyuan","non-dropping-particle":"","parse-names":false,"suffix":""},{"dropping-particle":"","family":"Gu","given":"Yunyan","non-dropping-particle":"","parse-names":false,"suffix":""},{"dropping-particle":"","family":"Wang","given":"Hongwei","non-dropping-particle":"","parse-names":false,"suffix":""},{"dropping-particle":"","family":"Wang","given":"Ruiping","non-dropping-particle":"","parse-names":false,"suffix":""},{"dropping-particle":"","family":"Chen","given":"Xiangqi","non-dropping-particle":"","parse-names":false,"suffix":""},{"dropping-particle":"","family":"Guo","given":"Zheng","non-dropping-particle":"","parse-names":false,"suffix":""}],"container-title":"Briefings in Bioinformatics","id":"ITEM-2","issue":"2","issued":{"date-parts":[["2016","3","1"]]},"page":"233-242","publisher":"Oxford University Press","title":"Critical limitations of prognostic signatures based on risk scores summarized from gene expression levels: a case study for resected stage I non-small-cell lung cancer","type":"article-journal","volume":"17"},"uris":["http://www.mendeley.com/documents/?uuid=91955939-ed55-30a2-9f1a-d1607423c0d3"]}],"mendeley":{"formattedCitation":"&lt;sup&gt;41,42&lt;/sup&gt;","plainTextFormattedCitation":"41,42","previouslyFormattedCitation":"&lt;sup&gt;41,42&lt;/sup&gt;"},"properties":{"noteIndex":0},"schema":"https://github.com/citation-style-language/schema/raw/master/csl-citation.json"}</w:instrText>
      </w:r>
      <w:r w:rsidR="00B7245E" w:rsidRPr="0082680A">
        <w:rPr>
          <w:lang w:val="en-GB"/>
        </w:rPr>
        <w:fldChar w:fldCharType="separate"/>
      </w:r>
      <w:r w:rsidR="00442425" w:rsidRPr="00442425">
        <w:rPr>
          <w:noProof/>
          <w:vertAlign w:val="superscript"/>
          <w:lang w:val="en-GB"/>
        </w:rPr>
        <w:t>41,42</w:t>
      </w:r>
      <w:r w:rsidR="00B7245E" w:rsidRPr="0082680A">
        <w:rPr>
          <w:lang w:val="en-GB"/>
        </w:rPr>
        <w:fldChar w:fldCharType="end"/>
      </w:r>
      <w:r w:rsidRPr="0082680A">
        <w:rPr>
          <w:lang w:val="en-GB"/>
        </w:rPr>
        <w:t xml:space="preserve">. Following these steps will contribute to higher likelihood of successful replication on external datasets, and therefore a more reliable signature. </w:t>
      </w:r>
    </w:p>
    <w:p w14:paraId="6A2ADB10" w14:textId="7C78D300" w:rsidR="00DD630F" w:rsidRPr="0082680A" w:rsidRDefault="00F44FAF">
      <w:pPr>
        <w:contextualSpacing w:val="0"/>
        <w:rPr>
          <w:lang w:val="en-GB"/>
        </w:rPr>
      </w:pPr>
      <w:r w:rsidRPr="0082680A">
        <w:rPr>
          <w:lang w:val="en-GB"/>
        </w:rPr>
        <w:t xml:space="preserve">Bias is also introduced as we go through the process of analysing our data, whether by the software packages we use (technical bias), or the experimental design decisions we must make (experimenter bias). Technical biases can, to some extent, be lessened by </w:t>
      </w:r>
      <w:r w:rsidRPr="0082680A">
        <w:rPr>
          <w:lang w:val="en-GB"/>
        </w:rPr>
        <w:lastRenderedPageBreak/>
        <w:t xml:space="preserve">employing good experimental design and selecting software that has been rigorously tested and accepted by the bioinformatics community </w:t>
      </w:r>
      <w:r w:rsidR="00B7245E" w:rsidRPr="0082680A">
        <w:rPr>
          <w:lang w:val="en-GB"/>
        </w:rPr>
        <w:fldChar w:fldCharType="begin" w:fldLock="1"/>
      </w:r>
      <w:r w:rsidR="0050527E">
        <w:rPr>
          <w:lang w:val="en-GB"/>
        </w:rPr>
        <w:instrText>ADDIN CSL_CITATION {"citationItems":[{"id":"ITEM-1","itemData":{"DOI":"10.1371/journal.pcbi.1000786","ISSN":"1553-7358","author":[{"dropping-particle":"","family":"Reimers","given":"Mark","non-dropping-particle":"","parse-names":false,"suffix":""}],"container-title":"PLoS Computational Biology","editor":[{"dropping-particle":"","family":"Lewitter","given":"Fran","non-dropping-particle":"","parse-names":false,"suffix":""}],"id":"ITEM-1","issue":"5","issued":{"date-parts":[["2010","5","27"]]},"page":"e1000786","publisher":"Public Library of Science","title":"Making Informed Choices about Microarray Data Analysis","type":"article-journal","volume":"6"},"uris":["http://www.mendeley.com/documents/?uuid=12aeaf14-38e7-3b57-a537-af7a45d4545d"]}],"mendeley":{"formattedCitation":"&lt;sup&gt;43&lt;/sup&gt;","plainTextFormattedCitation":"43","previouslyFormattedCitation":"&lt;sup&gt;43&lt;/sup&gt;"},"properties":{"noteIndex":0},"schema":"https://github.com/citation-style-language/schema/raw/master/csl-citation.json"}</w:instrText>
      </w:r>
      <w:r w:rsidR="00B7245E" w:rsidRPr="0082680A">
        <w:rPr>
          <w:lang w:val="en-GB"/>
        </w:rPr>
        <w:fldChar w:fldCharType="separate"/>
      </w:r>
      <w:r w:rsidR="00442425" w:rsidRPr="00442425">
        <w:rPr>
          <w:noProof/>
          <w:vertAlign w:val="superscript"/>
          <w:lang w:val="en-GB"/>
        </w:rPr>
        <w:t>43</w:t>
      </w:r>
      <w:r w:rsidR="00B7245E" w:rsidRPr="0082680A">
        <w:rPr>
          <w:lang w:val="en-GB"/>
        </w:rPr>
        <w:fldChar w:fldCharType="end"/>
      </w:r>
      <w:r w:rsidRPr="0082680A">
        <w:rPr>
          <w:lang w:val="en-GB"/>
        </w:rPr>
        <w:t xml:space="preserve">. Experimenter bias is sometimes unavoidable, such as when a threshold must be chosen, or when sample is removed during quality control. We can, however, attempt to reduce experimenter bias by giving the experimenter as little input into the analysis as possible. </w:t>
      </w:r>
      <w:r w:rsidR="00F4759A">
        <w:rPr>
          <w:lang w:val="en-GB"/>
        </w:rPr>
        <w:t xml:space="preserve">We can also analyse data to detect if experimenter bias has had an effect on results – by identifying </w:t>
      </w:r>
      <w:r w:rsidR="00426B19">
        <w:rPr>
          <w:lang w:val="en-GB"/>
        </w:rPr>
        <w:t>batch effects not explained by platform</w:t>
      </w:r>
      <w:r w:rsidR="0007049A">
        <w:rPr>
          <w:lang w:val="en-GB"/>
        </w:rPr>
        <w:t>,</w:t>
      </w:r>
      <w:r w:rsidR="00426B19">
        <w:rPr>
          <w:lang w:val="en-GB"/>
        </w:rPr>
        <w:t xml:space="preserve"> or </w:t>
      </w:r>
      <w:r w:rsidR="007417B9">
        <w:rPr>
          <w:lang w:val="en-GB"/>
        </w:rPr>
        <w:t xml:space="preserve">by </w:t>
      </w:r>
      <w:r w:rsidR="0007049A">
        <w:rPr>
          <w:lang w:val="en-GB"/>
        </w:rPr>
        <w:t>evidencing exploration of the effect of those chosen thresholds, or the removal of those chosen samples</w:t>
      </w:r>
      <w:r w:rsidR="00F4759A">
        <w:rPr>
          <w:lang w:val="en-GB"/>
        </w:rPr>
        <w:t xml:space="preserve">. </w:t>
      </w:r>
      <w:r w:rsidRPr="0082680A">
        <w:rPr>
          <w:lang w:val="en-GB"/>
        </w:rPr>
        <w:t xml:space="preserve">Data-driven methodologies are becoming increasingly popular, and are inherently powerful </w:t>
      </w:r>
      <w:r w:rsidR="00B7245E" w:rsidRPr="0082680A">
        <w:rPr>
          <w:lang w:val="en-GB"/>
        </w:rPr>
        <w:fldChar w:fldCharType="begin" w:fldLock="1"/>
      </w:r>
      <w:r w:rsidR="0050527E">
        <w:rPr>
          <w:lang w:val="en-GB"/>
        </w:rPr>
        <w:instrText>ADDIN CSL_CITATION {"citationItems":[{"id":"ITEM-1","itemData":{"DOI":"10.1126/scitranslmed.3003377","ISSN":"1946-6242","PMID":"22422992","abstract":"Adverse drug events remain a leading cause of morbidity and mortality around the world. Many adverse events are not detected during clinical trials before a drug receives approval for use in the clinic. Fortunately, as part of postmarketing surveillance, regulatory agencies and other institutions maintain large collections of adverse event reports, and these databases present an opportunity to study drug effects from patient population data. However, confounding factors such as concomitant medications, patient demographics, patient medical histories, and reasons for prescribing a drug often are uncharacterized in spontaneous reporting systems, and these omissions can limit the use of quantitative signal detection methods used in the analysis of such data. Here, we present an adaptive data-driven approach for correcting these factors in cases for which the covariates are unknown or unmeasured and combine this approach with existing methods to improve analyses of drug effects using three test data sets. We also present a comprehensive database of drug effects (Offsides) and a database of drug-drug interaction side effects (Twosides). To demonstrate the biological use of these new resources, we used them to identify drug targets, predict drug indications, and discover drug class interactions. We then corroborated 47 (P &lt; 0.0001) of the drug class interactions using an independent analysis of electronic medical records. Our analysis suggests that combined treatment with selective serotonin reuptake inhibitors and thiazides is associated with significantly increased incidence of prolonged QT intervals. We conclude that confounding effects from covariates in observational clinical data can be controlled in data analyses and thus improve the detection and prediction of adverse drug effects and interactions.","author":[{"dropping-particle":"","family":"Tatonetti","given":"Nicholas P","non-dropping-particle":"","parse-names":false,"suffix":""},{"dropping-particle":"","family":"Ye","given":"Patrick P","non-dropping-particle":"","parse-names":false,"suffix":""},{"dropping-particle":"","family":"Daneshjou","given":"Roxana","non-dropping-particle":"","parse-names":false,"suffix":""},{"dropping-particle":"","family":"Altman","given":"Russ B","non-dropping-particle":"","parse-names":false,"suffix":""}],"container-title":"Science translational medicine","id":"ITEM-1","issue":"125","issued":{"date-parts":[["2012","3","14"]]},"page":"125ra31","publisher":"NIH Public Access","title":"Data-driven prediction of drug effects and interactions.","type":"article-journal","volume":"4"},"uris":["http://www.mendeley.com/documents/?uuid=33eccbd1-c8e8-329c-b684-08a10d0dd89e"]},{"id":"ITEM-2","itemData":{"DOI":"10.1089/big.2013.1508","ISSN":"2167-6461","PMID":"27447038","abstract":"Companies have realized they need to hire data scientists, academic institutions are scrambling to put together data-science programs, and publications are touting data science as a hot-even \"sexy\"-career choice. However, there is confusion about what exactly data science is, and this confusion could lead to disillusionment as the concept diffuses into meaningless buzz. In this article, we argue that there are good reasons why it has been hard to pin down exactly what is data science. One reason is that data science is intricately intertwined with other important concepts also of growing importance, such as big data and data-driven decision making. Another reason is the natural tendency to associate what a practitioner does with the definition of the practitioner's field; this can result in overlooking the fundamentals of the field. We believe that trying to define the boundaries of data science precisely is not of the utmost importance. We can debate the boundaries of the field in an academic setting, but in order for data science to serve business effectively, it is important (i) to understand its relationships to other important related concepts, and (ii) to begin to identify the fundamental principles underlying data science. Once we embrace (ii), we can much better understand and explain exactly what data science has to offer. Furthermore, only once we embrace (ii) should we be comfortable calling it data science. In this article, we present a perspective that addresses all these concepts. We close by offering, as examples, a partial list of fundamental principles underlying data science.","author":[{"dropping-particle":"","family":"Provost","given":"Foster","non-dropping-particle":"","parse-names":false,"suffix":""},{"dropping-particle":"","family":"Fawcett","given":"Tom","non-dropping-particle":"","parse-names":false,"suffix":""}],"container-title":"Big Data","id":"ITEM-2","issue":"1","issued":{"date-parts":[["2013","3"]]},"page":"51-59","title":"Data Science and its Relationship to Big Data and Data-Driven Decision Making","type":"article-journal","volume":"1"},"uris":["http://www.mendeley.com/documents/?uuid=d8eb9c69-a727-37da-8177-55f957dc87e0"]},{"id":"ITEM-3","itemData":{"DOI":"10.1016/J.SHPSC.2011.10.001","ISSN":"1369-8486","author":[{"dropping-particle":"","family":"Leonelli","given":"S.","non-dropping-particle":"","parse-names":false,"suffix":""}],"container-title":"Studies in History and Philosophy of Science Part C: Studies in History and Philosophy of Biological and Biomedical Sciences","id":"ITEM-3","issue":"1","issued":{"date-parts":[["2012","3","1"]]},"page":"1-3","publisher":"Pergamon","title":"Introduction: Making sense of data-driven research in the biological and biomedical sciences","type":"article-journal","volume":"43"},"uris":["http://www.mendeley.com/documents/?uuid=48974c37-5d39-3ea1-afc3-c3a227524dc5"]},{"id":"ITEM-4","itemData":{"DOI":"10.1377/hlthaff.2014.0053","ISSN":"0278-2715","abstract":"Big data in medicine—massive quantities of health care data accumulating from patients and populations and the advanced analytics that can give those data meaning—hold the prospect of becoming an engine for the knowledge generation that is necessary to address the extensive unmet information needs of patients, clinicians, administrators, researchers, and health policy makers. This article explores the ways in which big data can be harnessed to advance prediction, performance, discovery, and comparative effectiveness research to address the complexity of patients, populations, and organizations. Incorporating big data and next-generation analytics into clinical and population health research and practice will require not only new data sources but also new thinking, training, and tools. Adequately utilized, these reservoirs of data can be a practically inexhaustible source of knowledge to fuel a learning health care system.","author":[{"dropping-particle":"","family":"Krumholz","given":"Harlan M.","non-dropping-particle":"","parse-names":false,"suffix":""}],"container-title":"Health Affairs","id":"ITEM-4","issue":"7","issued":{"date-parts":[["2014","7","2"]]},"page":"1163-1170","publisher":" Health Affairs ","title":"Big Data And New Knowledge In Medicine: The Thinking, Training, And Tools Needed For A Learning Health System","type":"article-journal","volume":"33"},"uris":["http://www.mendeley.com/documents/?uuid=23cb1a01-0d41-30dc-8fae-dea6b200e5d8"]},{"id":"ITEM-5","itemData":{"DOI":"10.15265/IY-2014-0020","ISSN":"2364-0502","PMID":"25123716","abstract":"OBJECTIVES To summarise current research that takes advantage of \"Big Data\" in health and biomedical informatics applications. METHODS Survey of trends in this work, and exploration of literature describing how large-scale structured and unstructured data sources are being used to support applications from clinical decision making and health policy, to drug design and pharmacovigilance, and further to systems biology and genetics. RESULTS The survey highlights ongoing development of powerful new methods for turning that large-scale, and often complex, data into information that provides new insights into human health, in a range of different areas. Consideration of this body of work identifies several important paradigm shifts that are facilitated by Big Data resources and methods: in clinical and translational research, from hypothesis-driven research to data-driven research, and in medicine, from evidence-based practice to practice-based evidence. CONCLUSIONS The increasing scale and availability of large quantities of health data require strategies for data management, data linkage, and data integration beyond the limits of many existing information systems, and substantial effort is underway to meet those needs. As our ability to make sense of that data improves, the value of the data will continue to increase. Health systems, genetics and genomics, population and public health; all areas of biomedicine stand to benefit from Big Data and the associated technologies.","author":[{"dropping-particle":"","family":"Martin-Sanchez","given":"F","non-dropping-particle":"","parse-names":false,"suffix":""},{"dropping-particle":"","family":"Verspoor","given":"K","non-dropping-particle":"","parse-names":false,"suffix":""}],"container-title":"Yearbook of medical informatics","id":"ITEM-5","issue":"1","issued":{"date-parts":[["2014","8","15"]]},"page":"14-20","publisher":"Thieme Medical Publishers","title":"Big data in medicine is driving big changes.","type":"article-journal","volume":"9"},"uris":["http://www.mendeley.com/documents/?uuid=0abed2e6-60da-35fa-8ac9-0e02ed66a241"]}],"mendeley":{"formattedCitation":"&lt;sup&gt;44–48&lt;/sup&gt;","plainTextFormattedCitation":"44–48","previouslyFormattedCitation":"&lt;sup&gt;44–48&lt;/sup&gt;"},"properties":{"noteIndex":0},"schema":"https://github.com/citation-style-language/schema/raw/master/csl-citation.json"}</w:instrText>
      </w:r>
      <w:r w:rsidR="00B7245E" w:rsidRPr="0082680A">
        <w:rPr>
          <w:lang w:val="en-GB"/>
        </w:rPr>
        <w:fldChar w:fldCharType="separate"/>
      </w:r>
      <w:r w:rsidR="00442425" w:rsidRPr="00442425">
        <w:rPr>
          <w:noProof/>
          <w:vertAlign w:val="superscript"/>
          <w:lang w:val="en-GB"/>
        </w:rPr>
        <w:t>44–48</w:t>
      </w:r>
      <w:r w:rsidR="00B7245E" w:rsidRPr="0082680A">
        <w:rPr>
          <w:lang w:val="en-GB"/>
        </w:rPr>
        <w:fldChar w:fldCharType="end"/>
      </w:r>
      <w:r w:rsidRPr="0082680A">
        <w:rPr>
          <w:lang w:val="en-GB"/>
        </w:rPr>
        <w:t xml:space="preserve">. Machine learning is an example of data-driven research, allowing patterns to be identified by an algorithm, rather than a person (bearing in mind the algorithm itself was built by someone). </w:t>
      </w:r>
    </w:p>
    <w:p w14:paraId="0922D4B9" w14:textId="1BE6B3B0" w:rsidR="00DD630F" w:rsidRPr="0082680A" w:rsidRDefault="00F44FAF" w:rsidP="00842FD0">
      <w:pPr>
        <w:pStyle w:val="Heading4"/>
        <w:rPr>
          <w:lang w:val="en-GB"/>
        </w:rPr>
      </w:pPr>
      <w:bookmarkStart w:id="16" w:name="_Toc527800523"/>
      <w:bookmarkStart w:id="17" w:name="_Toc3211312"/>
      <w:r w:rsidRPr="0082680A">
        <w:rPr>
          <w:lang w:val="en-GB"/>
        </w:rPr>
        <w:t>Inadequate Controls</w:t>
      </w:r>
      <w:bookmarkEnd w:id="16"/>
      <w:bookmarkEnd w:id="17"/>
    </w:p>
    <w:p w14:paraId="184783DE" w14:textId="1CC69BD9" w:rsidR="00DD630F" w:rsidRPr="0082680A" w:rsidRDefault="00F44FAF">
      <w:pPr>
        <w:contextualSpacing w:val="0"/>
        <w:rPr>
          <w:lang w:val="en-GB"/>
        </w:rPr>
      </w:pPr>
      <w:r w:rsidRPr="0082680A">
        <w:rPr>
          <w:lang w:val="en-GB"/>
        </w:rPr>
        <w:t xml:space="preserve">For any signature, a certain proportion will represent signal that is not specific to the phenotype being modelled. There are two particularly strong sources - tissue non-specific signals, and population-generic signals. Tissue non-specific signal refers to the part of your signature which may replicate in other tissues which do not present with your phenotype of interest. For example, if aspects of your neurodegenerative signature replicate in liver tissue, that represents tissue non-specific signal that must be removed. Population-generic signals are relevant when building a signature from a subset of a disease population; you want to maintain the aspects of your signal unique to your subpopulation, whilst removing those which are generic to the whole population. For </w:t>
      </w:r>
      <w:r w:rsidR="00427188" w:rsidRPr="0082680A">
        <w:rPr>
          <w:lang w:val="en-GB"/>
        </w:rPr>
        <w:t>example,</w:t>
      </w:r>
      <w:r w:rsidRPr="0082680A">
        <w:rPr>
          <w:lang w:val="en-GB"/>
        </w:rPr>
        <w:t xml:space="preserve"> if you are only interested in building a signature specific to viral infection response, you may want to use samples of bacterial or fungal infection to remove common signal. Some attempt is made to recreate results in an unrelated </w:t>
      </w:r>
      <w:r w:rsidR="00BB2145" w:rsidRPr="0082680A">
        <w:rPr>
          <w:lang w:val="en-GB"/>
        </w:rPr>
        <w:t>tissue</w:t>
      </w:r>
      <w:r w:rsidRPr="0082680A">
        <w:rPr>
          <w:lang w:val="en-GB"/>
        </w:rPr>
        <w:t xml:space="preserve"> to support specificity to the phenotype of interest, however this is not an industry standard and is rarely applied </w:t>
      </w:r>
      <w:r w:rsidR="00BA0BD9" w:rsidRPr="0082680A">
        <w:rPr>
          <w:lang w:val="en-GB"/>
        </w:rPr>
        <w:fldChar w:fldCharType="begin" w:fldLock="1"/>
      </w:r>
      <w:r w:rsidR="0050527E">
        <w:rPr>
          <w:lang w:val="en-GB"/>
        </w:rPr>
        <w:instrText>ADDIN CSL_CITATION {"citationItems":[{"id":"ITEM-1","itemData":{"DOI":"10.1093/hmg/ddp120","ISSN":"0964-6906","author":[{"dropping-particle":"","family":"Baranzini","given":"S. E.","non-dropping-particle":"","parse-names":false,"suffix":""},{"dropping-particle":"","family":"Galwey","given":"N. W.","non-dropping-particle":"","parse-names":false,"suffix":""},{"dropping-particle":"","family":"Wang","given":"J.","non-dropping-particle":"","parse-names":false,"suffix":""},{"dropping-particle":"","family":"Khankhanian","given":"P.","non-dropping-particle":"","parse-names":false,"suffix":""},{"dropping-particle":"","family":"Lindberg","given":"R.","non-dropping-particle":"","parse-names":false,"suffix":""},{"dropping-particle":"","family":"Pelletier","given":"D.","non-dropping-particle":"","parse-names":false,"suffix":""},{"dropping-particle":"","family":"Wu","given":"W.","non-dropping-particle":"","parse-names":false,"suffix":""},{"dropping-particle":"","family":"Uitdehaag","given":"B. M.J.","non-dropping-particle":"","parse-names":false,"suffix":""},{"dropping-particle":"","family":"Kappos","given":"L.","non-dropping-particle":"","parse-names":false,"suffix":""},{"dropping-particle":"","family":"Polman","given":"C. H.","non-dropping-particle":"","parse-names":false,"suffix":""},{"dropping-particle":"","family":"Matthews","given":"P. M.","non-dropping-particle":"","parse-names":false,"suffix":""},{"dropping-particle":"","family":"Hauser","given":"S. L.","non-dropping-particle":"","parse-names":false,"suffix":""},{"dropping-particle":"","family":"Gibson","given":"R. A.","non-dropping-particle":"","parse-names":false,"suffix":""},{"dropping-particle":"","family":"Oksenberg","given":"J. R.","non-dropping-particle":"","parse-names":false,"suffix":""},{"dropping-particle":"","family":"Barnes","given":"M. R.","non-dropping-particle":"","parse-names":false,"suffix":""}],"container-title":"Human Molecular Genetics","id":"ITEM-1","issue":"11","issued":{"date-parts":[["2009","6","1"]]},"page":"2078-2090","publisher":"Oxford University Press","title":"Pathway and network-based analysis of genome-wide association studies in multiple sclerosis","type":"article-journal","volume":"18"},"uris":["http://www.mendeley.com/documents/?uuid=774e49cb-ff47-336a-8533-eed04eb54b48"]}],"mendeley":{"formattedCitation":"&lt;sup&gt;49&lt;/sup&gt;","plainTextFormattedCitation":"49","previouslyFormattedCitation":"&lt;sup&gt;49&lt;/sup&gt;"},"properties":{"noteIndex":0},"schema":"https://github.com/citation-style-language/schema/raw/master/csl-citation.json"}</w:instrText>
      </w:r>
      <w:r w:rsidR="00BA0BD9" w:rsidRPr="0082680A">
        <w:rPr>
          <w:lang w:val="en-GB"/>
        </w:rPr>
        <w:fldChar w:fldCharType="separate"/>
      </w:r>
      <w:r w:rsidR="00442425" w:rsidRPr="00442425">
        <w:rPr>
          <w:noProof/>
          <w:vertAlign w:val="superscript"/>
          <w:lang w:val="en-GB"/>
        </w:rPr>
        <w:t>49</w:t>
      </w:r>
      <w:r w:rsidR="00BA0BD9" w:rsidRPr="0082680A">
        <w:rPr>
          <w:lang w:val="en-GB"/>
        </w:rPr>
        <w:fldChar w:fldCharType="end"/>
      </w:r>
      <w:r w:rsidRPr="0082680A">
        <w:rPr>
          <w:lang w:val="en-GB"/>
        </w:rPr>
        <w:t xml:space="preserve">. </w:t>
      </w:r>
    </w:p>
    <w:p w14:paraId="0A9A9A24" w14:textId="7C881F94" w:rsidR="00DD630F" w:rsidRPr="0082680A" w:rsidRDefault="00F44FAF" w:rsidP="00842FD0">
      <w:pPr>
        <w:pStyle w:val="Heading4"/>
        <w:rPr>
          <w:lang w:val="en-GB"/>
        </w:rPr>
      </w:pPr>
      <w:bookmarkStart w:id="18" w:name="_Toc527800524"/>
      <w:bookmarkStart w:id="19" w:name="_Toc3211313"/>
      <w:r w:rsidRPr="0082680A">
        <w:rPr>
          <w:lang w:val="en-GB"/>
        </w:rPr>
        <w:t>Inconsistent Signals</w:t>
      </w:r>
      <w:bookmarkEnd w:id="18"/>
      <w:bookmarkEnd w:id="19"/>
    </w:p>
    <w:p w14:paraId="68181D49" w14:textId="1A2D6839" w:rsidR="00DD630F" w:rsidRPr="0082680A" w:rsidRDefault="00F44FAF">
      <w:pPr>
        <w:contextualSpacing w:val="0"/>
        <w:rPr>
          <w:lang w:val="en-GB"/>
        </w:rPr>
      </w:pPr>
      <w:r w:rsidRPr="0082680A">
        <w:rPr>
          <w:lang w:val="en-GB"/>
        </w:rPr>
        <w:t xml:space="preserve">The aim of building any common signature is </w:t>
      </w:r>
      <w:r w:rsidR="00426B19">
        <w:rPr>
          <w:lang w:val="en-GB"/>
        </w:rPr>
        <w:t>to generate a signature which is consistent</w:t>
      </w:r>
      <w:r w:rsidRPr="0082680A">
        <w:rPr>
          <w:lang w:val="en-GB"/>
        </w:rPr>
        <w:t xml:space="preserve"> across</w:t>
      </w:r>
      <w:r w:rsidR="00426B19">
        <w:rPr>
          <w:lang w:val="en-GB"/>
        </w:rPr>
        <w:t xml:space="preserve"> all</w:t>
      </w:r>
      <w:r w:rsidRPr="0082680A">
        <w:rPr>
          <w:lang w:val="en-GB"/>
        </w:rPr>
        <w:t xml:space="preserve"> populations of interest. Many studies do not find a unanimous signal, instead identifying signals that are consistent across only a subset of </w:t>
      </w:r>
      <w:r w:rsidR="00BB2145" w:rsidRPr="0082680A">
        <w:rPr>
          <w:lang w:val="en-GB"/>
        </w:rPr>
        <w:t>datasets</w:t>
      </w:r>
      <w:r w:rsidRPr="0082680A">
        <w:rPr>
          <w:lang w:val="en-GB"/>
        </w:rPr>
        <w:t xml:space="preserve"> </w:t>
      </w:r>
      <w:r w:rsidR="00BA0BD9" w:rsidRPr="0082680A">
        <w:rPr>
          <w:lang w:val="en-GB"/>
        </w:rPr>
        <w:fldChar w:fldCharType="begin" w:fldLock="1"/>
      </w:r>
      <w:r w:rsidR="0050527E">
        <w:rPr>
          <w:lang w:val="en-GB"/>
        </w:rPr>
        <w:instrText>ADDIN CSL_CITATION {"citationItems":[{"id":"ITEM-1","itemData":{"DOI":"10.1038/gene.2012.55","ISSN":"1466-4879","abstract":"Common and specific signatures of gene expression and protein–protein interactions in autoimmune diseases","author":[{"dropping-particle":"","family":"Tuller","given":"T","non-dropping-particle":"","parse-names":false,"suffix":""},{"dropping-particle":"","family":"Atar","given":"S","non-dropping-particle":"","parse-names":false,"suffix":""},{"dropping-particle":"","family":"Ruppin","given":"E","non-dropping-particle":"","parse-names":false,"suffix":""},{"dropping-particle":"","family":"Gurevich","given":"M","non-dropping-particle":"","parse-names":false,"suffix":""},{"dropping-particle":"","family":"Achiron","given":"A","non-dropping-particle":"","parse-names":false,"suffix":""}],"container-title":"Genes &amp; Immunity","id":"ITEM-1","issue":"2","issued":{"date-parts":[["2013","3","29"]]},"page":"67-82","publisher":"Nature Publishing Group","title":"Common and specific signatures of gene expression and protein–protein interactions in autoimmune diseases","type":"article-journal","volume":"14"},"uris":["http://www.mendeley.com/documents/?uuid=e32486b4-e5a0-4ed5-8137-0da88442ad98"]},{"id":"ITEM-2","itemData":{"DOI":"10.1371/journal.pone.0137522","ISSN":"1932-6203","PMID":"26352601","abstract":"OBJECTIVE Rheumatic diseases have some common symptoms. Extensive gene expression studies, accumulated thus far, have successfully identified signature molecules for each rheumatic disease, individually. However, whether there exist shared factors across rheumatic diseases has yet to be tested. METHODS We collected and utilized 6 public microarray datasets covering 4 types of representative rheumatic diseases including rheumatoid arthritis, systemic lupus erythematosus, ankylosing spondylitis, and osteoarthritis. Then we detected overlaps of differentially expressed genes across datasets and performed a meta-analysis aiming at identifying common differentially expressed genes that discriminate between pathological cases and normal controls. To further gain insights into the functions of the identified common differentially expressed genes, we conducted gene ontology enrichment analysis and protein-protein interaction analysis. RESULTS We identified a total of eight differentially expressed genes (TNFSF10, CX3CR1, LY96, TLR5, TXN, TIA1, PRKCH, PRF1), each associated with at least 3 of the 4 studied rheumatic diseases. Meta-analysis warranted the significance of the eight genes and highlighted the general significance of four genes (CX3CR1, LY96, TLR5, and PRF1). Protein-protein interaction and gene ontology enrichment analyses indicated that the eight genes interact with each other to exert functions related to immune response and immune regulation. CONCLUSION The findings support that there exist common factors underlying rheumatic diseases. For rheumatoid arthritis, systemic lupus erythematosus, ankylosing spondylitis and osteoarthritis diseases, those common factors include TNFSF10, CX3CR1, LY96, TLR5, TXN, TIA1, PRKCH, and PRF1. In-depth studies on these common factors may provide keys to understanding the pathogenesis and developing intervention strategies for rheumatic diseases.","author":[{"dropping-particle":"","family":"Wang","given":"Lan","non-dropping-particle":"","parse-names":false,"suffix":""},{"dropping-particle":"","family":"Wu","given":"Long-Fei","non-dropping-particle":"","parse-names":false,"suffix":""},{"dropping-particle":"","family":"Lu","given":"Xin","non-dropping-particle":"","parse-names":false,"suffix":""},{"dropping-particle":"","family":"Mo","given":"Xing-Bo","non-dropping-particle":"","parse-names":false,"suffix":""},{"dropping-particle":"","family":"Tang","given":"Zai-Xiang","non-dropping-particle":"","parse-names":false,"suffix":""},{"dropping-particle":"","family":"Lei","given":"Shu-Feng","non-dropping-particle":"","parse-names":false,"suffix":""},{"dropping-particle":"","family":"Deng","given":"Fei-Yan","non-dropping-particle":"","parse-names":false,"suffix":""}],"container-title":"PLOS ONE","editor":[{"dropping-particle":"","family":"Booth","given":"David R.","non-dropping-particle":"","parse-names":false,"suffix":""}],"id":"ITEM-2","issue":"9","issued":{"date-parts":[["2015","9","9"]]},"page":"e0137522","title":"Integrated Analyses of Gene Expression Profiles Digs out Common Markers for Rheumatic Diseases","type":"article-journal","volume":"10"},"uris":["http://www.mendeley.com/documents/?uuid=e5122184-ce65-39dc-a9b1-8b3c32d5058b"]},{"id":"ITEM-3","itemData":{"DOI":"10.1007/s12035-014-8673-1","ISSN":"0893-7648","author":[{"dropping-particle":"","family":"Shang","given":"Hong","non-dropping-particle":"","parse-names":false,"suffix":""},{"dropping-particle":"","family":"Liu","given":"Guiyou","non-dropping-particle":"","parse-names":false,"suffix":""},{"dropping-particle":"","family":"Jiang","given":"Yongshuai","non-dropping-particle":"","parse-names":false,"suffix":""},{"dropping-particle":"","family":"Fu","given":"Jin","non-dropping-particle":"","parse-names":false,"suffix":""},{"dropping-particle":"","family":"Zhang","given":"Benping","non-dropping-particle":"","parse-names":false,"suffix":""},{"dropping-particle":"","family":"Song","given":"Rongrong","non-dropping-particle":"","parse-names":false,"suffix":""},{"dropping-particle":"","family":"Wang","given":"Weizhi","non-dropping-particle":"","parse-names":false,"suffix":""}],"container-title":"Molecular Neurobiology","id":"ITEM-3","issue":"1","issued":{"date-parts":[["2015","2","20"]]},"page":"361-369","publisher":"Springer US","title":"Pathway Analysis of Two Amyotrophic Lateral Sclerosis GWAS Highlights Shared Genetic Signals with Alzheimer’s Disease and Parkinson’s Disease","type":"article-journal","volume":"51"},"uris":["http://www.mendeley.com/documents/?uuid=78a4cdcd-7568-4799-bf2d-e6c03b6a80f3"]},{"id":"ITEM-4","itemData":{"DOI":"10.1126/science.aad6469","ISSN":"1095-9203","PMID":"29439242","abstract":"The predisposition to neuropsychiatric disease involves a complex, polygenic, and pleiotropic genetic architecture. However, little is known about how genetic variants impart brain dysfunction or pathology. We used transcriptomic profiling as a quantitative readout of molecular brain-based phenotypes across five major psychiatric disorders-autism, schizophrenia, bipolar disorder, depression, and alcoholism-compared with matched controls. We identified patterns of shared and distinct gene-expression perturbations across these conditions. The degree of sharing of transcriptional dysregulation is related to polygenic (single-nucleotide polymorphism-based) overlap across disorders, suggesting a substantial causal genetic component. This comprehensive systems-level view of the neurobiological architecture of major neuropsychiatric illness demonstrates pathways of molecular convergence and specificity.","author":[{"dropping-particle":"","family":"Gandal","given":"Michael J","non-dropping-particle":"","parse-names":false,"suffix":""},{"dropping-particle":"","family":"Haney","given":"Jillian R","non-dropping-particle":"","parse-names":false,"suffix":""},{"dropping-particle":"","family":"Parikshak","given":"Neelroop N","non-dropping-particle":"","parse-names":false,"suffix":""},{"dropping-particle":"","family":"Leppa","given":"Virpi","non-dropping-particle":"","parse-names":false,"suffix":""},{"dropping-particle":"","family":"Ramaswami","given":"Gokul","non-dropping-particle":"","parse-names":false,"suffix":""},{"dropping-particle":"","family":"Hartl","given":"Chris","non-dropping-particle":"","parse-names":false,"suffix":""},{"dropping-particle":"","family":"Schork","given":"Andrew J","non-dropping-particle":"","parse-names":false,"suffix":""},{"dropping-particle":"","family":"Appadurai","given":"Vivek","non-dropping-particle":"","parse-names":false,"suffix":""},{"dropping-particle":"","family":"Buil","given":"Alfonso","non-dropping-particle":"","parse-names":false,"suffix":""},{"dropping-particle":"","family":"Werge","given":"Thomas M","non-dropping-particle":"","parse-names":false,"suffix":""},{"dropping-particle":"","family":"Liu","given":"Chunyu","non-dropping-particle":"","parse-names":false,"suffix":""},{"dropping-particle":"","family":"White","given":"Kevin P","non-dropping-particle":"","parse-names":false,"suffix":""},{"dropping-particle":"","family":"CommonMind Consortium","given":"CommonMind","non-dropping-particle":"","parse-names":false,"suffix":""},{"dropping-particle":"","family":"PsychENCODE Consortium","given":"PsychENCODE","non-dropping-particle":"","parse-names":false,"suffix":""},{"dropping-particle":"","family":"iPSYCH-BROAD Working Group","given":"iPSYCH-BROAD Working","non-dropping-particle":"","parse-names":false,"suffix":""},{"dropping-particle":"","family":"Horvath","given":"Steve","non-dropping-particle":"","parse-names":false,"suffix":""},{"dropping-particle":"","family":"Geschwind","given":"Daniel H","non-dropping-particle":"","parse-names":false,"suffix":""}],"container-title":"Science (New York, N.Y.)","id":"ITEM-4","issue":"6376","issued":{"date-parts":[["2018","2","9"]]},"page":"693-697","publisher":"American Association for the Advancement of Science","title":"Shared molecular neuropathology across major psychiatric disorders parallels polygenic overlap.","type":"article-journal","volume":"359"},"uris":["http://www.mendeley.com/documents/?uuid=2327a267-34db-4fac-9923-f806c1452aab"]},{"id":"ITEM-5","itemData":{"DOI":"10.1038/nrg3502","ISSN":"1471-0056","abstract":"Research into the genetics of immune and inflammatory disease has experienced major recent advances owing to the availability of a custom single-nucleotide polymorphism (SNP) genotyping array — the Immunochip — developed specifically to investigate these disorders. In this Analysis, the authors assess findings from studies that have used this platform, and explore the shared and phenotype-specific genetic associations among several immune-mediated diseases.","author":[{"dropping-particle":"","family":"Parkes","given":"Miles","non-dropping-particle":"","parse-names":false,"suffix":""},{"dropping-particle":"","family":"Cortes","given":"Adrian","non-dropping-particle":"","parse-names":false,"suffix":""},{"dropping-particle":"","family":"Heel","given":"David A.","non-dropping-particle":"van","parse-names":false,"suffix":""},{"dropping-particle":"","family":"Brown","given":"Matthew A.","non-dropping-particle":"","parse-names":false,"suffix":""}],"container-title":"Nature Reviews Genetics","id":"ITEM-5","issue":"9","issued":{"date-parts":[["2013","9","6"]]},"page":"661-673","publisher":"Nature Publishing Group","title":"Genetic insights into common pathways and complex relationships among immune-mediated diseases","type":"article-journal","volume":"14"},"uris":["http://www.mendeley.com/documents/?uuid=c5ec1dd1-d96b-4bd7-a5cb-c0a04af50c10"]}],"mendeley":{"formattedCitation":"&lt;sup&gt;24,26,28,29,50&lt;/sup&gt;","plainTextFormattedCitation":"24,26,28,29,50","previouslyFormattedCitation":"&lt;sup&gt;24,26,28,29,50&lt;/sup&gt;"},"properties":{"noteIndex":0},"schema":"https://github.com/citation-style-language/schema/raw/master/csl-citation.json"}</w:instrText>
      </w:r>
      <w:r w:rsidR="00BA0BD9" w:rsidRPr="0082680A">
        <w:rPr>
          <w:lang w:val="en-GB"/>
        </w:rPr>
        <w:fldChar w:fldCharType="separate"/>
      </w:r>
      <w:r w:rsidR="00442425" w:rsidRPr="00442425">
        <w:rPr>
          <w:noProof/>
          <w:vertAlign w:val="superscript"/>
          <w:lang w:val="en-GB"/>
        </w:rPr>
        <w:t>24,26,28,29,50</w:t>
      </w:r>
      <w:r w:rsidR="00BA0BD9" w:rsidRPr="0082680A">
        <w:rPr>
          <w:lang w:val="en-GB"/>
        </w:rPr>
        <w:fldChar w:fldCharType="end"/>
      </w:r>
      <w:r w:rsidRPr="0082680A">
        <w:rPr>
          <w:lang w:val="en-GB"/>
        </w:rPr>
        <w:t xml:space="preserve">. Of those that do find a consistent signature, datasets are often combined pre-analysis, or selected from similar platforms - increasing likelihood of finding a common signature, but reducing the replicability of that signature across alternative platforms </w:t>
      </w:r>
      <w:r w:rsidR="00BA0BD9" w:rsidRPr="0082680A">
        <w:rPr>
          <w:lang w:val="en-GB"/>
        </w:rPr>
        <w:fldChar w:fldCharType="begin" w:fldLock="1"/>
      </w:r>
      <w:r w:rsidR="0050527E">
        <w:rPr>
          <w:lang w:val="en-GB"/>
        </w:rPr>
        <w:instrText>ADDIN CSL_CITATION {"citationItems":[{"id":"ITEM-1","itemData":{"DOI":"10.1016/J.NBD.2014.11.002","ISSN":"0969-9961","abstract":"Aging is considered as one of the main factors promoting the risk for Parkinson's disease (PD), and common mechanisms of dopamine neuron degeneration in aging and PD have been proposed in recent years. Here, we use a statistical meta-analysis of human brain transcriptomics data to investigate potential mechanistic relationships between adult brain aging and PD pathogenesis at the pathway and network level. The analyses identify statistically significant shared pathway and network alterations in aging and PD and an enrichment in PD-associated sequence variants from genome-wide association studies among the jointly deregulated genes. We find robust discriminative patterns for groups of functionally related genes with potential applications as combined risk biomarkers to detect aging- and PD-linked oxidative stress, e.g., a consistent over-expression of metallothioneins matching with findings in previous independent studies. Interestingly, analyzing the regulatory network and mouse knockout expression data for NR4A2, a transcription factor previously associated with rare mutations in PD and here found as the most significantly under-expressed gene in PD among the jointly altered genes, suggests that aging-related NR4A2 expression changes may increase PD risk via downstream effects similar to disease-linked mutations and to expression changes in sporadic PD. Overall, the analyses suggest mechanistic explanations for the age-dependence of PD risk and reveal significant and robust shared process alterations with potential applications in biomarker development for pre-symptomatic risk assessment or early stage diagnosis.","author":[{"dropping-particle":"","family":"Glaab","given":"Enrico","non-dropping-particle":"","parse-names":false,"suffix":""},{"dropping-particle":"","family":"Schneider","given":"Reinhard","non-dropping-particle":"","parse-names":false,"suffix":""}],"container-title":"Neurobiology of Disease","id":"ITEM-1","issued":{"date-parts":[["2015","2","1"]]},"page":"1-13","publisher":"Academic Press","title":"Comparative pathway and network analysis of brain transcriptome changes during adult aging and in Parkinson's disease","type":"article-journal","volume":"74"},"uris":["http://www.mendeley.com/documents/?uuid=0a3fe85b-337c-3d32-976c-f968e1868e24"]},{"id":"ITEM-2","itemData":{"DOI":"10.1038/srep37099","ISSN":"2045-2322","PMID":"27892526","abstract":"Thrombosis is a leading cause of morbidity and mortality in patients with myeloproliferative disorders (MPDs), particularly polycythemia vera (PV) and essential thrombocythemia (ET). Despite the attempts to establish a link between them, the shared biological mechanisms are yet to be characterized. An integrated gene expression meta-analysis of five independent publicly available microarray data of the three diseases was conducted to identify shared gene expression signatures and overlapping biological processes. Using INMEX bioinformatic tool, based on combined Effect Size (ES) approaches, we identified a total of 1,157 differentially expressed genes (DEGs) (697 overexpressed and 460 underexpressed genes) shared between the three diseases. EnrichR tool's rich library was used for comprehensive functional enrichment and pathway analysis which revealed \"mRNA Splicing\" and \"SUMO E3 ligases SUMOylate target proteins\" among the most enriched terms. Network based meta-analysis identified MYC and FN1 to be the most highly ranked hub genes. Our results reveal that the alterations in biomarkers of the coagulation cascade like F2R, PROS1, SELPLG and ITGB2 were common between the three diseases. Interestingly, the study has generated a novel database of candidate genetic markers, pathways and transcription factors shared between thrombosis and MPDs, which might aid in the development of prognostic therapeutic biomarkers.","author":[{"dropping-particle":"","family":"Jha","given":"Prabhash Kumar","non-dropping-particle":"","parse-names":false,"suffix":""},{"dropping-particle":"","family":"Vijay","given":"Aatira","non-dropping-particle":"","parse-names":false,"suffix":""},{"dropping-particle":"","family":"Sahu","given":"Anita","non-dropping-particle":"","parse-names":false,"suffix":""},{"dropping-particle":"","family":"Ashraf","given":"Mohammad Zahid","non-dropping-particle":"","parse-names":false,"suffix":""}],"container-title":"Scientific reports","id":"ITEM-2","issued":{"date-parts":[["2016"]]},"page":"37099","publisher":"Nature Publishing Group","title":"Comprehensive Gene expression meta-analysis and integrated bioinformatic approaches reveal shared signatures between thrombosis and myeloproliferative disorders.","type":"article-journal","volume":"6"},"uris":["http://www.mendeley.com/documents/?uuid=9a8ccdbc-ee7a-3b32-95db-18c24888527c"]},{"id":"ITEM-3","itemData":{"DOI":"10.1093/bioinformatics/btp073","ISSN":"1460-2059","author":[{"dropping-particle":"","family":"Magalhães","given":"João Pedro","non-dropping-particle":"de","parse-names":false,"suffix":""},{"dropping-particle":"","family":"Curado","given":"João","non-dropping-particle":"","parse-names":false,"suffix":""},{"dropping-particle":"","family":"Church","given":"George M.","non-dropping-particle":"","parse-names":false,"suffix":""}],"container-title":"Bioinformatics","id":"ITEM-3","issue":"7","issued":{"date-parts":[["2009","4","1"]]},"page":"875-881","publisher":"Oxford University Press","title":"Meta-analysis of age-related gene expression profiles identifies common signatures of aging","type":"article-journal","volume":"25"},"uris":["http://www.mendeley.com/documents/?uuid=27cda2c3-84e4-413d-8db6-2e99365e3a67"]},{"id":"ITEM-4","itemData":{"DOI":"10.1111/acel.12362","ISSN":"14749718","author":[{"dropping-particle":"","family":"Johnson","given":"Simon C.","non-dropping-particle":"","parse-names":false,"suffix":""},{"dropping-particle":"","family":"Dong","given":"Xiao","non-dropping-particle":"","parse-names":false,"suffix":""},{"dropping-particle":"","family":"Vijg","given":"Jan","non-dropping-particle":"","parse-names":false,"suffix":""},{"dropping-particle":"","family":"Suh","given":"Yousin","non-dropping-particle":"","parse-names":false,"suffix":""}],"container-title":"Aging Cell","id":"ITEM-4","issue":"5","issued":{"date-parts":[["2015","10","1"]]},"page":"809-817","publisher":"Wiley/Blackwell (10.1111)","title":"Genetic evidence for common pathways in human age-related diseases","type":"article-journal","volume":"14"},"uris":["http://www.mendeley.com/documents/?uuid=a3404bcf-ca91-4f39-9e82-4d43a26424c2"]},{"id":"ITEM-5","itemData":{"DOI":"10.1016/J.EJCA.2017.01.025","ISSN":"0959-8049","abstract":"BACKGROUND\nNeovascularisation supports the metastatic switch in many aggressive solid cancers. Tumour neovessels are mostly lined by endothelial cells sprouting from nearby capillaries, but they could also be contributed by circulating endothelial progenitor cells (EPCs). However, scant information is available about tumour-derived EPCs. \n\nMETHODS\nWe carried out the first thorough, unbiased comparison of phenotype, function and genotype of normal versus tumour-derived endothelial colony forming cells (ECFCs), a truly endothelial EPC subtype. We used healthy donors–derived ECFCs (N-ECFCs) as control for breast cancer (BC)– and renal cell carcinoma (RCC)–derived ECFCs. \n\nRESULTS\nWe found that both BC- and RCC-ECFCs belong to the endothelial lineage. Normal and tumour-derived ECFCs did not differ in terms of proliferative and tubulogenic rates. However, RCC-ECFCs were more resistant to rapamycin-induced apoptosis, whereas BC-ECFCs were more sensitive as compared with N-ECFCs. Gene expression profiling revealed 382 differentially expressed genes (DEGs; 192 upregulated and 150 downregulated) and 71 DEGs (33 upregulated, 38 downregulated) when comparing, respectively, BC- and RCC-ECFCs with N-ECFCs. Nonetheless, BC- and RCC-derived ECFCs shared 35 DEGs, 10 of which were validated by qRT-PCR; such 35 DEGs are organised in a gene network centred on FOS. \n\nCONCLUSION\nThese results provide the first clear-cut evidence that BC- and RCC-derived ECFCs exhibit an altered gene expression profile as compared with N-ECFCs; yet, they share a common gene signature that could highlight novel and more specific targets to suppress tumour vascularisation.","author":[{"dropping-particle":"","family":"Moccia","given":"Francesco","non-dropping-particle":"","parse-names":false,"suffix":""},{"dropping-particle":"","family":"Fotia","given":"Vittoria","non-dropping-particle":"","parse-names":false,"suffix":""},{"dropping-particle":"","family":"Tancredi","given":"Richard","non-dropping-particle":"","parse-names":false,"suffix":""},{"dropping-particle":"","family":"Porta","given":"Matteo Giovanni","non-dropping-particle":"Della","parse-names":false,"suffix":""},{"dropping-particle":"","family":"Rosti","given":"Vittorio","non-dropping-particle":"","parse-names":false,"suffix":""},{"dropping-particle":"","family":"Bonetti","given":"Elisa","non-dropping-particle":"","parse-names":false,"suffix":""},{"dropping-particle":"","family":"Poletto","given":"Valentina","non-dropping-particle":"","parse-names":false,"suffix":""},{"dropping-particle":"","family":"Marchini","given":"Sergio","non-dropping-particle":"","parse-names":false,"suffix":""},{"dropping-particle":"","family":"Beltrame","given":"Luca","non-dropping-particle":"","parse-names":false,"suffix":""},{"dropping-particle":"","family":"Gallizzi","given":"Giulia","non-dropping-particle":"","parse-names":false,"suffix":""},{"dropping-particle":"","family":"Prada","given":"Gian Antonio","non-dropping-particle":"Da","parse-names":false,"suffix":""},{"dropping-particle":"","family":"Pedrazzoli","given":"Paolo","non-dropping-particle":"","parse-names":false,"suffix":""},{"dropping-particle":"","family":"Riccardi","given":"Alberto","non-dropping-particle":"","parse-names":false,"suffix":""},{"dropping-particle":"","family":"Porta","given":"Camillo","non-dropping-particle":"","parse-names":false,"suffix":""},{"dropping-particle":"","family":"Zambelli","given":"Alberto","non-dropping-particle":"","parse-names":false,"suffix":""},{"dropping-particle":"","family":"D'Incalci","given":"Maurizio","non-dropping-particle":"","parse-names":false,"suffix":""}],"container-title":"European Journal of Cancer","id":"ITEM-5","issued":{"date-parts":[["2017","5","1"]]},"page":"155-164","publisher":"Pergamon","title":"Breast and renal cancer—Derived endothelial colony forming cells share a common gene signature","type":"article-journal","volume":"77"},"uris":["http://www.mendeley.com/documents/?uuid=1c3a5595-3dbd-4886-8832-9e22d911ca73"]}],"mendeley":{"formattedCitation":"&lt;sup&gt;25,27,30–32&lt;/sup&gt;","plainTextFormattedCitation":"25,27,30–32","previouslyFormattedCitation":"&lt;sup&gt;25,27,30–32&lt;/sup&gt;"},"properties":{"noteIndex":0},"schema":"https://github.com/citation-style-language/schema/raw/master/csl-citation.json"}</w:instrText>
      </w:r>
      <w:r w:rsidR="00BA0BD9" w:rsidRPr="0082680A">
        <w:rPr>
          <w:lang w:val="en-GB"/>
        </w:rPr>
        <w:fldChar w:fldCharType="separate"/>
      </w:r>
      <w:r w:rsidR="00442425" w:rsidRPr="00442425">
        <w:rPr>
          <w:noProof/>
          <w:vertAlign w:val="superscript"/>
          <w:lang w:val="en-GB"/>
        </w:rPr>
        <w:t>25,27,30–32</w:t>
      </w:r>
      <w:r w:rsidR="00BA0BD9" w:rsidRPr="0082680A">
        <w:rPr>
          <w:lang w:val="en-GB"/>
        </w:rPr>
        <w:fldChar w:fldCharType="end"/>
      </w:r>
      <w:r w:rsidRPr="0082680A">
        <w:rPr>
          <w:lang w:val="en-GB"/>
        </w:rPr>
        <w:t xml:space="preserve">. </w:t>
      </w:r>
    </w:p>
    <w:p w14:paraId="00285AEE" w14:textId="7041A2D6" w:rsidR="00DD630F" w:rsidRPr="0082680A" w:rsidRDefault="00F44FAF">
      <w:pPr>
        <w:contextualSpacing w:val="0"/>
        <w:rPr>
          <w:lang w:val="en-GB"/>
        </w:rPr>
      </w:pPr>
      <w:r w:rsidRPr="0082680A">
        <w:rPr>
          <w:lang w:val="en-GB"/>
        </w:rPr>
        <w:t xml:space="preserve">A common issue leading to inconsistent signatures is the constraint of statistical methods. For example, in a study investigating pathways shared by age-related diseases, common </w:t>
      </w:r>
      <w:r w:rsidRPr="0082680A">
        <w:rPr>
          <w:lang w:val="en-GB"/>
        </w:rPr>
        <w:lastRenderedPageBreak/>
        <w:t xml:space="preserve">gene overlap translated to just three genes </w:t>
      </w:r>
      <w:r w:rsidR="00BA0BD9" w:rsidRPr="0082680A">
        <w:rPr>
          <w:lang w:val="en-GB"/>
        </w:rPr>
        <w:fldChar w:fldCharType="begin" w:fldLock="1"/>
      </w:r>
      <w:r w:rsidR="0050527E">
        <w:rPr>
          <w:lang w:val="en-GB"/>
        </w:rPr>
        <w:instrText>ADDIN CSL_CITATION {"citationItems":[{"id":"ITEM-1","itemData":{"DOI":"10.1111/acel.12362","ISSN":"14749718","author":[{"dropping-particle":"","family":"Johnson","given":"Simon C.","non-dropping-particle":"","parse-names":false,"suffix":""},{"dropping-particle":"","family":"Dong","given":"Xiao","non-dropping-particle":"","parse-names":false,"suffix":""},{"dropping-particle":"","family":"Vijg","given":"Jan","non-dropping-particle":"","parse-names":false,"suffix":""},{"dropping-particle":"","family":"Suh","given":"Yousin","non-dropping-particle":"","parse-names":false,"suffix":""}],"container-title":"Aging Cell","id":"ITEM-1","issue":"5","issued":{"date-parts":[["2015","10","1"]]},"page":"809-817","publisher":"Wiley/Blackwell (10.1111)","title":"Genetic evidence for common pathways in human age-related diseases","type":"article-journal","volume":"14"},"uris":["http://www.mendeley.com/documents/?uuid=a3404bcf-ca91-4f39-9e82-4d43a26424c2"]}],"mendeley":{"formattedCitation":"&lt;sup&gt;31&lt;/sup&gt;","plainTextFormattedCitation":"31","previouslyFormattedCitation":"&lt;sup&gt;31&lt;/sup&gt;"},"properties":{"noteIndex":0},"schema":"https://github.com/citation-style-language/schema/raw/master/csl-citation.json"}</w:instrText>
      </w:r>
      <w:r w:rsidR="00BA0BD9" w:rsidRPr="0082680A">
        <w:rPr>
          <w:lang w:val="en-GB"/>
        </w:rPr>
        <w:fldChar w:fldCharType="separate"/>
      </w:r>
      <w:r w:rsidR="00442425" w:rsidRPr="00442425">
        <w:rPr>
          <w:noProof/>
          <w:vertAlign w:val="superscript"/>
          <w:lang w:val="en-GB"/>
        </w:rPr>
        <w:t>31</w:t>
      </w:r>
      <w:r w:rsidR="00BA0BD9" w:rsidRPr="0082680A">
        <w:rPr>
          <w:lang w:val="en-GB"/>
        </w:rPr>
        <w:fldChar w:fldCharType="end"/>
      </w:r>
      <w:r w:rsidRPr="0082680A">
        <w:rPr>
          <w:lang w:val="en-GB"/>
        </w:rPr>
        <w:t>. The authors explain that stringent statistical cut-offs may be the reason why a more substantial signal is not possible; conventional statistical cut-offs such as</w:t>
      </w:r>
      <w:r w:rsidR="00F97BF1" w:rsidRPr="0082680A">
        <w:rPr>
          <w:lang w:val="en-GB"/>
        </w:rPr>
        <w:t xml:space="preserve"> multiple comparison adjusted P-</w:t>
      </w:r>
      <w:r w:rsidRPr="0082680A">
        <w:rPr>
          <w:lang w:val="en-GB"/>
        </w:rPr>
        <w:t>values are not built to be compared in meta-analyses. An alter</w:t>
      </w:r>
      <w:r w:rsidR="00F97BF1" w:rsidRPr="0082680A">
        <w:rPr>
          <w:lang w:val="en-GB"/>
        </w:rPr>
        <w:t>native approach is to combine P-</w:t>
      </w:r>
      <w:r w:rsidRPr="0082680A">
        <w:rPr>
          <w:lang w:val="en-GB"/>
        </w:rPr>
        <w:t>value statistics, however there are a number of possible methodologies, each producing variable results depending on the presenc</w:t>
      </w:r>
      <w:r w:rsidR="00427188" w:rsidRPr="0082680A">
        <w:rPr>
          <w:lang w:val="en-GB"/>
        </w:rPr>
        <w:t>e of very small or very large P-</w:t>
      </w:r>
      <w:r w:rsidRPr="0082680A">
        <w:rPr>
          <w:lang w:val="en-GB"/>
        </w:rPr>
        <w:t xml:space="preserve">values </w:t>
      </w:r>
      <w:r w:rsidR="00BA0BD9" w:rsidRPr="0082680A">
        <w:rPr>
          <w:lang w:val="en-GB"/>
        </w:rPr>
        <w:fldChar w:fldCharType="begin" w:fldLock="1"/>
      </w:r>
      <w:r w:rsidR="0050527E">
        <w:rPr>
          <w:lang w:val="en-GB"/>
        </w:rPr>
        <w:instrText>ADDIN CSL_CITATION {"citationItems":[{"id":"ITEM-1","itemData":{"abstract":"Combining p-values from independent statistical tests is a popular approach to meta-analysis, particularly when the data underlying the tests are either no longer available or are difficult to combine. A diverse range of p-value combination methods appear in the literature, each with different statistical properties. Yet all too often the final choice used in a meta-analysis can appear arbitrary, as if all effort has been expended building the models that gave rise to the p-values. Birnbaum (1954) showed that any reasonable p-value combiner must be optimal against some alternative hypothesis. Starting from this perspective and recasting each method of combining p-values as a likelihood ratio test, we present theoretical results for some of the standard combiners which provide guidance about how a powerful combiner might be chosen in practice.","author":[{"dropping-particle":"","family":"Heard","given":"Nicholas A","non-dropping-particle":"","parse-names":false,"suffix":""}],"id":"ITEM-1","issued":{"date-parts":[["2017"]]},"title":"Choosing Between Methods of Combining p-values","type":"report"},"uris":["http://www.mendeley.com/documents/?uuid=5983c656-bfd9-3e09-aa18-0f07330a83d6"]}],"mendeley":{"formattedCitation":"&lt;sup&gt;51&lt;/sup&gt;","plainTextFormattedCitation":"51","previouslyFormattedCitation":"&lt;sup&gt;51&lt;/sup&gt;"},"properties":{"noteIndex":0},"schema":"https://github.com/citation-style-language/schema/raw/master/csl-citation.json"}</w:instrText>
      </w:r>
      <w:r w:rsidR="00BA0BD9" w:rsidRPr="0082680A">
        <w:rPr>
          <w:lang w:val="en-GB"/>
        </w:rPr>
        <w:fldChar w:fldCharType="separate"/>
      </w:r>
      <w:r w:rsidR="00442425" w:rsidRPr="00442425">
        <w:rPr>
          <w:noProof/>
          <w:vertAlign w:val="superscript"/>
          <w:lang w:val="en-GB"/>
        </w:rPr>
        <w:t>51</w:t>
      </w:r>
      <w:r w:rsidR="00BA0BD9" w:rsidRPr="0082680A">
        <w:rPr>
          <w:lang w:val="en-GB"/>
        </w:rPr>
        <w:fldChar w:fldCharType="end"/>
      </w:r>
      <w:r w:rsidRPr="0082680A">
        <w:rPr>
          <w:lang w:val="en-GB"/>
        </w:rPr>
        <w:t xml:space="preserve">. What we do know is that replication of results in multiple weaker-powered studies produces lower error rates than a single well-powered study </w:t>
      </w:r>
      <w:r w:rsidR="00BA0BD9" w:rsidRPr="0082680A">
        <w:rPr>
          <w:lang w:val="en-GB"/>
        </w:rPr>
        <w:fldChar w:fldCharType="begin" w:fldLock="1"/>
      </w:r>
      <w:r w:rsidR="0050527E">
        <w:rPr>
          <w:lang w:val="en-GB"/>
        </w:rPr>
        <w:instrText>ADDIN CSL_CITATION {"citationItems":[{"id":"ITEM-1","itemData":{"DOI":"10.1177/0962280212461098","ISSN":"0962-2802","PMID":"23070590","abstract":"There is debate whether clinical trials with suboptimal power are justified and whether results from large studies are more reliable than the (combined) results of smaller trials. We quantified the error rates for evaluations based on single conventionally powered trials (80% or 90% power) versus evaluations based on the random-effects meta-analysis of a series of smaller trials. When a treatment was assumed to have no effect but heterogeneity was present, the error rates for a single trial were increased more than 10-fold above the nominal rate, even for low heterogeneity. Conversely, for meta-analyses on a series of trials, the error rates were correct. When selective publication was present, the error rates were always increased, but they still tended to be lower for a series of trials than single trials. We conclude that evidence of efficacy based on a series of (smaller) trials, may lower the error rates compared with using a single well-powered trial. Only when both heterogeneity and selective publication can be excluded, a single trial is able to provide conclusive evidence.","author":[{"dropping-particle":"","family":"IntHout","given":"Joanna","non-dropping-particle":"","parse-names":false,"suffix":""},{"dropping-particle":"","family":"Ioannidis","given":"John PA","non-dropping-particle":"","parse-names":false,"suffix":""},{"dropping-particle":"","family":"Borm","given":"George F","non-dropping-particle":"","parse-names":false,"suffix":""}],"container-title":"Statistical Methods in Medical Research","id":"ITEM-1","issue":"2","issued":{"date-parts":[["2016","4","14"]]},"page":"538-552","title":"Obtaining evidence by a single well-powered trial or several modestly powered trials","type":"article-journal","volume":"25"},"uris":["http://www.mendeley.com/documents/?uuid=487ef434-1ec2-30cb-ab6a-ba6b1086e70d"]},{"id":"ITEM-2","itemData":{"DOI":"10.1016/J.JCLINEPI.2008.09.013","ISSN":"0895-4356","abstract":"OBJECTIVE\nTo investigate whether a single trial can provide sufficiently robust evidence to warrant clinical implementation of its results. Trial-specific factors, such as subject selection, study design, and execution strategy, have an impact on the outcome of trials. In multiple trials, they may lead to heterogeneity that can be taken into account in the (random effects) meta-analysis. Single trials lack this method of estimating the impact of such factors, and this affects the credibility of the results. \n\nSTUDY DESIGN AND SETTING\nTo indicate how much the precision of the results of a single trial might be overestimated, we calculated the ratio of the widths of the confidence intervals when heterogeneity was taken into account and when it was not. \n\nRESULTS\nThe ratios of the widths of the confidence intervals with and without between-study variability were 1.15, 1.41, and 2.00, when the heterogeneity I2 values were 0.25, 0.50, and 0.75, respectively. \n\nCONCLUSION\nThe results of a single trial should be interpreted with caution. When it is difficult to predict or determine how trial-specific factors influence the results, the best way to evaluate the performance of a treatment is to use multiple, possibly smaller, trials.","author":[{"dropping-particle":"","family":"Borm","given":"George F.","non-dropping-particle":"","parse-names":false,"suffix":""},{"dropping-particle":"","family":"Lemmers","given":"Oscar","non-dropping-particle":"","parse-names":false,"suffix":""},{"dropping-particle":"","family":"Fransen","given":"Jaap","non-dropping-particle":"","parse-names":false,"suffix":""},{"dropping-particle":"","family":"Donders","given":"Rogier","non-dropping-particle":"","parse-names":false,"suffix":""}],"container-title":"Journal of Clinical Epidemiology","id":"ITEM-2","issue":"7","issued":{"date-parts":[["2009","7","1"]]},"page":"711-715.e1","publisher":"Pergamon","title":"The evidence provided by a single trial is less reliable than its statistical analysis suggests","type":"article-journal","volume":"62"},"uris":["http://www.mendeley.com/documents/?uuid=b05c0e56-3b28-3eaf-a34f-f6ebc0d3092a"]}],"mendeley":{"formattedCitation":"&lt;sup&gt;52,53&lt;/sup&gt;","plainTextFormattedCitation":"52,53","previouslyFormattedCitation":"&lt;sup&gt;52,53&lt;/sup&gt;"},"properties":{"noteIndex":0},"schema":"https://github.com/citation-style-language/schema/raw/master/csl-citation.json"}</w:instrText>
      </w:r>
      <w:r w:rsidR="00BA0BD9" w:rsidRPr="0082680A">
        <w:rPr>
          <w:lang w:val="en-GB"/>
        </w:rPr>
        <w:fldChar w:fldCharType="separate"/>
      </w:r>
      <w:r w:rsidR="00442425" w:rsidRPr="00442425">
        <w:rPr>
          <w:noProof/>
          <w:vertAlign w:val="superscript"/>
          <w:lang w:val="en-GB"/>
        </w:rPr>
        <w:t>52,53</w:t>
      </w:r>
      <w:r w:rsidR="00BA0BD9" w:rsidRPr="0082680A">
        <w:rPr>
          <w:lang w:val="en-GB"/>
        </w:rPr>
        <w:fldChar w:fldCharType="end"/>
      </w:r>
      <w:r w:rsidRPr="0082680A">
        <w:rPr>
          <w:lang w:val="en-GB"/>
        </w:rPr>
        <w:t xml:space="preserve">. If statistical thresholds are throttling the discovery of common signatures, it is very likely that alternative approaches to gene selection </w:t>
      </w:r>
      <w:r w:rsidR="00BB2145" w:rsidRPr="0082680A">
        <w:rPr>
          <w:lang w:val="en-GB"/>
        </w:rPr>
        <w:t xml:space="preserve">independent of conventional statistic methodologies </w:t>
      </w:r>
      <w:r w:rsidRPr="0082680A">
        <w:rPr>
          <w:lang w:val="en-GB"/>
        </w:rPr>
        <w:t>may be</w:t>
      </w:r>
      <w:r w:rsidR="00BB2145" w:rsidRPr="0082680A">
        <w:rPr>
          <w:lang w:val="en-GB"/>
        </w:rPr>
        <w:t xml:space="preserve"> more successful</w:t>
      </w:r>
      <w:r w:rsidRPr="0082680A">
        <w:rPr>
          <w:lang w:val="en-GB"/>
        </w:rPr>
        <w:t>.</w:t>
      </w:r>
    </w:p>
    <w:p w14:paraId="27351509" w14:textId="0D307D42" w:rsidR="00DD630F" w:rsidRPr="0082680A" w:rsidRDefault="00F44FAF" w:rsidP="00842FD0">
      <w:pPr>
        <w:pStyle w:val="Heading4"/>
        <w:rPr>
          <w:lang w:val="en-GB"/>
        </w:rPr>
      </w:pPr>
      <w:bookmarkStart w:id="20" w:name="_Toc527800525"/>
      <w:bookmarkStart w:id="21" w:name="_Toc3211314"/>
      <w:r w:rsidRPr="0082680A">
        <w:rPr>
          <w:lang w:val="en-GB"/>
        </w:rPr>
        <w:t>Lack of Validation</w:t>
      </w:r>
      <w:bookmarkEnd w:id="20"/>
      <w:bookmarkEnd w:id="21"/>
    </w:p>
    <w:p w14:paraId="5EFB5BCB" w14:textId="6D64EE1A" w:rsidR="00BB2145" w:rsidRPr="0082680A" w:rsidRDefault="00F44FAF">
      <w:pPr>
        <w:contextualSpacing w:val="0"/>
        <w:rPr>
          <w:lang w:val="en-GB"/>
        </w:rPr>
      </w:pPr>
      <w:r w:rsidRPr="0082680A">
        <w:rPr>
          <w:lang w:val="en-GB"/>
        </w:rPr>
        <w:t xml:space="preserve">Signatures must be developed using tightly controlled parameters to avoid bias, though this alone is not sufficient to validate its success. To establish if your signature is truly representative of the phenotype it is built to represent, appropriate validation steps must be taken. Unfortunately, a vast </w:t>
      </w:r>
      <w:r w:rsidR="00427188" w:rsidRPr="0082680A">
        <w:rPr>
          <w:lang w:val="en-GB"/>
        </w:rPr>
        <w:t>quantity of published signature studies</w:t>
      </w:r>
      <w:r w:rsidRPr="0082680A">
        <w:rPr>
          <w:lang w:val="en-GB"/>
        </w:rPr>
        <w:t xml:space="preserve"> </w:t>
      </w:r>
      <w:proofErr w:type="gramStart"/>
      <w:r w:rsidRPr="0082680A">
        <w:rPr>
          <w:lang w:val="en-GB"/>
        </w:rPr>
        <w:t>do</w:t>
      </w:r>
      <w:proofErr w:type="gramEnd"/>
      <w:r w:rsidRPr="0082680A">
        <w:rPr>
          <w:lang w:val="en-GB"/>
        </w:rPr>
        <w:t xml:space="preserve"> not attempt sufficient validations.</w:t>
      </w:r>
      <w:r w:rsidR="00F97C28" w:rsidRPr="0082680A">
        <w:rPr>
          <w:lang w:val="en-GB"/>
        </w:rPr>
        <w:t xml:space="preserve"> </w:t>
      </w:r>
      <w:r w:rsidRPr="0082680A">
        <w:rPr>
          <w:lang w:val="en-GB"/>
        </w:rPr>
        <w:t xml:space="preserve">There are a number of ways that a biological signature can be validated. These fit in to two broad categories; </w:t>
      </w:r>
      <w:r w:rsidRPr="0082680A">
        <w:rPr>
          <w:i/>
          <w:lang w:val="en-GB"/>
        </w:rPr>
        <w:t>in silico</w:t>
      </w:r>
      <w:r w:rsidRPr="0082680A">
        <w:rPr>
          <w:lang w:val="en-GB"/>
        </w:rPr>
        <w:t xml:space="preserve"> validation, and </w:t>
      </w:r>
      <w:r w:rsidRPr="0082680A">
        <w:rPr>
          <w:i/>
          <w:lang w:val="en-GB"/>
        </w:rPr>
        <w:t xml:space="preserve">in vitro/vivo </w:t>
      </w:r>
      <w:r w:rsidRPr="0082680A">
        <w:rPr>
          <w:lang w:val="en-GB"/>
        </w:rPr>
        <w:t xml:space="preserve">validation. </w:t>
      </w:r>
    </w:p>
    <w:p w14:paraId="2A066F44" w14:textId="48379D34" w:rsidR="00DD630F" w:rsidRPr="0082680A" w:rsidRDefault="00F44FAF">
      <w:pPr>
        <w:contextualSpacing w:val="0"/>
        <w:rPr>
          <w:lang w:val="en-GB"/>
        </w:rPr>
      </w:pPr>
      <w:r w:rsidRPr="0082680A">
        <w:rPr>
          <w:i/>
          <w:lang w:val="en-GB"/>
        </w:rPr>
        <w:t>In silico</w:t>
      </w:r>
      <w:r w:rsidRPr="0082680A">
        <w:rPr>
          <w:lang w:val="en-GB"/>
        </w:rPr>
        <w:t xml:space="preserve"> validation represents those tests that can be performed computationally. Replication on an external dataset is one example we have already </w:t>
      </w:r>
      <w:proofErr w:type="gramStart"/>
      <w:r w:rsidR="00BB2145" w:rsidRPr="0082680A">
        <w:rPr>
          <w:lang w:val="en-GB"/>
        </w:rPr>
        <w:t>covered, and</w:t>
      </w:r>
      <w:proofErr w:type="gramEnd"/>
      <w:r w:rsidRPr="0082680A">
        <w:rPr>
          <w:lang w:val="en-GB"/>
        </w:rPr>
        <w:t xml:space="preserve"> indicates that your signature is not overfitted to the test environment in which it was built. Another </w:t>
      </w:r>
      <w:r w:rsidRPr="0082680A">
        <w:rPr>
          <w:i/>
          <w:lang w:val="en-GB"/>
        </w:rPr>
        <w:t xml:space="preserve">in silico </w:t>
      </w:r>
      <w:r w:rsidRPr="0082680A">
        <w:rPr>
          <w:lang w:val="en-GB"/>
        </w:rPr>
        <w:t xml:space="preserve">test is </w:t>
      </w:r>
      <w:r w:rsidR="00BB2145" w:rsidRPr="0082680A">
        <w:rPr>
          <w:lang w:val="en-GB"/>
        </w:rPr>
        <w:t>to demonstrate that your signature</w:t>
      </w:r>
      <w:r w:rsidRPr="0082680A">
        <w:rPr>
          <w:lang w:val="en-GB"/>
        </w:rPr>
        <w:t xml:space="preserve"> is statistically robust against a randomly generated signature</w:t>
      </w:r>
      <w:r w:rsidR="00BB2145" w:rsidRPr="0082680A">
        <w:rPr>
          <w:lang w:val="en-GB"/>
        </w:rPr>
        <w:t xml:space="preserve"> distribution</w:t>
      </w:r>
      <w:r w:rsidRPr="0082680A">
        <w:rPr>
          <w:lang w:val="en-GB"/>
        </w:rPr>
        <w:t xml:space="preserve">. By showing that your signature is more correlated, more functionally enriched, or more interconnected than you would expect by chance, you are showing that its relationship to the phenotype is powerful. </w:t>
      </w:r>
      <w:r w:rsidR="00BB2145" w:rsidRPr="0082680A">
        <w:rPr>
          <w:i/>
          <w:lang w:val="en-GB"/>
        </w:rPr>
        <w:t>In silico</w:t>
      </w:r>
      <w:r w:rsidR="00BB2145" w:rsidRPr="0082680A">
        <w:rPr>
          <w:lang w:val="en-GB"/>
        </w:rPr>
        <w:t xml:space="preserve"> validation</w:t>
      </w:r>
      <w:r w:rsidRPr="0082680A">
        <w:rPr>
          <w:lang w:val="en-GB"/>
        </w:rPr>
        <w:t xml:space="preserve"> alone, however, </w:t>
      </w:r>
      <w:r w:rsidR="00BB2145" w:rsidRPr="0082680A">
        <w:rPr>
          <w:lang w:val="en-GB"/>
        </w:rPr>
        <w:t>has its own limitations</w:t>
      </w:r>
      <w:r w:rsidRPr="0082680A">
        <w:rPr>
          <w:lang w:val="en-GB"/>
        </w:rPr>
        <w:t xml:space="preserve">. In 2011, a group based at the Université Libre de Bruxelles conducted a study in which 47 </w:t>
      </w:r>
      <w:r w:rsidR="00F45096" w:rsidRPr="0082680A">
        <w:rPr>
          <w:lang w:val="en-GB"/>
        </w:rPr>
        <w:t>statistically significant</w:t>
      </w:r>
      <w:r w:rsidRPr="0082680A">
        <w:rPr>
          <w:lang w:val="en-GB"/>
        </w:rPr>
        <w:t xml:space="preserve"> signatures for breast cancer outcome were compared against randomly generated gene sets. Sixty-percent of the published signatures did not perform significantly better than random, and 10% actually performed worse than the median random signature </w:t>
      </w:r>
      <w:r w:rsidR="00BA0BD9" w:rsidRPr="0082680A">
        <w:rPr>
          <w:lang w:val="en-GB"/>
        </w:rPr>
        <w:fldChar w:fldCharType="begin" w:fldLock="1"/>
      </w:r>
      <w:r w:rsidR="0050527E">
        <w:rPr>
          <w:lang w:val="en-GB"/>
        </w:rPr>
        <w:instrText>ADDIN CSL_CITATION {"citationItems":[{"id":"ITEM-1","itemData":{"DOI":"10.1371/journal.pcbi.1002240","ISSN":"1553-7358","abstract":"Bridging the gap between animal or in vitro models and human disease is essential in medical research. Researchers often suggest that a biological mechanism is relevant to human cancer from the statistical association of a gene expression marker (a signature) of this mechanism, that was discovered in an experimental system, with disease outcome in humans. We examined this argument for breast cancer. Surprisingly, we found that gene expression signatures—unrelated to cancer—of the effect of postprandial laughter, of mice social defeat and of skin fibroblast localization were all significantly associated with breast cancer outcome. We next compared 47 published breast cancer outcome signatures to signatures made of random genes. Twenty-eight of them (60%) were not significantly better outcome predictors than random signatures of identical size and 11 (23%) were worst predictors than the median random signature. More than 90% of random signatures &gt;100 genes were significant outcome predictors. We next derived a metagene, called meta-PCNA, by selecting the 1% genes most positively correlated with proliferation marker PCNA in a compendium of normal tissues expression. Adjusting breast cancer expression data for meta-PCNA abrogated almost entirely the outcome association of published and random signatures. We also found that, in the absence of adjustment, the hazard ratio of outcome association of a signature strongly correlated with meta-PCNA (R2 = 0.9). This relation also applied to single-gene expression markers. Moreover, &gt;50% of the breast cancer transcriptome was correlated with meta-PCNA. A corollary was that purging cell cycle genes out of a signature failed to rule out the confounding effect of proliferation. Hence, it is questionable to suggest that a mechanism is relevant to human breast cancer from the finding that a gene expression marker for this mechanism predicts human breast cancer outcome, because most markers do. The methods we present help to overcome this problem.","author":[{"dropping-particle":"","family":"Venet","given":"David","non-dropping-particle":"","parse-names":false,"suffix":""},{"dropping-particle":"","family":"Dumont","given":"Jacques E.","non-dropping-particle":"","parse-names":false,"suffix":""},{"dropping-particle":"","family":"Detours","given":"Vincent","non-dropping-particle":"","parse-names":false,"suffix":""}],"container-title":"PLoS Computational Biology","editor":[{"dropping-particle":"","family":"Rigoutsos","given":"Isidore","non-dropping-particle":"","parse-names":false,"suffix":""}],"id":"ITEM-1","issue":"10","issued":{"date-parts":[["2011","10","20"]]},"page":"e1002240","publisher":"Public Library of Science","title":"Most Random Gene Expression Signatures Are Significantly Associated with Breast Cancer Outcome","type":"article-journal","volume":"7"},"uris":["http://www.mendeley.com/documents/?uuid=fa4bf3d1-5c5d-33f3-a6dc-dc58d6e30193"]}],"mendeley":{"formattedCitation":"&lt;sup&gt;54&lt;/sup&gt;","plainTextFormattedCitation":"54","previouslyFormattedCitation":"&lt;sup&gt;54&lt;/sup&gt;"},"properties":{"noteIndex":0},"schema":"https://github.com/citation-style-language/schema/raw/master/csl-citation.json"}</w:instrText>
      </w:r>
      <w:r w:rsidR="00BA0BD9" w:rsidRPr="0082680A">
        <w:rPr>
          <w:lang w:val="en-GB"/>
        </w:rPr>
        <w:fldChar w:fldCharType="separate"/>
      </w:r>
      <w:r w:rsidR="00442425" w:rsidRPr="00442425">
        <w:rPr>
          <w:noProof/>
          <w:vertAlign w:val="superscript"/>
          <w:lang w:val="en-GB"/>
        </w:rPr>
        <w:t>54</w:t>
      </w:r>
      <w:r w:rsidR="00BA0BD9" w:rsidRPr="0082680A">
        <w:rPr>
          <w:lang w:val="en-GB"/>
        </w:rPr>
        <w:fldChar w:fldCharType="end"/>
      </w:r>
      <w:r w:rsidRPr="0082680A">
        <w:rPr>
          <w:lang w:val="en-GB"/>
        </w:rPr>
        <w:t>. When random signatures were a length of 100 genes or more, they achieved over a 90% rate of success for significant correlation with breast cancer outcome. Here a weakness of statistical validation is revealed; you may be able to achieve statistical significance, however that does not guarantee biological significance.</w:t>
      </w:r>
      <w:r w:rsidR="00F97BF1" w:rsidRPr="0082680A">
        <w:rPr>
          <w:lang w:val="en-GB"/>
        </w:rPr>
        <w:t xml:space="preserve"> Statistical adjustments can be made in response to th</w:t>
      </w:r>
      <w:r w:rsidR="00A42141" w:rsidRPr="0082680A">
        <w:rPr>
          <w:lang w:val="en-GB"/>
        </w:rPr>
        <w:t xml:space="preserve">is issue; a methodology called SAPS (Significance Analysis of Prognostic Signatures) was later developed </w:t>
      </w:r>
      <w:r w:rsidR="00BB2145" w:rsidRPr="0082680A">
        <w:rPr>
          <w:lang w:val="en-GB"/>
        </w:rPr>
        <w:t xml:space="preserve">by the same group </w:t>
      </w:r>
      <w:r w:rsidR="00A42141" w:rsidRPr="0082680A">
        <w:rPr>
          <w:lang w:val="en-GB"/>
        </w:rPr>
        <w:t xml:space="preserve">to counteract this issue of inconsistent </w:t>
      </w:r>
      <w:r w:rsidR="00A42141" w:rsidRPr="0082680A">
        <w:rPr>
          <w:lang w:val="en-GB"/>
        </w:rPr>
        <w:lastRenderedPageBreak/>
        <w:t xml:space="preserve">significance </w:t>
      </w:r>
      <w:r w:rsidR="00A42141" w:rsidRPr="0082680A">
        <w:rPr>
          <w:lang w:val="en-GB"/>
        </w:rPr>
        <w:fldChar w:fldCharType="begin" w:fldLock="1"/>
      </w:r>
      <w:r w:rsidR="0050527E">
        <w:rPr>
          <w:lang w:val="en-GB"/>
        </w:rPr>
        <w:instrText>ADDIN CSL_CITATION {"citationItems":[{"id":"ITEM-1","itemData":{"DOI":"10.1371/journal.pcbi.1002875","ISSN":"1553-7358","abstract":"A major goal in translational cancer research is to identify biological signatures driving cancer progression and metastasis. A common technique applied in genomics research is to cluster patients using gene expression data from a candidate prognostic gene set, and if the resulting clusters show statistically significant outcome stratification, to associate the gene set with prognosis, suggesting its biological and clinical importance. Recent work has questioned the validity of this approach by showing in several breast cancer data sets that “random” gene sets tend to cluster patients into prognostically variable subgroups. This work suggests that new rigorous statistical methods are needed to identify biologically informative prognostic gene sets. To address this problem, we developed Significance Analysis of Prognostic Signatures (SAPS) which integrates standard prognostic tests with a new prognostic significance test based on stratifying patients into prognostic subtypes with random gene sets. SAPS ensures that a significant gene set is not only able to stratify patients into prognostically variable groups, but is also enriched for genes showing strong univariate associations with patient prognosis, and performs significantly better than random gene sets. We use SAPS to perform a large meta-analysis (the largest completed to date) of prognostic pathways in breast and ovarian cancer and their molecular subtypes. Our analyses show that only a small subset of the gene sets found statistically significant using standard measures achieve significance by SAPS. We identify new prognostic signatures in breast and ovarian cancer and their corresponding molecular subtypes, and we show that prognostic signatures in ER negative breast cancer are more similar to prognostic signatures in ovarian cancer than to prognostic signatures in ER positive breast cancer. SAPS is a powerful new method for deriving robust prognostic biological signatures from clinically annotated genomic datasets.","author":[{"dropping-particle":"","family":"Beck","given":"Andrew H.","non-dropping-particle":"","parse-names":false,"suffix":""},{"dropping-particle":"","family":"Knoblauch","given":"Nicholas W.","non-dropping-particle":"","parse-names":false,"suffix":""},{"dropping-particle":"","family":"Hefti","given":"Marco M.","non-dropping-particle":"","parse-names":false,"suffix":""},{"dropping-particle":"","family":"Kaplan","given":"Jennifer","non-dropping-particle":"","parse-names":false,"suffix":""},{"dropping-particle":"","family":"Schnitt","given":"Stuart J.","non-dropping-particle":"","parse-names":false,"suffix":""},{"dropping-particle":"","family":"Culhane","given":"Aedin C.","non-dropping-particle":"","parse-names":false,"suffix":""},{"dropping-particle":"","family":"Schroeder","given":"Markus S.","non-dropping-particle":"","parse-names":false,"suffix":""},{"dropping-particle":"","family":"Risch","given":"Thomas","non-dropping-particle":"","parse-names":false,"suffix":""},{"dropping-particle":"","family":"Quackenbush","given":"John","non-dropping-particle":"","parse-names":false,"suffix":""},{"dropping-particle":"","family":"Haibe-Kains","given":"Benjamin","non-dropping-particle":"","parse-names":false,"suffix":""}],"container-title":"PLoS Computational Biology","editor":[{"dropping-particle":"","family":"Tucker-Kellogg","given":"Greg","non-dropping-particle":"","parse-names":false,"suffix":""}],"id":"ITEM-1","issue":"1","issued":{"date-parts":[["2013","1","24"]]},"page":"e1002875","publisher":"Public Library of Science","title":"Significance Analysis of Prognostic Signatures","type":"article-journal","volume":"9"},"uris":["http://www.mendeley.com/documents/?uuid=1656d6b4-36a5-318c-bbda-1508b8bd45d7"]}],"mendeley":{"formattedCitation":"&lt;sup&gt;55&lt;/sup&gt;","plainTextFormattedCitation":"55","previouslyFormattedCitation":"&lt;sup&gt;55&lt;/sup&gt;"},"properties":{"noteIndex":0},"schema":"https://github.com/citation-style-language/schema/raw/master/csl-citation.json"}</w:instrText>
      </w:r>
      <w:r w:rsidR="00A42141" w:rsidRPr="0082680A">
        <w:rPr>
          <w:lang w:val="en-GB"/>
        </w:rPr>
        <w:fldChar w:fldCharType="separate"/>
      </w:r>
      <w:r w:rsidR="00442425" w:rsidRPr="00442425">
        <w:rPr>
          <w:noProof/>
          <w:vertAlign w:val="superscript"/>
          <w:lang w:val="en-GB"/>
        </w:rPr>
        <w:t>55</w:t>
      </w:r>
      <w:r w:rsidR="00A42141" w:rsidRPr="0082680A">
        <w:rPr>
          <w:lang w:val="en-GB"/>
        </w:rPr>
        <w:fldChar w:fldCharType="end"/>
      </w:r>
      <w:r w:rsidR="00A42141" w:rsidRPr="0082680A">
        <w:rPr>
          <w:lang w:val="en-GB"/>
        </w:rPr>
        <w:t xml:space="preserve">. SAPS </w:t>
      </w:r>
      <w:proofErr w:type="gramStart"/>
      <w:r w:rsidR="00A42141" w:rsidRPr="0082680A">
        <w:rPr>
          <w:lang w:val="en-GB"/>
        </w:rPr>
        <w:t>applies</w:t>
      </w:r>
      <w:proofErr w:type="gramEnd"/>
      <w:r w:rsidR="00A42141" w:rsidRPr="0082680A">
        <w:rPr>
          <w:lang w:val="en-GB"/>
        </w:rPr>
        <w:t xml:space="preserve"> three separate significance tests; a test indicating no significant difference between patient groups if they are split in two, a test indicating the candidate gene set significantly outperforms a random gene set, and finally a test to show the candidate gene set enriches for prognostic genes. By submitting signatures to more rigorous statistical testing,</w:t>
      </w:r>
      <w:r w:rsidR="00C963EE" w:rsidRPr="0082680A">
        <w:rPr>
          <w:lang w:val="en-GB"/>
        </w:rPr>
        <w:t xml:space="preserve"> </w:t>
      </w:r>
      <w:r w:rsidR="00A42141" w:rsidRPr="0082680A">
        <w:rPr>
          <w:lang w:val="en-GB"/>
        </w:rPr>
        <w:t xml:space="preserve">we will be </w:t>
      </w:r>
      <w:r w:rsidR="00C963EE" w:rsidRPr="0082680A">
        <w:rPr>
          <w:lang w:val="en-GB"/>
        </w:rPr>
        <w:t>increasingly successful in</w:t>
      </w:r>
      <w:r w:rsidR="00A42141" w:rsidRPr="0082680A">
        <w:rPr>
          <w:lang w:val="en-GB"/>
        </w:rPr>
        <w:t xml:space="preserve"> root</w:t>
      </w:r>
      <w:r w:rsidR="00C963EE" w:rsidRPr="0082680A">
        <w:rPr>
          <w:lang w:val="en-GB"/>
        </w:rPr>
        <w:t>ing</w:t>
      </w:r>
      <w:r w:rsidR="00A42141" w:rsidRPr="0082680A">
        <w:rPr>
          <w:lang w:val="en-GB"/>
        </w:rPr>
        <w:t xml:space="preserve"> out the true positive</w:t>
      </w:r>
      <w:r w:rsidR="00BB2145" w:rsidRPr="0082680A">
        <w:rPr>
          <w:lang w:val="en-GB"/>
        </w:rPr>
        <w:t>s</w:t>
      </w:r>
      <w:r w:rsidR="00A42141" w:rsidRPr="0082680A">
        <w:rPr>
          <w:lang w:val="en-GB"/>
        </w:rPr>
        <w:t>.</w:t>
      </w:r>
    </w:p>
    <w:p w14:paraId="53E7403F" w14:textId="03395435" w:rsidR="00DD630F" w:rsidRPr="0082680A" w:rsidRDefault="00F44FAF">
      <w:pPr>
        <w:contextualSpacing w:val="0"/>
        <w:rPr>
          <w:lang w:val="en-GB"/>
        </w:rPr>
      </w:pPr>
      <w:r w:rsidRPr="0082680A">
        <w:rPr>
          <w:i/>
          <w:lang w:val="en-GB"/>
        </w:rPr>
        <w:t>In vi</w:t>
      </w:r>
      <w:r w:rsidR="00BB2145" w:rsidRPr="0082680A">
        <w:rPr>
          <w:i/>
          <w:lang w:val="en-GB"/>
        </w:rPr>
        <w:t>tr</w:t>
      </w:r>
      <w:r w:rsidRPr="0082680A">
        <w:rPr>
          <w:i/>
          <w:lang w:val="en-GB"/>
        </w:rPr>
        <w:t>o/vi</w:t>
      </w:r>
      <w:r w:rsidR="00BB2145" w:rsidRPr="0082680A">
        <w:rPr>
          <w:i/>
          <w:lang w:val="en-GB"/>
        </w:rPr>
        <w:t>v</w:t>
      </w:r>
      <w:r w:rsidRPr="0082680A">
        <w:rPr>
          <w:i/>
          <w:lang w:val="en-GB"/>
        </w:rPr>
        <w:t xml:space="preserve">o </w:t>
      </w:r>
      <w:r w:rsidRPr="0082680A">
        <w:rPr>
          <w:lang w:val="en-GB"/>
        </w:rPr>
        <w:t>validation refers to laboratory testing of a signature in a living organism, be it a cell model, a mouse, or even a human. When a signature is generated, its role becomes to further our understanding of the phenotype it represents. Some signatures are built to isolate correlates of a phenotype that represent potential biomarkers</w:t>
      </w:r>
      <w:r w:rsidR="00426B19">
        <w:rPr>
          <w:lang w:val="en-GB"/>
        </w:rPr>
        <w:t xml:space="preserve"> </w:t>
      </w:r>
      <w:r w:rsidR="00426B19">
        <w:rPr>
          <w:lang w:val="en-GB"/>
        </w:rPr>
        <w:fldChar w:fldCharType="begin" w:fldLock="1"/>
      </w:r>
      <w:r w:rsidR="00426B19">
        <w:rPr>
          <w:lang w:val="en-GB"/>
        </w:rPr>
        <w:instrText>ADDIN CSL_CITATION {"citationItems":[{"id":"ITEM-1","itemData":{"DOI":"10.1016/J.JACI.2013.12.1091","ISSN":"0091-6749","abstract":"BACKGROUND\nAirway inflammation is associated with asthma exacerbation risk, treatment response, and disease mechanisms. \n\nOBJECTIVE\nThis study aimed to identify and validate a sputum gene expression signature that discriminates asthma inflammatory phenotypes. \n\nMETHODS\nAn asthma phenotype biomarker discovery study generated gene expression profiles from induced sputum of 47 asthmatic patients. A clinical validation study (n = 59 asthmatic patients) confirmed differential expression of key genes. A 6-gene signature was identified and evaluated for reproducibility (n = 30 asthmatic patients and n = 20 control subjects) and prediction of inhaled corticosteroid (ICS) response (n = 71 asthmatic patients). Receiver operating characteristic curves were calculated, and area under the curve (AUC) values were reported. \n\nRESULTS\nFrom 277 differentially expressed genes between asthma inflammatory phenotypes, we identified 23 genes that showed highly significant differential expression in both the discovery and validation populations. A signature of 6 genes, including Charcot-Leydon crystal protein (CLC); carboxypeptidase A3 (CPA3); deoxyribonuclease I-like 3 (DNASE1L3); IL-1β (IL1B); alkaline phosphatase, tissue-nonspecific isozyme (ALPL); and chemokine (C-X-C motif) receptor 2 (CXCR2), was reproducible and could significantly (P &lt; .0001) discriminate eosinophilic asthma from other phenotypes, including patients with noneosinophilic asthma (AUC, 89.6%), paucigranulocytic asthma (AUC, 92.6%), or neutrophilic asthma (AUC, 91.4%) and healthy control subjects (AUC, 97.6%), as well as discriminating patients with neutrophilic asthma from those with paucigranulocytic asthma (AUC, 85.7%) and healthy control subjects (AUC, 90.8). The 6-gene signature predicted ICS response (&gt;12% change in FEV1; AUC, 91.5%). ICS treatment reduced the expression of CLC, CPA3, and DNASE1L3 in patients with eosinophilic asthma. \n\nCONCLUSIONS\nA sputum gene expression signature of 6 biomarkers reproducibly and significantly discriminates inflammatory phenotypes of asthma and predicts ICS treatment response. This signature has the potential to become a useful diagnostic tool to assist in the clinical diagnosis and management of asthma.","author":[{"dropping-particle":"","family":"Baines","given":"Katherine J.","non-dropping-particle":"","parse-names":false,"suffix":""},{"dropping-particle":"","family":"Simpson","given":"Jodie L.","non-dropping-particle":"","parse-names":false,"suffix":""},{"dropping-particle":"","family":"Wood","given":"Lisa G.","non-dropping-particle":"","parse-names":false,"suffix":""},{"dropping-particle":"","family":"Scott","given":"Rodney J.","non-dropping-particle":"","parse-names":false,"suffix":""},{"dropping-particle":"","family":"Fibbens","given":"Naomi L.","non-dropping-particle":"","parse-names":false,"suffix":""},{"dropping-particle":"","family":"Powell","given":"Heather","non-dropping-particle":"","parse-names":false,"suffix":""},{"dropping-particle":"","family":"Cowan","given":"Douglas C.","non-dropping-particle":"","parse-names":false,"suffix":""},{"dropping-particle":"","family":"Taylor","given":"D. Robin","non-dropping-particle":"","parse-names":false,"suffix":""},{"dropping-particle":"","family":"Cowan","given":"Jan O.","non-dropping-particle":"","parse-names":false,"suffix":""},{"dropping-particle":"","family":"Gibson","given":"Peter G.","non-dropping-particle":"","parse-names":false,"suffix":""}],"container-title":"Journal of Allergy and Clinical Immunology","id":"ITEM-1","issue":"4","issued":{"date-parts":[["2014","4","1"]]},"page":"997-1007","publisher":"Mosby","title":"Sputum gene expression signature of 6 biomarkers discriminates asthma inflammatory phenotypes","type":"article-journal","volume":"133"},"uris":["http://www.mendeley.com/documents/?uuid=63642261-5b77-39bc-8371-ae092adff0b4"]},{"id":"ITEM-2","itemData":{"DOI":"10.1016/J.MOLMED.2011.01.006","ISSN":"1471-4914","abstract":"Recognition that breast cancer is a heterogeneous disease in which each patient's tumor has specific characteristics has led to a search for biomarkers and combinations of markers (signatures) to improve the diagnosis, prognostic classification and prediction of therapeutic benefit versus toxicity for individual tumors and patients. Many microRNAs (miRNAs) are aberrantly expressed in cancer and seem to influence tumor behavior and progression. miRNAs have great potential to evolve into effective biomarkers in the clinic because of their extreme stability and ease of detection. However, there are several major technical challenges as well as numerous discrepancies among currently reported miRNA signatures. In this review, we discuss the use of miRNA signatures for breast cancer treatment and discuss the challenges in the field.","author":[{"dropping-particle":"","family":"Andorfer","given":"Cathy A.","non-dropping-particle":"","parse-names":false,"suffix":""},{"dropping-particle":"","family":"Necela","given":"Brian M.","non-dropping-particle":"","parse-names":false,"suffix":""},{"dropping-particle":"","family":"Thompson","given":"E. Aubrey","non-dropping-particle":"","parse-names":false,"suffix":""},{"dropping-particle":"","family":"Perez","given":"Edith A.","non-dropping-particle":"","parse-names":false,"suffix":""}],"container-title":"Trends in Molecular Medicine","id":"ITEM-2","issue":"6","issued":{"date-parts":[["2011","6","1"]]},"page":"313-319","publisher":"Elsevier Current Trends","title":"MicroRNA signatures: clinical biomarkers for the diagnosis and treatment of breast cancer","type":"article-journal","volume":"17"},"uris":["http://www.mendeley.com/documents/?uuid=2fffc725-bef6-305c-851f-503a3bf98f0d"]},{"id":"ITEM-3","itemData":{"DOI":"10.1038/sj.onc.1209265","ISSN":"0950-9232","abstract":"Gene expression signatures and biomarkers of noninvasive and invasive breast cancer cells: comprehensive profiles by representational difference analysis, microarrays and proteomics","author":[{"dropping-particle":"","family":"Nagaraja","given":"G M","non-dropping-particle":"","parse-names":false,"suffix":""},{"dropping-particle":"","family":"Othman","given":"M","non-dropping-particle":"","parse-names":false,"suffix":""},{"dropping-particle":"","family":"Fox","given":"B P","non-dropping-particle":"","parse-names":false,"suffix":""},{"dropping-particle":"","family":"Alsaber","given":"R","non-dropping-particle":"","parse-names":false,"suffix":""},{"dropping-particle":"","family":"Pellegrino","given":"C M","non-dropping-particle":"","parse-names":false,"suffix":""},{"dropping-particle":"","family":"Zeng","given":"Y","non-dropping-particle":"","parse-names":false,"suffix":""},{"dropping-particle":"","family":"Khanna","given":"R","non-dropping-particle":"","parse-names":false,"suffix":""},{"dropping-particle":"","family":"Tamburini","given":"P","non-dropping-particle":"","parse-names":false,"suffix":""},{"dropping-particle":"","family":"Swaroop","given":"A","non-dropping-particle":"","parse-names":false,"suffix":""},{"dropping-particle":"","family":"Kandpal","given":"R P","non-dropping-particle":"","parse-names":false,"suffix":""}],"container-title":"Oncogene","id":"ITEM-3","issue":"16","issued":{"date-parts":[["2006","4","28"]]},"page":"2328-2338","publisher":"Nature Publishing Group","title":"Gene expression signatures and biomarkers of noninvasive and invasive breast cancer cells: comprehensive profiles by representational difference analysis, microarrays and proteomics","type":"article-journal","volume":"25"},"uris":["http://www.mendeley.com/documents/?uuid=276f9efd-4376-359a-a4cc-9aea45f7d71b"]}],"mendeley":{"formattedCitation":"&lt;sup&gt;56–58&lt;/sup&gt;","plainTextFormattedCitation":"56–58","previouslyFormattedCitation":"&lt;sup&gt;56–58&lt;/sup&gt;"},"properties":{"noteIndex":0},"schema":"https://github.com/citation-style-language/schema/raw/master/csl-citation.json"}</w:instrText>
      </w:r>
      <w:r w:rsidR="00426B19">
        <w:rPr>
          <w:lang w:val="en-GB"/>
        </w:rPr>
        <w:fldChar w:fldCharType="separate"/>
      </w:r>
      <w:r w:rsidR="00426B19" w:rsidRPr="00426B19">
        <w:rPr>
          <w:noProof/>
          <w:vertAlign w:val="superscript"/>
          <w:lang w:val="en-GB"/>
        </w:rPr>
        <w:t>56–58</w:t>
      </w:r>
      <w:r w:rsidR="00426B19">
        <w:rPr>
          <w:lang w:val="en-GB"/>
        </w:rPr>
        <w:fldChar w:fldCharType="end"/>
      </w:r>
      <w:r w:rsidRPr="0082680A">
        <w:rPr>
          <w:lang w:val="en-GB"/>
        </w:rPr>
        <w:t>, whereas others are built to identify upstream drivers of a phenotype that may become therapeutic targets</w:t>
      </w:r>
      <w:r w:rsidR="00426B19">
        <w:rPr>
          <w:lang w:val="en-GB"/>
        </w:rPr>
        <w:fldChar w:fldCharType="begin" w:fldLock="1"/>
      </w:r>
      <w:r w:rsidR="000507BA">
        <w:rPr>
          <w:lang w:val="en-GB"/>
        </w:rPr>
        <w:instrText>ADDIN CSL_CITATION {"citationItems":[{"id":"ITEM-1","itemData":{"DOI":"10.1073/pnas.0510565103","ISSN":"0027-8424","PMID":"16461460","abstract":"Small noncoding microRNAs (miRNAs) can contribute to cancer development and progression and are differentially expressed in normal tissues and cancers. From a large-scale miRnome analysis on 540 samples including lung, breast, stomach, prostate, colon, and pancreatic tumors, we identified a solid cancer miRNA signature composed by a large portion of overexpressed miRNAs. Among these miRNAs are some with well characterized cancer association, such as miR-17-5p, miR-20a, miR-21, miR-92, miR-106a, and miR-155. The predicted targets for the differentially expressed miRNAs are significantly enriched for protein-coding tumor suppressors and oncogenes (P &lt; 0.0001). A number of the predicted targets, including the tumor suppressors RB1 (Retinoblastoma 1) and TGFBR2 (transforming growth factor, beta receptor II) genes were confirmed experimentally. Our results indicate that miRNAs are extensively involved in cancer pathogenesis of solid tumors and support their function as either dominant or recessive cancer genes.","author":[{"dropping-particle":"","family":"Volinia","given":"Stefano","non-dropping-particle":"","parse-names":false,"suffix":""},{"dropping-particle":"","family":"Calin","given":"George A","non-dropping-particle":"","parse-names":false,"suffix":""},{"dropping-particle":"","family":"Liu","given":"Chang-Gong","non-dropping-particle":"","parse-names":false,"suffix":""},{"dropping-particle":"","family":"Ambs","given":"Stefan","non-dropping-particle":"","parse-names":false,"suffix":""},{"dropping-particle":"","family":"Cimmino","given":"Amelia","non-dropping-particle":"","parse-names":false,"suffix":""},{"dropping-particle":"","family":"Petrocca","given":"Fabio","non-dropping-particle":"","parse-names":false,"suffix":""},{"dropping-particle":"","family":"Visone","given":"Rosa","non-dropping-particle":"","parse-names":false,"suffix":""},{"dropping-particle":"","family":"Iorio","given":"Marilena","non-dropping-particle":"","parse-names":false,"suffix":""},{"dropping-particle":"","family":"Roldo","given":"Claudia","non-dropping-particle":"","parse-names":false,"suffix":""},{"dropping-particle":"","family":"Ferracin","given":"Manuela","non-dropping-particle":"","parse-names":false,"suffix":""},{"dropping-particle":"","family":"Prueitt","given":"Robyn L","non-dropping-particle":"","parse-names":false,"suffix":""},{"dropping-particle":"","family":"Yanaihara","given":"Nozumu","non-dropping-particle":"","parse-names":false,"suffix":""},{"dropping-particle":"","family":"Lanza","given":"Giovanni","non-dropping-particle":"","parse-names":false,"suffix":""},{"dropping-particle":"","family":"Scarpa","given":"Aldo","non-dropping-particle":"","parse-names":false,"suffix":""},{"dropping-particle":"","family":"Vecchione","given":"Andrea","non-dropping-particle":"","parse-names":false,"suffix":""},{"dropping-particle":"","family":"Negrini","given":"Massimo","non-dropping-particle":"","parse-names":false,"suffix":""},{"dropping-particle":"","family":"Harris","given":"Curtis C","non-dropping-particle":"","parse-names":false,"suffix":""},{"dropping-particle":"","family":"Croce","given":"Carlo M","non-dropping-particle":"","parse-names":false,"suffix":""}],"container-title":"Proceedings of the National Academy of Sciences of the United States of America","id":"ITEM-1","issue":"7","issued":{"date-parts":[["2006","2","14"]]},"page":"2257-61","publisher":"National Academy of Sciences","title":"A microRNA expression signature of human solid tumors defines cancer gene targets.","type":"article-journal","volume":"103"},"uris":["http://www.mendeley.com/documents/?uuid=233b7282-0538-3e04-9042-51848fd77739"]},{"id":"ITEM-2","itemData":{"DOI":"10.1158/0008-5472.CAN-09-4512","ISBN":"4666446435","abstract":"Small noncoding microRNAs (miRNA) regulate the expression of target mRNAs by repressing their translation or orchestrating their sequence-specific degradation. In this study, we investigated miRNA and miRNA target gene expression patterns in melanoma to identify candidate biomarkers for early and progressive disease. Because data presently available on miRNA expression in melanoma are inconsistent thus far, we applied several different miRNA detection and profiling techniques on a panel of 10 cell lines and 20 patient samples representing nevi and primary or metastatic melanoma. Expression of selected miRNAs was inconsistent when comparing cell line-derived and patient-derived data. Moreover, as expected, some discrepancies were also detected when miRNA microarray data were correlated with qPCR-measured expression levels.","author":[{"dropping-particle":"","family":"Philippidou","given":"Demetra","non-dropping-particle":"","parse-names":false,"suffix":""},{"dropping-particle":"","family":"Schmitt","given":"Martina","non-dropping-particle":"","parse-names":false,"suffix":""},{"dropping-particle":"","family":"Moser","given":"Dirk","non-dropping-particle":"","parse-names":false,"suffix":""},{"dropping-particle":"","family":"Margue","given":"Christiane","non-dropping-particle":"","parse-names":false,"suffix":""},{"dropping-particle":"V","family":"Nazarov","given":"Petr","non-dropping-particle":"","parse-names":false,"suffix":""},{"dropping-particle":"","family":"Muller","given":"Arnaud","non-dropping-particle":"","parse-names":false,"suffix":""},{"dropping-particle":"","family":"Vallar","given":"Laurent","non-dropping-particle":"","parse-names":false,"suffix":""},{"dropping-particle":"","family":"Nashan","given":"Dorothee","non-dropping-particle":"","parse-names":false,"suffix":""},{"dropping-particle":"","family":"Behrmann","given":"Iris","non-dropping-particle":"","parse-names":false,"suffix":""},{"dropping-particle":"","family":"Kreis","given":"Stephanie","non-dropping-particle":"","parse-names":false,"suffix":""}],"id":"ITEM-2","issued":{"date-parts":[["2010"]]},"title":"Tumor and Stem Cell Biology Signatures of MicroRNAs and Selected MicroRNA Target Genes in Human Melanoma","type":"article-journal"},"uris":["http://www.mendeley.com/documents/?uuid=03926208-5696-32db-a5a2-a1dd5f1162bc"]},{"id":"ITEM-3","itemData":{"DOI":"10.1186/s13073-016-0262-7","ISSN":"1756-994X","abstract":"Frailty is arguably the biggest problem associated with population ageing, and associates with gut microbiome composition in elderly and care-dependent individuals. Here we characterize frailty associations with the gut microbiota in a younger community dwelling population, to identify targets for intervention to encourage healthy ageing. We analysed 16S rRNA gene sequence data derived from faecal samples obtained from 728 female twins. Frailty was quantified using a frailty index (FI). Mixed effects models were used to identify associations with diversity, operational taxonomic units (OTUs) and taxa. OTU associations were replicated in the Eldermet cohort. Phenotypes were correlated with modules of OTUs collapsed by co-occurrence. Frailty negatively associated with alpha diversity of the gut microbiota. Models considering a number of covariates identified 637 OTUs associated with FI. Twenty-two OTU associations were significant independent of alpha diversity. Species more abundant with frailty included Eubacterium dolichum and Eggerthella lenta. A Faecalibacterium prausnitzii OTU was less abundant in frailer individuals, and retained significance in discordant twin analysis. Sixty OTU associations were replicated in the Eldermet cohort. OTU co-occurrence modules had mutually exclusive associations between frailty and alpha diversity. There was a striking negative association between frailty and gut microbiota diversity, underpinned by specific taxonomic associations. Whether these relationships are causal or consequential is unknown. Nevertheless, they represent targets for diagnostic surveillance, or for intervention studies to improve vitality in ageing.","author":[{"dropping-particle":"","family":"Jackson","given":"Matthew A.","non-dropping-particle":"","parse-names":false,"suffix":""},{"dropping-particle":"","family":"Jeffery","given":"Ian B.","non-dropping-particle":"","parse-names":false,"suffix":""},{"dropping-particle":"","family":"Beaumont","given":"Michelle","non-dropping-particle":"","parse-names":false,"suffix":""},{"dropping-particle":"","family":"Bell","given":"Jordana T.","non-dropping-particle":"","parse-names":false,"suffix":""},{"dropping-particle":"","family":"Clark","given":"Andrew G.","non-dropping-particle":"","parse-names":false,"suffix":""},{"dropping-particle":"","family":"Ley","given":"Ruth E.","non-dropping-particle":"","parse-names":false,"suffix":""},{"dropping-particle":"","family":"O’Toole","given":"Paul W.","non-dropping-particle":"","parse-names":false,"suffix":""},{"dropping-particle":"","family":"Spector","given":"Tim D.","non-dropping-particle":"","parse-names":false,"suffix":""},{"dropping-particle":"","family":"Steves","given":"Claire J.","non-dropping-particle":"","parse-names":false,"suffix":""}],"container-title":"Genome Medicine","id":"ITEM-3","issue":"1","issued":{"date-parts":[["2016","12","29"]]},"page":"8","publisher":"BioMed Central","title":"Signatures of early frailty in the gut microbiota","type":"article-journal","volume":"8"},"uris":["http://www.mendeley.com/documents/?uuid=e01937ed-69cd-3106-85a4-d2a62b496833"]}],"mendeley":{"formattedCitation":"&lt;sup&gt;59–61&lt;/sup&gt;","plainTextFormattedCitation":"59–61","previouslyFormattedCitation":"&lt;sup&gt;59–61&lt;/sup&gt;"},"properties":{"noteIndex":0},"schema":"https://github.com/citation-style-language/schema/raw/master/csl-citation.json"}</w:instrText>
      </w:r>
      <w:r w:rsidR="00426B19">
        <w:rPr>
          <w:lang w:val="en-GB"/>
        </w:rPr>
        <w:fldChar w:fldCharType="separate"/>
      </w:r>
      <w:r w:rsidR="00426B19" w:rsidRPr="00426B19">
        <w:rPr>
          <w:noProof/>
          <w:vertAlign w:val="superscript"/>
          <w:lang w:val="en-GB"/>
        </w:rPr>
        <w:t>59–61</w:t>
      </w:r>
      <w:r w:rsidR="00426B19">
        <w:rPr>
          <w:lang w:val="en-GB"/>
        </w:rPr>
        <w:fldChar w:fldCharType="end"/>
      </w:r>
      <w:r w:rsidRPr="0082680A">
        <w:rPr>
          <w:lang w:val="en-GB"/>
        </w:rPr>
        <w:t>. Unfortunately, many studies which employ signature generation methods for these purposes do not attempt to validate their signature in the lab</w:t>
      </w:r>
      <w:r w:rsidRPr="0082680A">
        <w:rPr>
          <w:i/>
          <w:lang w:val="en-GB"/>
        </w:rPr>
        <w:t xml:space="preserve">. </w:t>
      </w:r>
      <w:r w:rsidRPr="0082680A">
        <w:rPr>
          <w:lang w:val="en-GB"/>
        </w:rPr>
        <w:t xml:space="preserve">There are a number of reasons why </w:t>
      </w:r>
      <w:r w:rsidRPr="0082680A">
        <w:rPr>
          <w:i/>
          <w:lang w:val="en-GB"/>
        </w:rPr>
        <w:t>in vi</w:t>
      </w:r>
      <w:r w:rsidR="00BB2145" w:rsidRPr="0082680A">
        <w:rPr>
          <w:i/>
          <w:lang w:val="en-GB"/>
        </w:rPr>
        <w:t>tr</w:t>
      </w:r>
      <w:r w:rsidRPr="0082680A">
        <w:rPr>
          <w:i/>
          <w:lang w:val="en-GB"/>
        </w:rPr>
        <w:t>o/vi</w:t>
      </w:r>
      <w:r w:rsidR="00BB2145" w:rsidRPr="0082680A">
        <w:rPr>
          <w:i/>
          <w:lang w:val="en-GB"/>
        </w:rPr>
        <w:t>v</w:t>
      </w:r>
      <w:r w:rsidRPr="0082680A">
        <w:rPr>
          <w:i/>
          <w:lang w:val="en-GB"/>
        </w:rPr>
        <w:t xml:space="preserve">o </w:t>
      </w:r>
      <w:r w:rsidRPr="0082680A">
        <w:rPr>
          <w:lang w:val="en-GB"/>
        </w:rPr>
        <w:t xml:space="preserve">validation is waived. Firstly, validation by laboratory experiment requires collaboration and expertise; though one individual can create a signature for many conditions, many laboratory groups are then required to validate. Secondly, this process is expensive; there are costs for reagents and person-hours to consider, which may not be within the budget of every project. Thirdly, laboratory experiments take time; the process of growing cells or rearing mice can take weeks or months, in addition to the time taken for </w:t>
      </w:r>
      <w:r w:rsidR="00BB2145" w:rsidRPr="0082680A">
        <w:rPr>
          <w:lang w:val="en-GB"/>
        </w:rPr>
        <w:t>experimentation</w:t>
      </w:r>
      <w:r w:rsidRPr="0082680A">
        <w:rPr>
          <w:lang w:val="en-GB"/>
        </w:rPr>
        <w:t xml:space="preserve">, and the final data collection. Individuals may be pressed for time, and often the pressure to publish is more threatening than the possibility of a more robust validation. What we are left with, however, are biological discoveries that can only exist within the confines of a computer chip. </w:t>
      </w:r>
    </w:p>
    <w:p w14:paraId="699881BB" w14:textId="0D9DA80A" w:rsidR="00DD630F" w:rsidRPr="0082680A" w:rsidRDefault="00F44FAF">
      <w:pPr>
        <w:contextualSpacing w:val="0"/>
        <w:rPr>
          <w:lang w:val="en-GB"/>
        </w:rPr>
      </w:pPr>
      <w:r w:rsidRPr="0082680A">
        <w:rPr>
          <w:lang w:val="en-GB"/>
        </w:rPr>
        <w:t xml:space="preserve">The computational modelling of disease phenotypes </w:t>
      </w:r>
      <w:r w:rsidR="00E06098">
        <w:rPr>
          <w:lang w:val="en-GB"/>
        </w:rPr>
        <w:t>is</w:t>
      </w:r>
      <w:r w:rsidRPr="0082680A">
        <w:rPr>
          <w:lang w:val="en-GB"/>
        </w:rPr>
        <w:t xml:space="preserve"> </w:t>
      </w:r>
      <w:r w:rsidR="00E06098">
        <w:rPr>
          <w:lang w:val="en-GB"/>
        </w:rPr>
        <w:t>certainly streamlining disease discovery</w:t>
      </w:r>
      <w:r w:rsidRPr="0082680A">
        <w:rPr>
          <w:lang w:val="en-GB"/>
        </w:rPr>
        <w:t xml:space="preserve">, however without proper experimental design and validation </w:t>
      </w:r>
      <w:r w:rsidR="00E06098">
        <w:rPr>
          <w:lang w:val="en-GB"/>
        </w:rPr>
        <w:t>it</w:t>
      </w:r>
      <w:r w:rsidRPr="0082680A">
        <w:rPr>
          <w:lang w:val="en-GB"/>
        </w:rPr>
        <w:t xml:space="preserve"> </w:t>
      </w:r>
      <w:r w:rsidR="00E06098">
        <w:rPr>
          <w:lang w:val="en-GB"/>
        </w:rPr>
        <w:t xml:space="preserve">can </w:t>
      </w:r>
      <w:r w:rsidRPr="0082680A">
        <w:rPr>
          <w:lang w:val="en-GB"/>
        </w:rPr>
        <w:t>very quickly become the scenic route, or at the very worst, a dead end. To be successful, a properly designed signature must possess the following; it must be driven by a well-considered research question, it must be built from appropriate data of the highest possible quality, it must be built alongside minimal experimental bias, it must be rigorously tested at every development stage, and finally it must only be considered successful if its association with the phenotype is sufficiently, and reliably demonstrated in a living organism.</w:t>
      </w:r>
    </w:p>
    <w:p w14:paraId="3DC4AAB2" w14:textId="77777777" w:rsidR="00DF3FF9" w:rsidRPr="0082680A" w:rsidRDefault="00DF3FF9">
      <w:pPr>
        <w:rPr>
          <w:rFonts w:ascii="Arial" w:eastAsia="Arial" w:hAnsi="Arial" w:cs="Arial"/>
          <w:sz w:val="36"/>
          <w:szCs w:val="32"/>
          <w:lang w:val="en-GB"/>
        </w:rPr>
      </w:pPr>
      <w:r w:rsidRPr="0082680A">
        <w:rPr>
          <w:lang w:val="en-GB"/>
        </w:rPr>
        <w:br w:type="page"/>
      </w:r>
    </w:p>
    <w:p w14:paraId="1AB5E2C4" w14:textId="0E390D6C" w:rsidR="00DD630F" w:rsidRPr="00842FD0" w:rsidRDefault="00875B1A" w:rsidP="00842FD0">
      <w:pPr>
        <w:pStyle w:val="Heading2"/>
      </w:pPr>
      <w:bookmarkStart w:id="22" w:name="_Toc3211315"/>
      <w:r w:rsidRPr="00842FD0">
        <w:lastRenderedPageBreak/>
        <w:t>Building a Multi-Omic Signature</w:t>
      </w:r>
      <w:bookmarkEnd w:id="22"/>
    </w:p>
    <w:p w14:paraId="4EC92808" w14:textId="05E83D79" w:rsidR="00DD630F" w:rsidRPr="0082680A" w:rsidRDefault="00875B1A">
      <w:pPr>
        <w:contextualSpacing w:val="0"/>
        <w:rPr>
          <w:lang w:val="en-GB"/>
        </w:rPr>
      </w:pPr>
      <w:r w:rsidRPr="0082680A">
        <w:rPr>
          <w:lang w:val="en-GB"/>
        </w:rPr>
        <w:t>Many studies utilise a mono-omic approach to signature building; a list of differentially expressed genes, or a list of genes associated with GWA SNPs. The use of single ‘</w:t>
      </w:r>
      <w:proofErr w:type="spellStart"/>
      <w:r w:rsidRPr="0082680A">
        <w:rPr>
          <w:lang w:val="en-GB"/>
        </w:rPr>
        <w:t>omes</w:t>
      </w:r>
      <w:proofErr w:type="spellEnd"/>
      <w:r w:rsidRPr="0082680A">
        <w:rPr>
          <w:lang w:val="en-GB"/>
        </w:rPr>
        <w:t xml:space="preserve"> in signature building is yet another reason why these signatures are rarely replicable. By inferring mechanisms of disease from genomic or transcriptomic data alone, experimenters are making significant extrapolations; in the space between a genetic sequence and the presentation of a phenotype, there are a huge number of intermediate steps that are unimaginably complex and constantly changing. The nature of such a system, therefore, requires an analytical approach that is able to accommodate more of this complexity. By combining data from multiple ‘omic levels, one can more accurately understand the interactions and mechanisms contributing to disease. </w:t>
      </w:r>
      <w:r w:rsidR="00F44FAF" w:rsidRPr="0082680A">
        <w:rPr>
          <w:lang w:val="en-GB"/>
        </w:rPr>
        <w:t xml:space="preserve">Signatures can be built from a huge variety of data sources, and the more types of data incorporated into a signature, the more successful it is likely to be </w:t>
      </w:r>
      <w:r w:rsidR="00BA0BD9" w:rsidRPr="0082680A">
        <w:rPr>
          <w:lang w:val="en-GB"/>
        </w:rPr>
        <w:fldChar w:fldCharType="begin" w:fldLock="1"/>
      </w:r>
      <w:r w:rsidR="000507BA">
        <w:rPr>
          <w:lang w:val="en-GB"/>
        </w:rPr>
        <w:instrText>ADDIN CSL_CITATION {"citationItems":[{"id":"ITEM-1","itemData":{"DOI":"10.1007/978-1-60761-580-4_19","ISSN":"1940-6029","PMID":"20652519","abstract":"Large-scale sequencing, copy number, mRNA, and protein data have given great promise to the biomedical research, while posing great challenges to data management and data analysis. Integrating different types of high-throughput data from diverse sources can increase the statistical power of data analysis and provide deeper biological understanding. This chapter uses two biomedical research examples to illustrate why there is an urgent need to develop reliable and robust methods for integrating the heterogeneous data. We then introduce and review some recently developed statistical methods for integrative analysis for both statistical inference and classification purposes. Finally, we present some useful public access databases and program code to facilitate the integrative analysis in practice.","author":[{"dropping-particle":"","family":"Xie","given":"Yang","non-dropping-particle":"","parse-names":false,"suffix":""},{"dropping-particle":"","family":"Ahn","given":"Chul","non-dropping-particle":"","parse-names":false,"suffix":""}],"container-title":"Methods in molecular biology (Clifton, N.J.)","id":"ITEM-1","issued":{"date-parts":[["2010"]]},"page":"511-29","publisher":"NIH Public Access","title":"Statistical methods for integrating multiple types of high-throughput data.","type":"article-journal","volume":"620"},"uris":["http://www.mendeley.com/documents/?uuid=5ac87092-ab85-36b9-b639-47aa047838c4"]},{"id":"ITEM-2","itemData":{"DOI":"10.1186/s12711-016-0217-x","ISSN":"1297-9686","abstract":"In the past years, there has been a remarkable development of high-throughput omics (HTO) technologies such as genomics, epigenomics, transcriptomics, proteomics and metabolomics across all facets of biology. This has spearheaded the progress of the systems biology era, including applications on animal production and health traits. However, notwithstanding these new HTO technologies, there remains an emerging challenge in data analysis. On the one hand, different HTO technologies judged on their own merit are appropriate for the identification of disease-causing genes, biomarkers for prevention and drug targets for the treatment of diseases and for individualized genomic predictions of performance or disease risks. On the other hand, integration of multi-omic data and joint modelling and analyses are very powerful and accurate to understand the systems biology of healthy and sustainable production of animals. We present an overview of current and emerging HTO technologies each with a focus on their applications in animal and veterinary sciences before introducing an integrative systems genomics framework for analysing and integrating multi-omic data towards improved animal production, health and welfare. We conclude that there are big challenges in multi-omic data integration, modelling and systems-level analyses, particularly with the fast emerging HTO technologies. We highlight existing and emerging systems genomics approaches and discuss how they contribute to our understanding of the biology of complex traits or diseases and holistic improvement of production performance, disease resistance and welfare.","author":[{"dropping-particle":"","family":"Suravajhala","given":"Prashanth","non-dropping-particle":"","parse-names":false,"suffix":""},{"dropping-particle":"","family":"Kogelman","given":"Lisette J. A.","non-dropping-particle":"","parse-names":false,"suffix":""},{"dropping-particle":"","family":"Kadarmideen","given":"Haja N.","non-dropping-particle":"","parse-names":false,"suffix":""}],"container-title":"Genetics Selection Evolution","id":"ITEM-2","issue":"1","issued":{"date-parts":[["2016","12","29"]]},"page":"38","publisher":"BioMed Central","title":"Multi-omic data integration and analysis using systems genomics approaches: methods and applications in animal production, health and welfare","type":"article-journal","volume":"48"},"uris":["http://www.mendeley.com/documents/?uuid=7a85c780-f88e-35ec-8f48-608f96c40e68"]},{"id":"ITEM-3","itemData":{"DOI":"10.3389/fgene.2013.00309","ISSN":"1664-8021","abstract":"To better understand dynamic disease processes, integrated multi-omic methods are needed, yet comparing different types of omic data remains difficult. Integrative solutions benefit experimenters by eliminating potential biases that come with single omic analysis.We have developed the methods needed to explore whether a relationship exists between co-expression network models built from transcriptomic and proteomic data types, and whether this relationship can be used to improve the disease signature discovery process. A naïve, correlation based method is utilized for comparison. Using publicly available infectious disease time series data, we analyzed the related co-expression structure of the transcriptome and proteome in response to SARS-CoV infection in mice. Transcript and peptide expression data was filtered using quality scores and subset by taking the intersection on mapped Entrez IDs. Using this data set, independent co-expression networks were built. The networks were integrated by constructing a bipartite module graph based on module member overlap, module summary correlation, and correlation to phenotypes of interest. Compared to the module level results, the naïve approach is hindered by a lack of correlation across data types, less significant enrichment results, and little functional overlap across data types. Our module graph approach avoids these problems, resulting in an integrated omic signature of disease progression, which allows prioritization across data types for down-stream experiment planning. Integrated modules exhibited related functional enrichments and could suggest novel interactions in response to infection. These disease and platform-independent methods can be used to realize the full potential of multi-omic network signatures.","author":[{"dropping-particle":"","family":"Gibbs","given":"David L.","non-dropping-particle":"","parse-names":false,"suffix":""},{"dropping-particle":"","family":"Gralinski","given":"Lisa","non-dropping-particle":"","parse-names":false,"suffix":""},{"dropping-particle":"","family":"Baric","given":"Ralph S.","non-dropping-particle":"","parse-names":false,"suffix":""},{"dropping-particle":"","family":"McWeeney","given":"Shannon K.","non-dropping-particle":"","parse-names":false,"suffix":""}],"container-title":"Frontiers in Genetics","id":"ITEM-3","issued":{"date-parts":[["2014","1","7"]]},"page":"309","publisher":"Frontiers","title":"Multi-omic network signatures of disease","type":"article-journal","volume":"4"},"uris":["http://www.mendeley.com/documents/?uuid=09b81da2-d8ae-383e-9807-975d03491728"]}],"mendeley":{"formattedCitation":"&lt;sup&gt;62–64&lt;/sup&gt;","plainTextFormattedCitation":"62–64","previouslyFormattedCitation":"&lt;sup&gt;62–64&lt;/sup&gt;"},"properties":{"noteIndex":0},"schema":"https://github.com/citation-style-language/schema/raw/master/csl-citation.json"}</w:instrText>
      </w:r>
      <w:r w:rsidR="00BA0BD9" w:rsidRPr="0082680A">
        <w:rPr>
          <w:lang w:val="en-GB"/>
        </w:rPr>
        <w:fldChar w:fldCharType="separate"/>
      </w:r>
      <w:r w:rsidR="00426B19" w:rsidRPr="00426B19">
        <w:rPr>
          <w:noProof/>
          <w:vertAlign w:val="superscript"/>
          <w:lang w:val="en-GB"/>
        </w:rPr>
        <w:t>62–64</w:t>
      </w:r>
      <w:r w:rsidR="00BA0BD9" w:rsidRPr="0082680A">
        <w:rPr>
          <w:lang w:val="en-GB"/>
        </w:rPr>
        <w:fldChar w:fldCharType="end"/>
      </w:r>
      <w:r w:rsidR="00F44FAF" w:rsidRPr="0082680A">
        <w:rPr>
          <w:lang w:val="en-GB"/>
        </w:rPr>
        <w:t>. Here we will describe a number of data sources and analyses that can be included in the signature building process.</w:t>
      </w:r>
    </w:p>
    <w:p w14:paraId="1611A8E7" w14:textId="7E950683" w:rsidR="00DD630F" w:rsidRPr="00691215" w:rsidRDefault="00F44FAF" w:rsidP="00691215">
      <w:pPr>
        <w:pStyle w:val="Heading3"/>
      </w:pPr>
      <w:bookmarkStart w:id="23" w:name="_Toc527800527"/>
      <w:bookmarkStart w:id="24" w:name="_Toc3211316"/>
      <w:r w:rsidRPr="00691215">
        <w:t>Gene-</w:t>
      </w:r>
      <w:r w:rsidR="005C4E13" w:rsidRPr="00691215">
        <w:t>L</w:t>
      </w:r>
      <w:r w:rsidR="007057D8" w:rsidRPr="00691215">
        <w:t xml:space="preserve">evel </w:t>
      </w:r>
      <w:r w:rsidRPr="00691215">
        <w:t>Analyses</w:t>
      </w:r>
      <w:bookmarkEnd w:id="23"/>
      <w:bookmarkEnd w:id="24"/>
    </w:p>
    <w:p w14:paraId="3E897245" w14:textId="7F7E7094" w:rsidR="00DD630F" w:rsidRPr="0082680A" w:rsidRDefault="00F44FAF">
      <w:pPr>
        <w:contextualSpacing w:val="0"/>
        <w:rPr>
          <w:lang w:val="en-GB"/>
        </w:rPr>
      </w:pPr>
      <w:r w:rsidRPr="0082680A">
        <w:rPr>
          <w:lang w:val="en-GB"/>
        </w:rPr>
        <w:t xml:space="preserve">Signature building often begins with generation of a list of significantly differentially expressed genes (DEGs). Differential expression represents a clear, easily quantifiable signal that sets the disease phenotype apart from healthy controls. Differential expression is calculated on expression data collected from either microarray or </w:t>
      </w:r>
      <w:r w:rsidR="00840875" w:rsidRPr="0082680A">
        <w:rPr>
          <w:lang w:val="en-GB"/>
        </w:rPr>
        <w:t>RNA-Seq</w:t>
      </w:r>
      <w:r w:rsidRPr="0082680A">
        <w:rPr>
          <w:lang w:val="en-GB"/>
        </w:rPr>
        <w:t xml:space="preserve"> technologies. Microarray chips contain tens of thousands of microscopic probes - short sequences of nucleotides corresponding to a particular RNA transcript. After hybridisation, the fluorescence of tags applied to the sequences are detected and quantified, giving a continuous variable that is relative to the probe intensity under a control condition. Conversely, </w:t>
      </w:r>
      <w:r w:rsidR="00840875" w:rsidRPr="0082680A">
        <w:rPr>
          <w:lang w:val="en-GB"/>
        </w:rPr>
        <w:t>RNA-Seq</w:t>
      </w:r>
      <w:r w:rsidRPr="0082680A">
        <w:rPr>
          <w:lang w:val="en-GB"/>
        </w:rPr>
        <w:t xml:space="preserve"> involves generation of sequencing libraries that are aligned to the accepted version of the species’ genome. The number of reads, or counts, of a transcript are calculated, giving indication of the abundance of that particular transcript. It is clear that unlike microarray, </w:t>
      </w:r>
      <w:r w:rsidR="00840875" w:rsidRPr="0082680A">
        <w:rPr>
          <w:lang w:val="en-GB"/>
        </w:rPr>
        <w:t>RNA-Seq</w:t>
      </w:r>
      <w:r w:rsidRPr="0082680A">
        <w:rPr>
          <w:lang w:val="en-GB"/>
        </w:rPr>
        <w:t xml:space="preserve"> provides absolute quantification of transcript expression allowing for more sensitivity</w:t>
      </w:r>
      <w:r w:rsidR="00BB2145" w:rsidRPr="0082680A">
        <w:rPr>
          <w:lang w:val="en-GB"/>
        </w:rPr>
        <w:t>, however it is a more expensive technology and the resultant data files are large and complex to process</w:t>
      </w:r>
      <w:r w:rsidRPr="0082680A">
        <w:rPr>
          <w:lang w:val="en-GB"/>
        </w:rPr>
        <w:t>.</w:t>
      </w:r>
    </w:p>
    <w:p w14:paraId="39F19E6E" w14:textId="030C80A1" w:rsidR="00DD630F" w:rsidRPr="0082680A" w:rsidRDefault="00F44FAF">
      <w:pPr>
        <w:contextualSpacing w:val="0"/>
        <w:rPr>
          <w:lang w:val="en-GB"/>
        </w:rPr>
      </w:pPr>
      <w:r w:rsidRPr="0082680A">
        <w:rPr>
          <w:lang w:val="en-GB"/>
        </w:rPr>
        <w:t xml:space="preserve">Differential expression analysis tools vary depending on the input type (whether microarray or </w:t>
      </w:r>
      <w:r w:rsidR="00840875" w:rsidRPr="0082680A">
        <w:rPr>
          <w:lang w:val="en-GB"/>
        </w:rPr>
        <w:t>RNA-Seq</w:t>
      </w:r>
      <w:r w:rsidRPr="0082680A">
        <w:rPr>
          <w:lang w:val="en-GB"/>
        </w:rPr>
        <w:t xml:space="preserve">), but the underlying mathematics is concordant. A normalisation step is implemented to rescale measurements of the expression of each gene so that all samples are comparable. A statistical test is then applied to evaluate whether the distribution of expression values for each gene is significantly different between patients and controls. </w:t>
      </w:r>
      <w:r w:rsidR="00F74859" w:rsidRPr="0082680A">
        <w:rPr>
          <w:lang w:val="en-GB"/>
        </w:rPr>
        <w:t>Finally,</w:t>
      </w:r>
      <w:r w:rsidRPr="0082680A">
        <w:rPr>
          <w:lang w:val="en-GB"/>
        </w:rPr>
        <w:t xml:space="preserve"> a correction for multiple testing is conducted to provide an adjusted measure of significance. A number of additional features are implemented depending on </w:t>
      </w:r>
      <w:r w:rsidRPr="0082680A">
        <w:rPr>
          <w:lang w:val="en-GB"/>
        </w:rPr>
        <w:lastRenderedPageBreak/>
        <w:t>the software package used, including the type of distribution (e.g. Poisson, negative binomial) and the measurement of significance (e.g. P</w:t>
      </w:r>
      <w:r w:rsidR="005B3BB4" w:rsidRPr="0082680A">
        <w:rPr>
          <w:lang w:val="en-GB"/>
        </w:rPr>
        <w:t>-</w:t>
      </w:r>
      <w:r w:rsidRPr="0082680A">
        <w:rPr>
          <w:lang w:val="en-GB"/>
        </w:rPr>
        <w:t xml:space="preserve">value, FDR). As microarray data is continuous, and </w:t>
      </w:r>
      <w:r w:rsidR="00840875" w:rsidRPr="0082680A">
        <w:rPr>
          <w:lang w:val="en-GB"/>
        </w:rPr>
        <w:t>RNA-Seq</w:t>
      </w:r>
      <w:r w:rsidRPr="0082680A">
        <w:rPr>
          <w:lang w:val="en-GB"/>
        </w:rPr>
        <w:t xml:space="preserve"> data non-negative integers, different packages have been tailored to each, for example LIMMA for microarray and DESeq2 or EdgeR for </w:t>
      </w:r>
      <w:r w:rsidR="00840875" w:rsidRPr="0082680A">
        <w:rPr>
          <w:lang w:val="en-GB"/>
        </w:rPr>
        <w:t>RNA-Seq</w:t>
      </w:r>
      <w:r w:rsidR="005C4E13" w:rsidRPr="0082680A">
        <w:rPr>
          <w:lang w:val="en-GB"/>
        </w:rPr>
        <w:t xml:space="preserve"> </w:t>
      </w:r>
      <w:r w:rsidR="005C4E13" w:rsidRPr="0082680A">
        <w:rPr>
          <w:lang w:val="en-GB"/>
        </w:rPr>
        <w:fldChar w:fldCharType="begin" w:fldLock="1"/>
      </w:r>
      <w:r w:rsidR="000507BA">
        <w:rPr>
          <w:lang w:val="en-GB"/>
        </w:rPr>
        <w:instrText>ADDIN CSL_CITATION {"citationItems":[{"id":"ITEM-1","itemData":{"DOI":"10.1007/0-387-29362-0_23","author":[{"dropping-particle":"","family":"Smyth","given":"G. K.","non-dropping-particle":"","parse-names":false,"suffix":""}],"container-title":"Bioinformatics and Computational Biology Solutions Using R and Bioconductor","id":"ITEM-1","issued":{"date-parts":[["2005"]]},"page":"397-420","publisher":"Springer-Verlag","publisher-place":"New York","title":"limma: Linear Models for Microarray Data","type":"chapter"},"uris":["http://www.mendeley.com/documents/?uuid=a0c0d389-20f7-3a5b-8317-a609696a9a37"]},{"id":"ITEM-2","itemData":{"DOI":"10.1186/s13059-014-0550-8","ISSN":"1474-760X","abstract":"In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\n                  http://www.bioconductor.org/packages/release/bioc/html/DESeq2.html\n                  \n                .","author":[{"dropping-particle":"","family":"Love","given":"Michael I","non-dropping-particle":"","parse-names":false,"suffix":""},{"dropping-particle":"","family":"Huber","given":"Wolfgang","non-dropping-particle":"","parse-names":false,"suffix":""},{"dropping-particle":"","family":"Anders","given":"Simon","non-dropping-particle":"","parse-names":false,"suffix":""}],"container-title":"Genome Biology","id":"ITEM-2","issue":"12","issued":{"date-parts":[["2014","12","5"]]},"page":"550","publisher":"BioMed Central","title":"Moderated estimation of fold change and dispersion for RNA-seq data with DESeq2","type":"article-journal","volume":"15"},"uris":["http://www.mendeley.com/documents/?uuid=1b6d627a-8c65-3bde-bc6b-b0656a122c0f"]},{"id":"ITEM-3","itemData":{"DOI":"10.1093/bioinformatics/btp616","ISSN":"1367-4803","author":[{"dropping-particle":"","family":"Robinson","given":"M. D.","non-dropping-particle":"","parse-names":false,"suffix":""},{"dropping-particle":"","family":"McCarthy","given":"D. J.","non-dropping-particle":"","parse-names":false,"suffix":""},{"dropping-particle":"","family":"Smyth","given":"G. K.","non-dropping-particle":"","parse-names":false,"suffix":""}],"container-title":"Bioinformatics","id":"ITEM-3","issue":"1","issued":{"date-parts":[["2010","1","1"]]},"page":"139-140","publisher":"Oxford University Press","title":"edgeR: a Bioconductor package for differential expression analysis of digital gene expression data","type":"article-journal","volume":"26"},"uris":["http://www.mendeley.com/documents/?uuid=d245471b-b4b3-389b-8371-56a0b23b65dc"]}],"mendeley":{"formattedCitation":"&lt;sup&gt;65–67&lt;/sup&gt;","plainTextFormattedCitation":"65–67","previouslyFormattedCitation":"&lt;sup&gt;65–67&lt;/sup&gt;"},"properties":{"noteIndex":0},"schema":"https://github.com/citation-style-language/schema/raw/master/csl-citation.json"}</w:instrText>
      </w:r>
      <w:r w:rsidR="005C4E13" w:rsidRPr="0082680A">
        <w:rPr>
          <w:lang w:val="en-GB"/>
        </w:rPr>
        <w:fldChar w:fldCharType="separate"/>
      </w:r>
      <w:r w:rsidR="00426B19" w:rsidRPr="00426B19">
        <w:rPr>
          <w:noProof/>
          <w:vertAlign w:val="superscript"/>
          <w:lang w:val="en-GB"/>
        </w:rPr>
        <w:t>65–67</w:t>
      </w:r>
      <w:r w:rsidR="005C4E13" w:rsidRPr="0082680A">
        <w:rPr>
          <w:lang w:val="en-GB"/>
        </w:rPr>
        <w:fldChar w:fldCharType="end"/>
      </w:r>
      <w:r w:rsidRPr="0082680A">
        <w:rPr>
          <w:lang w:val="en-GB"/>
        </w:rPr>
        <w:t xml:space="preserve">. </w:t>
      </w:r>
    </w:p>
    <w:p w14:paraId="3F2636AC" w14:textId="25FD201D" w:rsidR="00C92239" w:rsidRPr="0082680A" w:rsidRDefault="00C92239" w:rsidP="00C92239">
      <w:pPr>
        <w:contextualSpacing w:val="0"/>
        <w:rPr>
          <w:lang w:val="en-GB"/>
        </w:rPr>
      </w:pPr>
      <w:r w:rsidRPr="0082680A">
        <w:rPr>
          <w:lang w:val="en-GB"/>
        </w:rPr>
        <w:t xml:space="preserve">Gene expression analysis is not the only way to generate a gene list. Some approaches instead use the results of genome wide association studies (GWAS). In these studies, thousands of participants are </w:t>
      </w:r>
      <w:proofErr w:type="gramStart"/>
      <w:r w:rsidRPr="0082680A">
        <w:rPr>
          <w:lang w:val="en-GB"/>
        </w:rPr>
        <w:t>recruited</w:t>
      </w:r>
      <w:proofErr w:type="gramEnd"/>
      <w:r w:rsidRPr="0082680A">
        <w:rPr>
          <w:lang w:val="en-GB"/>
        </w:rPr>
        <w:t xml:space="preserve"> and relevant tissue samples extracted. Genome sequencing is applied to these samples </w:t>
      </w:r>
      <w:proofErr w:type="spellStart"/>
      <w:r w:rsidRPr="0082680A">
        <w:rPr>
          <w:i/>
          <w:lang w:val="en-GB"/>
        </w:rPr>
        <w:t>en</w:t>
      </w:r>
      <w:proofErr w:type="spellEnd"/>
      <w:r w:rsidRPr="0082680A">
        <w:rPr>
          <w:i/>
          <w:lang w:val="en-GB"/>
        </w:rPr>
        <w:t xml:space="preserve"> masse</w:t>
      </w:r>
      <w:r w:rsidRPr="0082680A">
        <w:rPr>
          <w:lang w:val="en-GB"/>
        </w:rPr>
        <w:t xml:space="preserve"> to identify single nucleotide polymorphisms (SNPs) in each individual. The rates of these SNPs are then calculated, and a significant overrepresentation of any individual SNP in the disease population is considered associated with the phenotype. </w:t>
      </w:r>
      <w:r w:rsidR="005C4E13" w:rsidRPr="0082680A">
        <w:rPr>
          <w:lang w:val="en-GB"/>
        </w:rPr>
        <w:t xml:space="preserve">A major flaw of GWAS is that SNPs are not identified specifically in the context of genes - this relationship can only be inferred, leading to biased annotations. Nonetheless, gene-SNP relationships are frequently used in bioinformatics </w:t>
      </w:r>
      <w:proofErr w:type="gramStart"/>
      <w:r w:rsidR="005C4E13" w:rsidRPr="0082680A">
        <w:rPr>
          <w:lang w:val="en-GB"/>
        </w:rPr>
        <w:t>analyses, and</w:t>
      </w:r>
      <w:proofErr w:type="gramEnd"/>
      <w:r w:rsidR="005C4E13" w:rsidRPr="0082680A">
        <w:rPr>
          <w:lang w:val="en-GB"/>
        </w:rPr>
        <w:t xml:space="preserve"> are commonly reported in publications or housed in databases such as </w:t>
      </w:r>
      <w:r w:rsidR="00F141BB" w:rsidRPr="0082680A">
        <w:rPr>
          <w:lang w:val="en-GB"/>
        </w:rPr>
        <w:t xml:space="preserve">the </w:t>
      </w:r>
      <w:r w:rsidR="005C4E13" w:rsidRPr="0082680A">
        <w:rPr>
          <w:lang w:val="en-GB"/>
        </w:rPr>
        <w:t>GWAS Catalog (</w:t>
      </w:r>
      <w:hyperlink r:id="rId32" w:history="1">
        <w:r w:rsidR="005C4E13" w:rsidRPr="0082680A">
          <w:rPr>
            <w:rStyle w:val="Hyperlink"/>
            <w:lang w:val="en-GB"/>
          </w:rPr>
          <w:t>www.ebi.ac.uk/gwas/home</w:t>
        </w:r>
      </w:hyperlink>
      <w:r w:rsidR="005C4E13" w:rsidRPr="0082680A">
        <w:rPr>
          <w:lang w:val="en-GB"/>
        </w:rPr>
        <w:t xml:space="preserve">). </w:t>
      </w:r>
      <w:r w:rsidRPr="0082680A">
        <w:rPr>
          <w:lang w:val="en-GB"/>
        </w:rPr>
        <w:t xml:space="preserve">Lists of genes </w:t>
      </w:r>
      <w:r w:rsidR="005C4E13" w:rsidRPr="0082680A">
        <w:rPr>
          <w:lang w:val="en-GB"/>
        </w:rPr>
        <w:t xml:space="preserve">which have been predicted to associate with GWA SNPs </w:t>
      </w:r>
      <w:r w:rsidRPr="0082680A">
        <w:rPr>
          <w:lang w:val="en-GB"/>
        </w:rPr>
        <w:t xml:space="preserve">can be used much in the same way as gene expression, however they do not themselves possess information on the downstream effects of their dysfunction. A differentially expressed gene can be upregulated or downregulated, whereas a mutation either exists or it </w:t>
      </w:r>
      <w:r w:rsidR="00D634B7">
        <w:rPr>
          <w:lang w:val="en-GB"/>
        </w:rPr>
        <w:t>does not</w:t>
      </w:r>
      <w:r w:rsidRPr="0082680A">
        <w:rPr>
          <w:lang w:val="en-GB"/>
        </w:rPr>
        <w:t>. A mutation in a particular place in the genome can provide some information, for example if it is in a promotor region, close to the start codon, or in a sequence coding for a binding site in the resultant protein.</w:t>
      </w:r>
    </w:p>
    <w:p w14:paraId="0557A1E1" w14:textId="7094BB17" w:rsidR="00DD630F" w:rsidRPr="0082680A" w:rsidRDefault="00C92239" w:rsidP="00C92239">
      <w:pPr>
        <w:contextualSpacing w:val="0"/>
        <w:rPr>
          <w:lang w:val="en-GB"/>
        </w:rPr>
      </w:pPr>
      <w:r w:rsidRPr="0082680A">
        <w:rPr>
          <w:lang w:val="en-GB"/>
        </w:rPr>
        <w:t xml:space="preserve">Gene lists, whether gene expression or GWA, face a very similar problem; </w:t>
      </w:r>
      <w:r w:rsidR="00F44FAF" w:rsidRPr="0082680A">
        <w:rPr>
          <w:lang w:val="en-GB"/>
        </w:rPr>
        <w:t xml:space="preserve">Subramanian </w:t>
      </w:r>
      <w:r w:rsidR="00F74859" w:rsidRPr="0082680A">
        <w:rPr>
          <w:lang w:val="en-GB"/>
        </w:rPr>
        <w:t>and colleagues</w:t>
      </w:r>
      <w:r w:rsidR="00F44FAF" w:rsidRPr="0082680A">
        <w:rPr>
          <w:lang w:val="en-GB"/>
        </w:rPr>
        <w:t xml:space="preserve"> critiqued the use of </w:t>
      </w:r>
      <w:r w:rsidRPr="0082680A">
        <w:rPr>
          <w:lang w:val="en-GB"/>
        </w:rPr>
        <w:t xml:space="preserve">single gene analyses - in this case </w:t>
      </w:r>
      <w:r w:rsidR="00F44FAF" w:rsidRPr="0082680A">
        <w:rPr>
          <w:lang w:val="en-GB"/>
        </w:rPr>
        <w:t>differential gene expression analy</w:t>
      </w:r>
      <w:r w:rsidRPr="0082680A">
        <w:rPr>
          <w:lang w:val="en-GB"/>
        </w:rPr>
        <w:t xml:space="preserve">sis - </w:t>
      </w:r>
      <w:r w:rsidR="00F44FAF" w:rsidRPr="0082680A">
        <w:rPr>
          <w:lang w:val="en-GB"/>
        </w:rPr>
        <w:t xml:space="preserve">suggesting </w:t>
      </w:r>
      <w:r w:rsidRPr="0082680A">
        <w:rPr>
          <w:lang w:val="en-GB"/>
        </w:rPr>
        <w:t xml:space="preserve">that the </w:t>
      </w:r>
      <w:r w:rsidR="00F44FAF" w:rsidRPr="0082680A">
        <w:rPr>
          <w:lang w:val="en-GB"/>
        </w:rPr>
        <w:t>constituent genes rarely have any biological relevance to one another</w:t>
      </w:r>
      <w:r w:rsidR="00F74859" w:rsidRPr="0082680A">
        <w:rPr>
          <w:lang w:val="en-GB"/>
        </w:rPr>
        <w:t xml:space="preserve"> </w:t>
      </w:r>
      <w:r w:rsidR="00F74859" w:rsidRPr="0082680A">
        <w:rPr>
          <w:lang w:val="en-GB"/>
        </w:rPr>
        <w:fldChar w:fldCharType="begin" w:fldLock="1"/>
      </w:r>
      <w:r w:rsidR="000507BA">
        <w:rPr>
          <w:lang w:val="en-GB"/>
        </w:rPr>
        <w:instrText>ADDIN CSL_CITATION {"citationItems":[{"id":"ITEM-1","itemData":{"DOI":"10.1073/pnas.0506580102","ISSN":"0027-8424","PMID":"16199517","abstract":"Although genomewide RNA expression analysis has become a routine tool in biomedical research, extracting biological insight from such information remains a major challenge. Here, we describe a powerful analytical method called Gene Set Enrichment Analysis (GSEA) for interpreting gene expression data. The method derives its power by focusing on gene sets, that is, groups of genes that share common biological function, chromosomal location, or regulation. We demonstrate how GSEA yields insights into several cancer-related data sets, including leukemia and lung cancer. Notably, where single-gene analysis finds little similarity between two independent studies of patient survival in lung cancer, GSEA reveals many biological pathways in common. The GSEA method is embodied in a freely available software package, together with an initial database of 1,325 biologically defined gene sets.","author":[{"dropping-particle":"","family":"Subramanian","given":"Aravind","non-dropping-particle":"","parse-names":false,"suffix":""},{"dropping-particle":"","family":"Tamayo","given":"Pablo","non-dropping-particle":"","parse-names":false,"suffix":""},{"dropping-particle":"","family":"Mootha","given":"Vamsi K","non-dropping-particle":"","parse-names":false,"suffix":""},{"dropping-particle":"","family":"Mukherjee","given":"Sayan","non-dropping-particle":"","parse-names":false,"suffix":""},{"dropping-particle":"","family":"Ebert","given":"Benjamin L","non-dropping-particle":"","parse-names":false,"suffix":""},{"dropping-particle":"","family":"Gillette","given":"Michael A","non-dropping-particle":"","parse-names":false,"suffix":""},{"dropping-particle":"","family":"Paulovich","given":"Amanda","non-dropping-particle":"","parse-names":false,"suffix":""},{"dropping-particle":"","family":"Pomeroy","given":"Scott L","non-dropping-particle":"","parse-names":false,"suffix":""},{"dropping-particle":"","family":"Golub","given":"Todd R","non-dropping-particle":"","parse-names":false,"suffix":""},{"dropping-particle":"","family":"Lander","given":"Eric S","non-dropping-particle":"","parse-names":false,"suffix":""},{"dropping-particle":"","family":"Mesirov","given":"Jill P","non-dropping-particle":"","parse-names":false,"suffix":""}],"container-title":"Proceedings of the National Academy of Sciences of the United States of America","id":"ITEM-1","issue":"43","issued":{"date-parts":[["2005","10","25"]]},"page":"15545-50","title":"Gene set enrichment analysis: a knowledge-based approach for interpreting genome-wide expression profiles.","type":"article-journal","volume":"102"},"uris":["http://www.mendeley.com/documents/?uuid=7fef9d90-1e01-46ac-857c-fcc8820df7b0"]}],"mendeley":{"formattedCitation":"&lt;sup&gt;68&lt;/sup&gt;","plainTextFormattedCitation":"68","previouslyFormattedCitation":"&lt;sup&gt;68&lt;/sup&gt;"},"properties":{"noteIndex":0},"schema":"https://github.com/citation-style-language/schema/raw/master/csl-citation.json"}</w:instrText>
      </w:r>
      <w:r w:rsidR="00F74859" w:rsidRPr="0082680A">
        <w:rPr>
          <w:lang w:val="en-GB"/>
        </w:rPr>
        <w:fldChar w:fldCharType="separate"/>
      </w:r>
      <w:r w:rsidR="00426B19" w:rsidRPr="00426B19">
        <w:rPr>
          <w:noProof/>
          <w:vertAlign w:val="superscript"/>
          <w:lang w:val="en-GB"/>
        </w:rPr>
        <w:t>68</w:t>
      </w:r>
      <w:r w:rsidR="00F74859" w:rsidRPr="0082680A">
        <w:rPr>
          <w:lang w:val="en-GB"/>
        </w:rPr>
        <w:fldChar w:fldCharType="end"/>
      </w:r>
      <w:r w:rsidR="00F44FAF" w:rsidRPr="0082680A">
        <w:rPr>
          <w:lang w:val="en-GB"/>
        </w:rPr>
        <w:t xml:space="preserve">. </w:t>
      </w:r>
      <w:r w:rsidRPr="0082680A">
        <w:rPr>
          <w:lang w:val="en-GB"/>
        </w:rPr>
        <w:t>Th</w:t>
      </w:r>
      <w:r w:rsidR="0050523A" w:rsidRPr="0082680A">
        <w:rPr>
          <w:lang w:val="en-GB"/>
        </w:rPr>
        <w:t>e</w:t>
      </w:r>
      <w:r w:rsidRPr="0082680A">
        <w:rPr>
          <w:lang w:val="en-GB"/>
        </w:rPr>
        <w:t xml:space="preserve"> issue</w:t>
      </w:r>
      <w:r w:rsidR="0050523A" w:rsidRPr="0082680A">
        <w:rPr>
          <w:lang w:val="en-GB"/>
        </w:rPr>
        <w:t xml:space="preserve"> of functional association</w:t>
      </w:r>
      <w:r w:rsidRPr="0082680A">
        <w:rPr>
          <w:lang w:val="en-GB"/>
        </w:rPr>
        <w:t xml:space="preserve"> has also been raised </w:t>
      </w:r>
      <w:r w:rsidR="0050523A" w:rsidRPr="0082680A">
        <w:rPr>
          <w:lang w:val="en-GB"/>
        </w:rPr>
        <w:t>for</w:t>
      </w:r>
      <w:r w:rsidRPr="0082680A">
        <w:rPr>
          <w:lang w:val="en-GB"/>
        </w:rPr>
        <w:t xml:space="preserve"> GWAS</w:t>
      </w:r>
      <w:r w:rsidR="0050523A" w:rsidRPr="0082680A">
        <w:rPr>
          <w:lang w:val="en-GB"/>
        </w:rPr>
        <w:t>s</w:t>
      </w:r>
      <w:r w:rsidRPr="0082680A">
        <w:rPr>
          <w:lang w:val="en-GB"/>
        </w:rPr>
        <w:t xml:space="preserve">, as the </w:t>
      </w:r>
      <w:r w:rsidR="0050523A" w:rsidRPr="0082680A">
        <w:rPr>
          <w:lang w:val="en-GB"/>
        </w:rPr>
        <w:t>variants</w:t>
      </w:r>
      <w:r w:rsidRPr="0082680A">
        <w:rPr>
          <w:lang w:val="en-GB"/>
        </w:rPr>
        <w:t xml:space="preserve"> implicated in this methodology are not </w:t>
      </w:r>
      <w:r w:rsidR="0050523A" w:rsidRPr="0082680A">
        <w:rPr>
          <w:lang w:val="en-GB"/>
        </w:rPr>
        <w:t>regularly</w:t>
      </w:r>
      <w:r w:rsidRPr="0082680A">
        <w:rPr>
          <w:lang w:val="en-GB"/>
        </w:rPr>
        <w:t xml:space="preserve"> validated in </w:t>
      </w:r>
      <w:r w:rsidR="0050523A" w:rsidRPr="0082680A">
        <w:rPr>
          <w:lang w:val="en-GB"/>
        </w:rPr>
        <w:t xml:space="preserve">relation to </w:t>
      </w:r>
      <w:r w:rsidRPr="0082680A">
        <w:rPr>
          <w:lang w:val="en-GB"/>
        </w:rPr>
        <w:t xml:space="preserve">the disease condition. </w:t>
      </w:r>
      <w:r w:rsidR="00F44FAF" w:rsidRPr="0082680A">
        <w:rPr>
          <w:lang w:val="en-GB"/>
        </w:rPr>
        <w:t>It is important, therefore, that</w:t>
      </w:r>
      <w:r w:rsidR="00BB2145" w:rsidRPr="0082680A">
        <w:rPr>
          <w:lang w:val="en-GB"/>
        </w:rPr>
        <w:t xml:space="preserve"> the results we generate from</w:t>
      </w:r>
      <w:r w:rsidR="00F44FAF" w:rsidRPr="0082680A">
        <w:rPr>
          <w:lang w:val="en-GB"/>
        </w:rPr>
        <w:t xml:space="preserve"> gene expression</w:t>
      </w:r>
      <w:r w:rsidR="00BB2145" w:rsidRPr="0082680A">
        <w:rPr>
          <w:lang w:val="en-GB"/>
        </w:rPr>
        <w:t xml:space="preserve"> analysis</w:t>
      </w:r>
      <w:r w:rsidR="00F44FAF" w:rsidRPr="0082680A">
        <w:rPr>
          <w:lang w:val="en-GB"/>
        </w:rPr>
        <w:t xml:space="preserve"> </w:t>
      </w:r>
      <w:r w:rsidR="00BB2145" w:rsidRPr="0082680A">
        <w:rPr>
          <w:lang w:val="en-GB"/>
        </w:rPr>
        <w:t>are</w:t>
      </w:r>
      <w:r w:rsidRPr="0082680A">
        <w:rPr>
          <w:lang w:val="en-GB"/>
        </w:rPr>
        <w:t xml:space="preserve"> not taken at face </w:t>
      </w:r>
      <w:proofErr w:type="gramStart"/>
      <w:r w:rsidRPr="0082680A">
        <w:rPr>
          <w:lang w:val="en-GB"/>
        </w:rPr>
        <w:t>value, but</w:t>
      </w:r>
      <w:proofErr w:type="gramEnd"/>
      <w:r w:rsidRPr="0082680A">
        <w:rPr>
          <w:lang w:val="en-GB"/>
        </w:rPr>
        <w:t xml:space="preserve"> are</w:t>
      </w:r>
      <w:r w:rsidR="00F44FAF" w:rsidRPr="0082680A">
        <w:rPr>
          <w:lang w:val="en-GB"/>
        </w:rPr>
        <w:t xml:space="preserve"> supported by other </w:t>
      </w:r>
      <w:r w:rsidR="00BB2145" w:rsidRPr="0082680A">
        <w:rPr>
          <w:lang w:val="en-GB"/>
        </w:rPr>
        <w:t>sources of</w:t>
      </w:r>
      <w:r w:rsidR="00F44FAF" w:rsidRPr="0082680A">
        <w:rPr>
          <w:lang w:val="en-GB"/>
        </w:rPr>
        <w:t xml:space="preserve"> </w:t>
      </w:r>
      <w:r w:rsidR="00BB2145" w:rsidRPr="0082680A">
        <w:rPr>
          <w:lang w:val="en-GB"/>
        </w:rPr>
        <w:t>information</w:t>
      </w:r>
      <w:r w:rsidR="00F44FAF" w:rsidRPr="0082680A">
        <w:rPr>
          <w:lang w:val="en-GB"/>
        </w:rPr>
        <w:t>.</w:t>
      </w:r>
    </w:p>
    <w:p w14:paraId="0DE9E5E5" w14:textId="184216A2" w:rsidR="00DD630F" w:rsidRPr="00691215" w:rsidRDefault="00F44FAF" w:rsidP="00691215">
      <w:pPr>
        <w:pStyle w:val="Heading3"/>
      </w:pPr>
      <w:bookmarkStart w:id="25" w:name="_Toc527800528"/>
      <w:bookmarkStart w:id="26" w:name="_Toc3211317"/>
      <w:r w:rsidRPr="00691215">
        <w:t>Pathway-</w:t>
      </w:r>
      <w:r w:rsidR="005C4E13" w:rsidRPr="00691215">
        <w:t>L</w:t>
      </w:r>
      <w:r w:rsidR="007057D8" w:rsidRPr="00691215">
        <w:t xml:space="preserve">evel </w:t>
      </w:r>
      <w:r w:rsidRPr="00691215">
        <w:t>Analyses</w:t>
      </w:r>
      <w:bookmarkEnd w:id="25"/>
      <w:bookmarkEnd w:id="26"/>
    </w:p>
    <w:p w14:paraId="61253BA9" w14:textId="464A3505" w:rsidR="00DD630F" w:rsidRPr="0082680A" w:rsidRDefault="00F44FAF">
      <w:pPr>
        <w:contextualSpacing w:val="0"/>
        <w:rPr>
          <w:lang w:val="en-GB"/>
        </w:rPr>
      </w:pPr>
      <w:r w:rsidRPr="0082680A">
        <w:rPr>
          <w:lang w:val="en-GB"/>
        </w:rPr>
        <w:t xml:space="preserve">The value of gene-based analyses is only </w:t>
      </w:r>
      <w:r w:rsidR="00C92239" w:rsidRPr="0082680A">
        <w:rPr>
          <w:lang w:val="en-GB"/>
        </w:rPr>
        <w:t>viable</w:t>
      </w:r>
      <w:r w:rsidRPr="0082680A">
        <w:rPr>
          <w:lang w:val="en-GB"/>
        </w:rPr>
        <w:t xml:space="preserve"> when genes are assessed within their functional context. After criticising expression-only approaches, Subramanian et al. demonstrated their newly developed tool - Gene Set Enrichment Analysis (GSEA). The effect of GSEA was to draw attention to the importance of functional relationships </w:t>
      </w:r>
      <w:r w:rsidRPr="0082680A">
        <w:rPr>
          <w:lang w:val="en-GB"/>
        </w:rPr>
        <w:lastRenderedPageBreak/>
        <w:t>between genes, rather than their importance in isolation. A pathway represents a group of molecular interactions which lead to a</w:t>
      </w:r>
      <w:r w:rsidR="00BB2145" w:rsidRPr="0082680A">
        <w:rPr>
          <w:lang w:val="en-GB"/>
        </w:rPr>
        <w:t xml:space="preserve"> particular</w:t>
      </w:r>
      <w:r w:rsidRPr="0082680A">
        <w:rPr>
          <w:lang w:val="en-GB"/>
        </w:rPr>
        <w:t xml:space="preserve"> event</w:t>
      </w:r>
      <w:r w:rsidR="00D634B7">
        <w:rPr>
          <w:lang w:val="en-GB"/>
        </w:rPr>
        <w:t>, such as the activation of another pathway or the generation of a specific molecule</w:t>
      </w:r>
      <w:r w:rsidRPr="0082680A">
        <w:rPr>
          <w:lang w:val="en-GB"/>
        </w:rPr>
        <w:t xml:space="preserve">. The members of such groups could be genes, proteins, or RNAs, and the event could be production of a chemical, or a physical change to the cell. Some studies perform enrichment tests to establish if the overlap of the </w:t>
      </w:r>
      <w:r w:rsidR="00BB2145" w:rsidRPr="0082680A">
        <w:rPr>
          <w:lang w:val="en-GB"/>
        </w:rPr>
        <w:t>DEG</w:t>
      </w:r>
      <w:r w:rsidRPr="0082680A">
        <w:rPr>
          <w:lang w:val="en-GB"/>
        </w:rPr>
        <w:t xml:space="preserve"> list and a pathway gene list is significant. A test such as this may help identify what processes the experimental gene list is involved in. Enrichment tests are usually based on either a modified Kolmogorov-Smirnov or Fisher’s Exact test. A number of tools, both programmable and web-based, are capable of implementing these tests, including but not limited to GSEA, DAVID, </w:t>
      </w:r>
      <w:proofErr w:type="spellStart"/>
      <w:r w:rsidRPr="0082680A">
        <w:rPr>
          <w:lang w:val="en-GB"/>
        </w:rPr>
        <w:t>WebGestalt</w:t>
      </w:r>
      <w:proofErr w:type="spellEnd"/>
      <w:r w:rsidRPr="0082680A">
        <w:rPr>
          <w:lang w:val="en-GB"/>
        </w:rPr>
        <w:t xml:space="preserve">, and </w:t>
      </w:r>
      <w:proofErr w:type="spellStart"/>
      <w:r w:rsidRPr="0082680A">
        <w:rPr>
          <w:lang w:val="en-GB"/>
        </w:rPr>
        <w:t>EnrichR</w:t>
      </w:r>
      <w:proofErr w:type="spellEnd"/>
      <w:r w:rsidRPr="0082680A">
        <w:rPr>
          <w:lang w:val="en-GB"/>
        </w:rPr>
        <w:t xml:space="preserve"> </w:t>
      </w:r>
      <w:r w:rsidR="00BB2145" w:rsidRPr="0082680A">
        <w:rPr>
          <w:lang w:val="en-GB"/>
        </w:rPr>
        <w:fldChar w:fldCharType="begin" w:fldLock="1"/>
      </w:r>
      <w:r w:rsidR="000507BA">
        <w:rPr>
          <w:lang w:val="en-GB"/>
        </w:rPr>
        <w:instrText>ADDIN CSL_CITATION {"citationItems":[{"id":"ITEM-1","itemData":{"DOI":"10.1073/pnas.0506580102","ISSN":"0027-8424","PMID":"16199517","abstract":"Although genomewide RNA expression analysis has become a routine tool in biomedical research, extracting biological insight from such information remains a major challenge. Here, we describe a powerful analytical method called Gene Set Enrichment Analysis (GSEA) for interpreting gene expression data. The method derives its power by focusing on gene sets, that is, groups of genes that share common biological function, chromosomal location, or regulation. We demonstrate how GSEA yields insights into several cancer-related data sets, including leukemia and lung cancer. Notably, where single-gene analysis finds little similarity between two independent studies of patient survival in lung cancer, GSEA reveals many biological pathways in common. The GSEA method is embodied in a freely available software package, together with an initial database of 1,325 biologically defined gene sets.","author":[{"dropping-particle":"","family":"Subramanian","given":"Aravind","non-dropping-particle":"","parse-names":false,"suffix":""},{"dropping-particle":"","family":"Tamayo","given":"Pablo","non-dropping-particle":"","parse-names":false,"suffix":""},{"dropping-particle":"","family":"Mootha","given":"Vamsi K","non-dropping-particle":"","parse-names":false,"suffix":""},{"dropping-particle":"","family":"Mukherjee","given":"Sayan","non-dropping-particle":"","parse-names":false,"suffix":""},{"dropping-particle":"","family":"Ebert","given":"Benjamin L","non-dropping-particle":"","parse-names":false,"suffix":""},{"dropping-particle":"","family":"Gillette","given":"Michael A","non-dropping-particle":"","parse-names":false,"suffix":""},{"dropping-particle":"","family":"Paulovich","given":"Amanda","non-dropping-particle":"","parse-names":false,"suffix":""},{"dropping-particle":"","family":"Pomeroy","given":"Scott L","non-dropping-particle":"","parse-names":false,"suffix":""},{"dropping-particle":"","family":"Golub","given":"Todd R","non-dropping-particle":"","parse-names":false,"suffix":""},{"dropping-particle":"","family":"Lander","given":"Eric S","non-dropping-particle":"","parse-names":false,"suffix":""},{"dropping-particle":"","family":"Mesirov","given":"Jill P","non-dropping-particle":"","parse-names":false,"suffix":""}],"container-title":"Proceedings of the National Academy of Sciences of the United States of America","id":"ITEM-1","issue":"43","issued":{"date-parts":[["2005","10","25"]]},"page":"15545-50","title":"Gene set enrichment analysis: a knowledge-based approach for interpreting genome-wide expression profiles.","type":"article-journal","volume":"102"},"uris":["http://www.mendeley.com/documents/?uuid=7fef9d90-1e01-46ac-857c-fcc8820df7b0"]},{"id":"ITEM-2","itemData":{"DOI":"10.1038/nprot.2008.211","ISSN":"1754-2189","PMID":"19131956","abstract":"DAVID bioinformatics resources consists of an integrated biological knowledgebase and analytic tools aimed at systematically extracting biological meaning from large gene/protein lists. This protocol explains how to use DAVID, a high-throughput and integrated data-mining environment, to analyze gene lists derived from high-throughput genomic experiments. The procedure first requires uploading a gene list containing any number of common gene identifiers followed by analysis using one or more text and pathway-mining tools such as gene functional classification, functional annotation chart or clustering and functional annotation table. By following this protocol, investigators are able to gain an in-depth understanding of the biological themes in lists of genes that are enriched in genome-scale studies.","author":[{"dropping-particle":"","family":"Huang","given":"Da Wei","non-dropping-particle":"","parse-names":false,"suffix":""},{"dropping-particle":"","family":"Sherman","given":"Brad T","non-dropping-particle":"","parse-names":false,"suffix":""},{"dropping-particle":"","family":"Lempicki","given":"Richard A","non-dropping-particle":"","parse-names":false,"suffix":""}],"container-title":"Nature Protocols","id":"ITEM-2","issue":"1","issued":{"date-parts":[["2009","1","1"]]},"page":"44-57","title":"Systematic and integrative analysis of large gene lists using DAVID bioinformatics resources","type":"article-journal","volume":"4"},"uris":["http://www.mendeley.com/documents/?uuid=b1d5863a-553f-3e57-bf49-1f9e6f248e59"]},{"id":"ITEM-3","itemData":{"DOI":"10.1093/nar/gkx356","ISSN":"1362-4962","PMID":"28472511","abstract":"Functional enrichment analysis has played a key role in the biological interpretation of high-throughput omics data. As a long-standing and widely used web application for functional enrichment analysis, WebGestalt has been constantly updated to satisfy the needs of biologists from different research areas. WebGestalt 2017 supports 12 organisms, 324 gene identifiers from various databases and technology platforms, and 150 937 functional categories from public databases and computational analyses. Omics data with gene identifiers not supported by WebGestalt and functional categories not included in the WebGestalt database can also be uploaded for enrichment analysis. In addition to the Over-Representation Analysis in the previous versions, Gene Set Enrichment Analysis and Network Topology-based Analysis have been added to WebGestalt 2017, providing complementary approaches to the interpretation of high-throughput omics data. The new user-friendly output interface and the GOView tool allow interactive and efficient exploration and comparison of enrichment results. Thus, WebGestalt 2017 enables more comprehensive, powerful, flexible and interactive functional enrichment analysis. It is freely available at http://www.webgestalt.org.","author":[{"dropping-particle":"","family":"Wang","given":"Jing","non-dropping-particle":"","parse-names":false,"suffix":""},{"dropping-particle":"","family":"Vasaikar","given":"Suhas","non-dropping-particle":"","parse-names":false,"suffix":""},{"dropping-particle":"","family":"Shi","given":"Zhiao","non-dropping-particle":"","parse-names":false,"suffix":""},{"dropping-particle":"","family":"Greer","given":"Michael","non-dropping-particle":"","parse-names":false,"suffix":""},{"dropping-particle":"","family":"Zhang","given":"Bing","non-dropping-particle":"","parse-names":false,"suffix":""}],"container-title":"Nucleic acids research","id":"ITEM-3","issue":"W1","issued":{"date-parts":[["2017","7","3"]]},"page":"W130-W137","publisher":"Oxford University Press","title":"WebGestalt 2017: a more comprehensive, powerful, flexible and interactive gene set enrichment analysis toolkit.","type":"article-journal","volume":"45"},"uris":["http://www.mendeley.com/documents/?uuid=dbd7b195-3d6c-3609-af4e-1e2a0c44de0d"]},{"id":"ITEM-4","itemData":{"DOI":"10.1093/nar/gkw377","ISSN":"0305-1048","PMID":"27141961","abstract":"Enrichment analysis is a popular method for analyzing gene sets generated by genome-wide experiments. Here we present a significant update to one of the tools in this domain called Enrichr. Enrichr currently contains a large collection of diverse gene set libraries available for analysis and download. In total, Enrichr currently contains 180 184 annotated gene sets from 102 gene set libraries. New features have been added to Enrichr including the ability to submit fuzzy sets, upload BED files, improved application programming interface and visualization of the results as clustergrams. Overall, Enrichr is a comprehensive resource for curated gene sets and a search engine that accumulates biological knowledge for further biological discoveries. Enrichr is freely available at: http://amp.pharm.mssm.edu/Enrichr.","author":[{"dropping-particle":"V.","family":"Kuleshov","given":"Maxim","non-dropping-particle":"","parse-names":false,"suffix":""},{"dropping-particle":"","family":"Jones","given":"Matthew R.","non-dropping-particle":"","parse-names":false,"suffix":""},{"dropping-particle":"","family":"Rouillard","given":"Andrew D.","non-dropping-particle":"","parse-names":false,"suffix":""},{"dropping-particle":"","family":"Fernandez","given":"Nicolas F.","non-dropping-particle":"","parse-names":false,"suffix":""},{"dropping-particle":"","family":"Duan","given":"Qiaonan","non-dropping-particle":"","parse-names":false,"suffix":""},{"dropping-particle":"","family":"Wang","given":"Zichen","non-dropping-particle":"","parse-names":false,"suffix":""},{"dropping-particle":"","family":"Koplev","given":"Simon","non-dropping-particle":"","parse-names":false,"suffix":""},{"dropping-particle":"","family":"Jenkins","given":"Sherry L.","non-dropping-particle":"","parse-names":false,"suffix":""},{"dropping-particle":"","family":"Jagodnik","given":"Kathleen M.","non-dropping-particle":"","parse-names":false,"suffix":""},{"dropping-particle":"","family":"Lachmann","given":"Alexander","non-dropping-particle":"","parse-names":false,"suffix":""},{"dropping-particle":"","family":"McDermott","given":"Michael G.","non-dropping-particle":"","parse-names":false,"suffix":""},{"dropping-particle":"","family":"Monteiro","given":"Caroline D.","non-dropping-particle":"","parse-names":false,"suffix":""},{"dropping-particle":"","family":"Gundersen","given":"Gregory W.","non-dropping-particle":"","parse-names":false,"suffix":""},{"dropping-particle":"","family":"Ma'ayan","given":"Avi","non-dropping-particle":"","parse-names":false,"suffix":""}],"container-title":"Nucleic Acids Research","id":"ITEM-4","issue":"W1","issued":{"date-parts":[["2016","7","8"]]},"page":"W90-W97","title":"Enrichr: a comprehensive gene set enrichment analysis web server 2016 update","type":"article-journal","volume":"44"},"uris":["http://www.mendeley.com/documents/?uuid=ff126ebc-4f91-3c82-8039-9a701bbfe3a7"]}],"mendeley":{"formattedCitation":"&lt;sup&gt;68–71&lt;/sup&gt;","plainTextFormattedCitation":"68–71","previouslyFormattedCitation":"&lt;sup&gt;68–71&lt;/sup&gt;"},"properties":{"noteIndex":0},"schema":"https://github.com/citation-style-language/schema/raw/master/csl-citation.json"}</w:instrText>
      </w:r>
      <w:r w:rsidR="00BB2145" w:rsidRPr="0082680A">
        <w:rPr>
          <w:lang w:val="en-GB"/>
        </w:rPr>
        <w:fldChar w:fldCharType="separate"/>
      </w:r>
      <w:r w:rsidR="00426B19" w:rsidRPr="00426B19">
        <w:rPr>
          <w:noProof/>
          <w:vertAlign w:val="superscript"/>
          <w:lang w:val="en-GB"/>
        </w:rPr>
        <w:t>68–71</w:t>
      </w:r>
      <w:r w:rsidR="00BB2145" w:rsidRPr="0082680A">
        <w:rPr>
          <w:lang w:val="en-GB"/>
        </w:rPr>
        <w:fldChar w:fldCharType="end"/>
      </w:r>
      <w:r w:rsidRPr="0082680A">
        <w:rPr>
          <w:lang w:val="en-GB"/>
        </w:rPr>
        <w:t xml:space="preserve">. </w:t>
      </w:r>
    </w:p>
    <w:p w14:paraId="6C6EA872" w14:textId="05BDBC67" w:rsidR="00DD630F" w:rsidRPr="0082680A" w:rsidRDefault="00F44FAF">
      <w:pPr>
        <w:contextualSpacing w:val="0"/>
        <w:rPr>
          <w:lang w:val="en-GB"/>
        </w:rPr>
      </w:pPr>
      <w:r w:rsidRPr="0082680A">
        <w:rPr>
          <w:lang w:val="en-GB"/>
        </w:rPr>
        <w:t xml:space="preserve">There are a number of pathway databases available with which to conduct enrichment analysis. Such databases are constructed in broadly two ways; categorical and hierarchical. Categorical pathway databases are networks of discrete gene sets each representing a unique biological process. Pathways can be categorised into groups of similar processes, and these pathways may overlap, but importantly they do not represent subsets of one another. Categorical pathway databases include the Kyoto </w:t>
      </w:r>
      <w:proofErr w:type="spellStart"/>
      <w:r w:rsidRPr="0082680A">
        <w:rPr>
          <w:lang w:val="en-GB"/>
        </w:rPr>
        <w:t>Encyclopedia</w:t>
      </w:r>
      <w:proofErr w:type="spellEnd"/>
      <w:r w:rsidRPr="0082680A">
        <w:rPr>
          <w:lang w:val="en-GB"/>
        </w:rPr>
        <w:t xml:space="preserve"> of Genes and Genomes (KEGG,</w:t>
      </w:r>
      <w:r w:rsidR="00B958C5" w:rsidRPr="0082680A">
        <w:rPr>
          <w:lang w:val="en-GB"/>
        </w:rPr>
        <w:t xml:space="preserve"> </w:t>
      </w:r>
      <w:hyperlink r:id="rId33" w:history="1">
        <w:r w:rsidR="00B958C5" w:rsidRPr="0082680A">
          <w:rPr>
            <w:rStyle w:val="Hyperlink"/>
            <w:lang w:val="en-GB"/>
          </w:rPr>
          <w:t>www.genome.jp/kegg</w:t>
        </w:r>
      </w:hyperlink>
      <w:r w:rsidRPr="0082680A">
        <w:rPr>
          <w:lang w:val="en-GB"/>
        </w:rPr>
        <w:t>),</w:t>
      </w:r>
      <w:r w:rsidR="00B958C5" w:rsidRPr="0082680A">
        <w:rPr>
          <w:lang w:val="en-GB"/>
        </w:rPr>
        <w:t xml:space="preserve"> </w:t>
      </w:r>
      <w:r w:rsidRPr="0082680A">
        <w:rPr>
          <w:lang w:val="en-GB"/>
        </w:rPr>
        <w:t>and Wikipathways (</w:t>
      </w:r>
      <w:hyperlink r:id="rId34" w:history="1">
        <w:r w:rsidR="00B958C5" w:rsidRPr="0082680A">
          <w:rPr>
            <w:rStyle w:val="Hyperlink"/>
            <w:lang w:val="en-GB"/>
          </w:rPr>
          <w:t>www.wikipathways.org/index.php/WikiPathways</w:t>
        </w:r>
      </w:hyperlink>
      <w:r w:rsidRPr="0082680A">
        <w:rPr>
          <w:lang w:val="en-GB"/>
        </w:rPr>
        <w:t>)</w:t>
      </w:r>
      <w:r w:rsidR="00C92239" w:rsidRPr="0082680A">
        <w:rPr>
          <w:lang w:val="en-GB"/>
        </w:rPr>
        <w:t xml:space="preserve"> </w:t>
      </w:r>
      <w:r w:rsidR="00C92239" w:rsidRPr="0082680A">
        <w:rPr>
          <w:lang w:val="en-GB"/>
        </w:rPr>
        <w:fldChar w:fldCharType="begin" w:fldLock="1"/>
      </w:r>
      <w:r w:rsidR="000507BA">
        <w:rPr>
          <w:lang w:val="en-GB"/>
        </w:rPr>
        <w:instrText>ADDIN CSL_CITATION {"citationItems":[{"id":"ITEM-1","itemData":{"DOI":"10.1093/nar/gkw1092","ISSN":"0305-1048","author":[{"dropping-particle":"","family":"Kanehisa","given":"Minoru","non-dropping-particle":"","parse-names":false,"suffix":""},{"dropping-particle":"","family":"Furumichi","given":"Miho","non-dropping-particle":"","parse-names":false,"suffix":""},{"dropping-particle":"","family":"Tanabe","given":"Mao","non-dropping-particle":"","parse-names":false,"suffix":""},{"dropping-particle":"","family":"Sato","given":"Yoko","non-dropping-particle":"","parse-names":false,"suffix":""},{"dropping-particle":"","family":"Morishima","given":"Kanae","non-dropping-particle":"","parse-names":false,"suffix":""}],"container-title":"Nucleic Acids Research","id":"ITEM-1","issue":"D1","issued":{"date-parts":[["2017","1","4"]]},"page":"D353-D361","publisher":"Oxford University Press","title":"KEGG: new perspectives on genomes, pathways, diseases and drugs","type":"article-journal","volume":"45"},"uris":["http://www.mendeley.com/documents/?uuid=30665ee9-c1e4-3d20-97e8-beb77288e28f"]},{"id":"ITEM-2","itemData":{"DOI":"10.1093/nar/gkx1064","ISSN":"1362-4962","PMID":"29136241","abstract":"WikiPathways (wikipathways.org) captures the collective knowledge represented in biological pathways. By providing a database in a curated, machine readable way, omics data analysis and visualization is enabled. WikiPathways and other pathway databases are used to analyze experimental data by research groups in many fields. Due to the open and collaborative nature of the WikiPathways platform, our content keeps growing and is getting more accurate, making WikiPathways a reliable and rich pathway database. Previously, however, the focus was primarily on genes and proteins, leaving many metabolites with only limited annotation. Recent curation efforts focused on improving the annotation of metabolism and metabolic pathways by associating unmapped metabolites with database identifiers and providing more detailed interaction knowledge. Here, we report the outcomes of the continued growth and curation efforts, such as a doubling of the number of annotated metabolite nodes in WikiPathways. Furthermore, we introduce an OpenAPI documentation of our web services and the FAIR (Findable, Accessible, Interoperable and Reusable) annotation of resources to increase the interoperability of the knowledge encoded in these pathways and experimental omics data. New search options, monthly downloads, more links to metabolite databases, and new portals make pathway knowledge more effortlessly accessible to individual researchers and research communities.","author":[{"dropping-particle":"","family":"Slenter","given":"Denise N","non-dropping-particle":"","parse-names":false,"suffix":""},{"dropping-particle":"","family":"Kutmon","given":"Martina","non-dropping-particle":"","parse-names":false,"suffix":""},{"dropping-particle":"","family":"Hanspers","given":"Kristina","non-dropping-particle":"","parse-names":false,"suffix":""},{"dropping-particle":"","family":"Riutta","given":"Anders","non-dropping-particle":"","parse-names":false,"suffix":""},{"dropping-particle":"","family":"Windsor","given":"Jacob","non-dropping-particle":"","parse-names":false,"suffix":""},{"dropping-particle":"","family":"Nunes","given":"Nuno","non-dropping-particle":"","parse-names":false,"suffix":""},{"dropping-particle":"","family":"Mélius","given":"Jonathan","non-dropping-particle":"","parse-names":false,"suffix":""},{"dropping-particle":"","family":"Cirillo","given":"Elisa","non-dropping-particle":"","parse-names":false,"suffix":""},{"dropping-particle":"","family":"Coort","given":"Susan L","non-dropping-particle":"","parse-names":false,"suffix":""},{"dropping-particle":"","family":"Digles","given":"Daniela","non-dropping-particle":"","parse-names":false,"suffix":""},{"dropping-particle":"","family":"Ehrhart","given":"Friederike","non-dropping-particle":"","parse-names":false,"suffix":""},{"dropping-particle":"","family":"Giesbertz","given":"Pieter","non-dropping-particle":"","parse-names":false,"suffix":""},{"dropping-particle":"","family":"Kalafati","given":"Marianthi","non-dropping-particle":"","parse-names":false,"suffix":""},{"dropping-particle":"","family":"Martens","given":"Marvin","non-dropping-particle":"","parse-names":false,"suffix":""},{"dropping-particle":"","family":"Miller","given":"Ryan","non-dropping-particle":"","parse-names":false,"suffix":""},{"dropping-particle":"","family":"Nishida","given":"Kozo","non-dropping-particle":"","parse-names":false,"suffix":""},{"dropping-particle":"","family":"Rieswijk","given":"Linda","non-dropping-particle":"","parse-names":false,"suffix":""},{"dropping-particle":"","family":"Waagmeester","given":"Andra","non-dropping-particle":"","parse-names":false,"suffix":""},{"dropping-particle":"","family":"Eijssen","given":"Lars M T","non-dropping-particle":"","parse-names":false,"suffix":""},{"dropping-particle":"","family":"Evelo","given":"Chris T","non-dropping-particle":"","parse-names":false,"suffix":""},{"dropping-particle":"","family":"Pico","given":"Alexander R","non-dropping-particle":"","parse-names":false,"suffix":""},{"dropping-particle":"","family":"Willighagen","given":"Egon L","non-dropping-particle":"","parse-names":false,"suffix":""}],"container-title":"Nucleic acids research","id":"ITEM-2","issue":"D1","issued":{"date-parts":[["2018","1","4"]]},"page":"D661-D667","publisher":"Oxford University Press","title":"WikiPathways: a multifaceted pathway database bridging metabolomics to other omics research.","type":"article-journal","volume":"46"},"uris":["http://www.mendeley.com/documents/?uuid=19864f62-6fea-3d57-ad15-298baeb7ece7"]}],"mendeley":{"formattedCitation":"&lt;sup&gt;72,73&lt;/sup&gt;","plainTextFormattedCitation":"72,73","previouslyFormattedCitation":"&lt;sup&gt;72,73&lt;/sup&gt;"},"properties":{"noteIndex":0},"schema":"https://github.com/citation-style-language/schema/raw/master/csl-citation.json"}</w:instrText>
      </w:r>
      <w:r w:rsidR="00C92239" w:rsidRPr="0082680A">
        <w:rPr>
          <w:lang w:val="en-GB"/>
        </w:rPr>
        <w:fldChar w:fldCharType="separate"/>
      </w:r>
      <w:r w:rsidR="00426B19" w:rsidRPr="00426B19">
        <w:rPr>
          <w:noProof/>
          <w:vertAlign w:val="superscript"/>
          <w:lang w:val="en-GB"/>
        </w:rPr>
        <w:t>72,73</w:t>
      </w:r>
      <w:r w:rsidR="00C92239" w:rsidRPr="0082680A">
        <w:rPr>
          <w:lang w:val="en-GB"/>
        </w:rPr>
        <w:fldChar w:fldCharType="end"/>
      </w:r>
      <w:r w:rsidRPr="0082680A">
        <w:rPr>
          <w:lang w:val="en-GB"/>
        </w:rPr>
        <w:t xml:space="preserve">. </w:t>
      </w:r>
      <w:r w:rsidR="00C92239" w:rsidRPr="0082680A">
        <w:rPr>
          <w:lang w:val="en-GB"/>
        </w:rPr>
        <w:t>Hierarchical</w:t>
      </w:r>
      <w:r w:rsidRPr="0082680A">
        <w:rPr>
          <w:lang w:val="en-GB"/>
        </w:rPr>
        <w:t xml:space="preserve"> pathway databases are structured so that parent gene sets can be divided into subsets representing more specific biological processes. One example of a hierarchical pathway database is Reactome (</w:t>
      </w:r>
      <w:hyperlink r:id="rId35" w:history="1">
        <w:r w:rsidR="00B958C5" w:rsidRPr="0082680A">
          <w:rPr>
            <w:rStyle w:val="Hyperlink"/>
            <w:lang w:val="en-GB"/>
          </w:rPr>
          <w:t>https://reactome.org/</w:t>
        </w:r>
      </w:hyperlink>
      <w:r w:rsidRPr="0082680A">
        <w:rPr>
          <w:lang w:val="en-GB"/>
        </w:rPr>
        <w:t>)</w:t>
      </w:r>
      <w:r w:rsidR="00B958C5" w:rsidRPr="0082680A">
        <w:rPr>
          <w:lang w:val="en-GB"/>
        </w:rPr>
        <w:t xml:space="preserve"> </w:t>
      </w:r>
      <w:r w:rsidR="00C92239" w:rsidRPr="0082680A">
        <w:rPr>
          <w:lang w:val="en-GB"/>
        </w:rPr>
        <w:fldChar w:fldCharType="begin" w:fldLock="1"/>
      </w:r>
      <w:r w:rsidR="000507BA">
        <w:rPr>
          <w:lang w:val="en-GB"/>
        </w:rPr>
        <w:instrText>ADDIN CSL_CITATION {"citationItems":[{"id":"ITEM-1","itemData":{"DOI":"10.1093/nar/gkx1132","ISSN":"0305-1048","PMID":"29145629","abstract":"The Reactome Knowledgebase (https://reactome.org) provides molecular details of signal transduction, transport, DNA replication, metabolism, and other cellular processes as an ordered network of molecular transformations-an extended version of a classic metabolic map, in a single consistent data model. Reactome functions both as an archive of biological processes and as a tool for discovering unexpected functional relationships in data such as gene expression profiles or somatic mutation catalogues from tumor cells. To support the continued brisk growth in the size and complexity of Reactome, we have implemented a graph database, improved performance of data analysis tools, and designed new data structures and strategies to boost diagram viewer performance. To make our website more accessible to human users, we have improved pathway display and navigation by implementing interactive Enhanced High Level Diagrams (EHLDs) with an associated icon library, and subpathway highlighting and zooming, in a simplified and reorganized web site with adaptive design. To encourage re-use of our content, we have enabled export of pathway diagrams as 'PowerPoint' files.","author":[{"dropping-particle":"","family":"Fabregat","given":"Antonio","non-dropping-particle":"","parse-names":false,"suffix":""},{"dropping-particle":"","family":"Jupe","given":"Steven","non-dropping-particle":"","parse-names":false,"suffix":""},{"dropping-particle":"","family":"Matthews","given":"Lisa","non-dropping-particle":"","parse-names":false,"suffix":""},{"dropping-particle":"","family":"Sidiropoulos","given":"Konstantinos","non-dropping-particle":"","parse-names":false,"suffix":""},{"dropping-particle":"","family":"Gillespie","given":"Marc","non-dropping-particle":"","parse-names":false,"suffix":""},{"dropping-particle":"","family":"Garapati","given":"Phani","non-dropping-particle":"","parse-names":false,"suffix":""},{"dropping-particle":"","family":"Haw","given":"Robin","non-dropping-particle":"","parse-names":false,"suffix":""},{"dropping-particle":"","family":"Jassal","given":"Bijay","non-dropping-particle":"","parse-names":false,"suffix":""},{"dropping-particle":"","family":"Korninger","given":"Florian","non-dropping-particle":"","parse-names":false,"suffix":""},{"dropping-particle":"","family":"May","given":"Bruce","non-dropping-particle":"","parse-names":false,"suffix":""},{"dropping-particle":"","family":"Milacic","given":"Marija","non-dropping-particle":"","parse-names":false,"suffix":""},{"dropping-particle":"","family":"Roca","given":"Corina Duenas","non-dropping-particle":"","parse-names":false,"suffix":""},{"dropping-particle":"","family":"Rothfels","given":"Karen","non-dropping-particle":"","parse-names":false,"suffix":""},{"dropping-particle":"","family":"Sevilla","given":"Cristoffer","non-dropping-particle":"","parse-names":false,"suffix":""},{"dropping-particle":"","family":"Shamovsky","given":"Veronica","non-dropping-particle":"","parse-names":false,"suffix":""},{"dropping-particle":"","family":"Shorser","given":"Solomon","non-dropping-particle":"","parse-names":false,"suffix":""},{"dropping-particle":"","family":"Varusai","given":"Thawfeek","non-dropping-particle":"","parse-names":false,"suffix":""},{"dropping-particle":"","family":"Viteri","given":"Guilherme","non-dropping-particle":"","parse-names":false,"suffix":""},{"dropping-particle":"","family":"Weiser","given":"Joel","non-dropping-particle":"","parse-names":false,"suffix":""},{"dropping-particle":"","family":"Wu","given":"Guanming","non-dropping-particle":"","parse-names":false,"suffix":""},{"dropping-particle":"","family":"Stein","given":"Lincoln","non-dropping-particle":"","parse-names":false,"suffix":""},{"dropping-particle":"","family":"Hermjakob","given":"Henning","non-dropping-particle":"","parse-names":false,"suffix":""},{"dropping-particle":"","family":"D’Eustachio","given":"Peter","non-dropping-particle":"","parse-names":false,"suffix":""}],"container-title":"Nucleic Acids Research","id":"ITEM-1","issue":"D1","issued":{"date-parts":[["2018","1","4"]]},"page":"D649-D655","title":"The Reactome Pathway Knowledgebase","type":"article-journal","volume":"46"},"uris":["http://www.mendeley.com/documents/?uuid=fe97d41c-4384-3a5f-8bea-ab8192e09283"]}],"mendeley":{"formattedCitation":"&lt;sup&gt;74&lt;/sup&gt;","plainTextFormattedCitation":"74","previouslyFormattedCitation":"&lt;sup&gt;74&lt;/sup&gt;"},"properties":{"noteIndex":0},"schema":"https://github.com/citation-style-language/schema/raw/master/csl-citation.json"}</w:instrText>
      </w:r>
      <w:r w:rsidR="00C92239" w:rsidRPr="0082680A">
        <w:rPr>
          <w:lang w:val="en-GB"/>
        </w:rPr>
        <w:fldChar w:fldCharType="separate"/>
      </w:r>
      <w:r w:rsidR="00426B19" w:rsidRPr="00426B19">
        <w:rPr>
          <w:noProof/>
          <w:vertAlign w:val="superscript"/>
          <w:lang w:val="en-GB"/>
        </w:rPr>
        <w:t>74</w:t>
      </w:r>
      <w:r w:rsidR="00C92239" w:rsidRPr="0082680A">
        <w:rPr>
          <w:lang w:val="en-GB"/>
        </w:rPr>
        <w:fldChar w:fldCharType="end"/>
      </w:r>
      <w:r w:rsidRPr="0082680A">
        <w:rPr>
          <w:lang w:val="en-GB"/>
        </w:rPr>
        <w:t xml:space="preserve">. The pathways in Reactome are split into families, or “pathway bursts” which contain a parent pathway split into multiple levels of child sub-pathways. The Gene Ontology (GO) Consortium created a database </w:t>
      </w:r>
      <w:r w:rsidR="00BC315B" w:rsidRPr="0082680A">
        <w:rPr>
          <w:lang w:val="en-GB"/>
        </w:rPr>
        <w:t xml:space="preserve">of terms </w:t>
      </w:r>
      <w:r w:rsidRPr="0082680A">
        <w:rPr>
          <w:lang w:val="en-GB"/>
        </w:rPr>
        <w:t>which also has a graphical structure, however any child pathway may have multiple parents. GO divides biological concepts into three hierarchies - Biological Processes, Molecular Functions, and Cellular Components (</w:t>
      </w:r>
      <w:hyperlink r:id="rId36" w:history="1">
        <w:r w:rsidR="00B958C5" w:rsidRPr="0082680A">
          <w:rPr>
            <w:rStyle w:val="Hyperlink"/>
            <w:lang w:val="en-GB"/>
          </w:rPr>
          <w:t>http://www.geneontology.org/</w:t>
        </w:r>
      </w:hyperlink>
      <w:r w:rsidRPr="0082680A">
        <w:rPr>
          <w:lang w:val="en-GB"/>
        </w:rPr>
        <w:t>)</w:t>
      </w:r>
      <w:r w:rsidR="00B958C5" w:rsidRPr="0082680A">
        <w:rPr>
          <w:lang w:val="en-GB"/>
        </w:rPr>
        <w:t xml:space="preserve"> </w:t>
      </w:r>
      <w:r w:rsidR="00C92239" w:rsidRPr="0082680A">
        <w:rPr>
          <w:lang w:val="en-GB"/>
        </w:rPr>
        <w:fldChar w:fldCharType="begin" w:fldLock="1"/>
      </w:r>
      <w:r w:rsidR="000507BA">
        <w:rPr>
          <w:lang w:val="en-GB"/>
        </w:rPr>
        <w:instrText>ADDIN CSL_CITATION {"citationItems":[{"id":"ITEM-1","itemData":{"DOI":"10.1038/75556","ISSN":"1061-4036","PMID":"10802651","author":[{"dropping-particle":"","family":"Ashburner","given":"Michael","non-dropping-particle":"","parse-names":false,"suffix":""},{"dropping-particle":"","family":"Ball","given":"Catherine A.","non-dropping-particle":"","parse-names":false,"suffix":""},{"dropping-particle":"","family":"Blake","given":"Judith A.","non-dropping-particle":"","parse-names":false,"suffix":""},{"dropping-particle":"","family":"Botstein","given":"David","non-dropping-particle":"","parse-names":false,"suffix":""},{"dropping-particle":"","family":"Butler","given":"Heather","non-dropping-particle":"","parse-names":false,"suffix":""},{"dropping-particle":"","family":"Cherry","given":"J. Michael","non-dropping-particle":"","parse-names":false,"suffix":""},{"dropping-particle":"","family":"Davis","given":"Allan P.","non-dropping-particle":"","parse-names":false,"suffix":""},{"dropping-particle":"","family":"Dolinski","given":"Kara","non-dropping-particle":"","parse-names":false,"suffix":""},{"dropping-particle":"","family":"Dwight","given":"Selina S.","non-dropping-particle":"","parse-names":false,"suffix":""},{"dropping-particle":"","family":"Eppig","given":"Janan T.","non-dropping-particle":"","parse-names":false,"suffix":""},{"dropping-particle":"","family":"Harris","given":"Midori A.","non-dropping-particle":"","parse-names":false,"suffix":""},{"dropping-particle":"","family":"Hill","given":"David P.","non-dropping-particle":"","parse-names":false,"suffix":""},{"dropping-particle":"","family":"Issel-Tarver","given":"Laurie","non-dropping-particle":"","parse-names":false,"suffix":""},{"dropping-particle":"","family":"Kasarskis","given":"Andrew","non-dropping-particle":"","parse-names":false,"suffix":""},{"dropping-particle":"","family":"Lewis","given":"Suzanna","non-dropping-particle":"","parse-names":false,"suffix":""},{"dropping-particle":"","family":"Matese","given":"John C.","non-dropping-particle":"","parse-names":false,"suffix":""},{"dropping-particle":"","family":"Richardson","given":"Joel E.","non-dropping-particle":"","parse-names":false,"suffix":""},{"dropping-particle":"","family":"Ringwald","given":"Martin","non-dropping-particle":"","parse-names":false,"suffix":""},{"dropping-particle":"","family":"Rubin","given":"Gerald M.","non-dropping-particle":"","parse-names":false,"suffix":""},{"dropping-particle":"","family":"Sherlock","given":"Gavin","non-dropping-particle":"","parse-names":false,"suffix":""}],"container-title":"Nature Genetics","id":"ITEM-1","issue":"1","issued":{"date-parts":[["2000","5"]]},"page":"25-29","title":"Gene Ontology: tool for the unification of biology","type":"article-journal","volume":"25"},"uris":["http://www.mendeley.com/documents/?uuid=527e8162-2573-3537-8a7d-f7321de1e3c5"]},{"id":"ITEM-2","itemData":{"DOI":"10.1093/nar/gkw1108","ISSN":"0305-1048","PMID":"27899567","abstract":"The Gene Ontology (GO) is a comprehensive resource of computable knowledge regarding the functions of genes and gene products. As such, it is extensively used by the biomedical research community for the analysis of -omics and related data. Our continued focus is on improving the quality and utility of the GO resources, and we welcome and encourage input from researchers in all areas of biology. In this update, we summarize the current contents of the GO knowledgebase, and present several new features and improvements that have been made to the ontology, the annotations and the tools. Among the highlights are 1) developments that facilitate access to, and application of, the GO knowledgebase, and 2) extensions to the resource as well as increasing support for descriptions of causal models of biological systems and network biology. To learn more, visit http://geneontology.org/.","author":[{"dropping-particle":"","family":"The Gene Ontology Consortium","given":"","non-dropping-particle":"","parse-names":false,"suffix":""}],"container-title":"Nucleic Acids Research","id":"ITEM-2","issue":"D1","issued":{"date-parts":[["2017","1","4"]]},"page":"D331-D338","title":"Expansion of the Gene Ontology knowledgebase and resources","type":"article-journal","volume":"45"},"uris":["http://www.mendeley.com/documents/?uuid=fc0797d8-f0db-3a14-987d-a7faafe01c4a"]}],"mendeley":{"formattedCitation":"&lt;sup&gt;75,76&lt;/sup&gt;","plainTextFormattedCitation":"75,76","previouslyFormattedCitation":"&lt;sup&gt;75,76&lt;/sup&gt;"},"properties":{"noteIndex":0},"schema":"https://github.com/citation-style-language/schema/raw/master/csl-citation.json"}</w:instrText>
      </w:r>
      <w:r w:rsidR="00C92239" w:rsidRPr="0082680A">
        <w:rPr>
          <w:lang w:val="en-GB"/>
        </w:rPr>
        <w:fldChar w:fldCharType="separate"/>
      </w:r>
      <w:r w:rsidR="00426B19" w:rsidRPr="00426B19">
        <w:rPr>
          <w:noProof/>
          <w:vertAlign w:val="superscript"/>
          <w:lang w:val="en-GB"/>
        </w:rPr>
        <w:t>75,76</w:t>
      </w:r>
      <w:r w:rsidR="00C92239" w:rsidRPr="0082680A">
        <w:rPr>
          <w:lang w:val="en-GB"/>
        </w:rPr>
        <w:fldChar w:fldCharType="end"/>
      </w:r>
      <w:r w:rsidRPr="0082680A">
        <w:rPr>
          <w:lang w:val="en-GB"/>
        </w:rPr>
        <w:t xml:space="preserve">. </w:t>
      </w:r>
    </w:p>
    <w:p w14:paraId="6C410663" w14:textId="0E030EF6" w:rsidR="00DD630F" w:rsidRPr="0082680A" w:rsidRDefault="00F44FAF">
      <w:pPr>
        <w:contextualSpacing w:val="0"/>
        <w:rPr>
          <w:lang w:val="en-GB"/>
        </w:rPr>
      </w:pPr>
      <w:r w:rsidRPr="0082680A">
        <w:rPr>
          <w:lang w:val="en-GB"/>
        </w:rPr>
        <w:t>Individual pathway databases do have their biases, however. The annotation of a pathway is heavily dependent on the annotator</w:t>
      </w:r>
      <w:r w:rsidR="00C92239" w:rsidRPr="0082680A">
        <w:rPr>
          <w:lang w:val="en-GB"/>
        </w:rPr>
        <w:t xml:space="preserve"> - which may </w:t>
      </w:r>
      <w:r w:rsidRPr="0082680A">
        <w:rPr>
          <w:lang w:val="en-GB"/>
        </w:rPr>
        <w:t xml:space="preserve">not be human. For example, over 95% of GO terms have been computationally derived, and have not been curated manually </w:t>
      </w:r>
      <w:r w:rsidR="006A6AE8" w:rsidRPr="0082680A">
        <w:rPr>
          <w:lang w:val="en-GB"/>
        </w:rPr>
        <w:fldChar w:fldCharType="begin" w:fldLock="1"/>
      </w:r>
      <w:r w:rsidR="000507BA">
        <w:rPr>
          <w:lang w:val="en-GB"/>
        </w:rPr>
        <w:instrText>ADDIN CSL_CITATION {"citationItems":[{"id":"ITEM-1","itemData":{"DOI":"10.1038/nrg2363","ISBN":"1471-0064 (Electronic)\\r1471-0056 (Linking)","ISSN":"14710056","PMID":"18475267","abstract":"The Gene Ontology (GO) project is a collaboration among model organism databases to describe gene products from all organisms using a consistent and computable language. GO produces sets of explicitly defined, structured vocabularies that describe biological processes, molecular functions and cellular components of gene products in both a computer- and human-readable manner. Here we describe key aspects of GO, which, when overlooked, can cause erroneous results, and address how these pitfalls can be avoided.","author":[{"dropping-particle":"","family":"Yon Rhee","given":"Seung","non-dropping-particle":"","parse-names":false,"suffix":""},{"dropping-particle":"","family":"Wood","given":"Valerie","non-dropping-particle":"","parse-names":false,"suffix":""},{"dropping-particle":"","family":"Dolinski","given":"Kara","non-dropping-particle":"","parse-names":false,"suffix":""},{"dropping-particle":"","family":"Draghici","given":"Sorin","non-dropping-particle":"","parse-names":false,"suffix":""}],"container-title":"Nature Reviews Genetics","id":"ITEM-1","issued":{"date-parts":[["2008"]]},"title":"Use and misuse of the gene ontology annotations","type":"article"},"uris":["http://www.mendeley.com/documents/?uuid=6b219fd3-547a-3a73-8775-fc5e8009164d"]}],"mendeley":{"formattedCitation":"&lt;sup&gt;77&lt;/sup&gt;","plainTextFormattedCitation":"77","previouslyFormattedCitation":"&lt;sup&gt;77&lt;/sup&gt;"},"properties":{"noteIndex":0},"schema":"https://github.com/citation-style-language/schema/raw/master/csl-citation.json"}</w:instrText>
      </w:r>
      <w:r w:rsidR="006A6AE8" w:rsidRPr="0082680A">
        <w:rPr>
          <w:lang w:val="en-GB"/>
        </w:rPr>
        <w:fldChar w:fldCharType="separate"/>
      </w:r>
      <w:r w:rsidR="00426B19" w:rsidRPr="00426B19">
        <w:rPr>
          <w:noProof/>
          <w:vertAlign w:val="superscript"/>
          <w:lang w:val="en-GB"/>
        </w:rPr>
        <w:t>77</w:t>
      </w:r>
      <w:r w:rsidR="006A6AE8" w:rsidRPr="0082680A">
        <w:rPr>
          <w:lang w:val="en-GB"/>
        </w:rPr>
        <w:fldChar w:fldCharType="end"/>
      </w:r>
      <w:r w:rsidRPr="0082680A">
        <w:rPr>
          <w:lang w:val="en-GB"/>
        </w:rPr>
        <w:t xml:space="preserve">. Additionally, some pathways housed within pathway databases are not strictly pathways; GO Cellular Components refer to the localisation of a gene’s expression, and KEGG disease ‘pathways’, such as “Alzheimer’s Disease” or “Pancreatic Cancer” consist of genes implicated in in a disease state. In summary, pathway curation is heavily dependent on the methodology by which it is curated; boundaries must be set between lists of genes, and we do not always agree where those boundaries should lie. </w:t>
      </w:r>
    </w:p>
    <w:p w14:paraId="159EF03D" w14:textId="5B962005" w:rsidR="00DD630F" w:rsidRPr="0082680A" w:rsidRDefault="00F44FAF">
      <w:pPr>
        <w:contextualSpacing w:val="0"/>
        <w:rPr>
          <w:lang w:val="en-GB"/>
        </w:rPr>
      </w:pPr>
      <w:r w:rsidRPr="0082680A">
        <w:rPr>
          <w:lang w:val="en-GB"/>
        </w:rPr>
        <w:lastRenderedPageBreak/>
        <w:t xml:space="preserve">As well as enrichment, pathway analysis can also include more advanced and intricate methodologies. In the R package </w:t>
      </w:r>
      <w:r w:rsidRPr="0082680A">
        <w:rPr>
          <w:i/>
          <w:lang w:val="en-GB"/>
        </w:rPr>
        <w:t>Pathprint</w:t>
      </w:r>
      <w:r w:rsidRPr="0082680A">
        <w:rPr>
          <w:lang w:val="en-GB"/>
        </w:rPr>
        <w:t xml:space="preserve">, pathways can undergo their own version of differential expression analysis, summing over the genes within a pathway to generate a differential activity statistic, producing a list of differentially activated pathways </w:t>
      </w:r>
      <w:r w:rsidR="006A6AE8" w:rsidRPr="0082680A">
        <w:rPr>
          <w:lang w:val="en-GB"/>
        </w:rPr>
        <w:fldChar w:fldCharType="begin" w:fldLock="1"/>
      </w:r>
      <w:r w:rsidR="000507BA">
        <w:rPr>
          <w:lang w:val="en-GB"/>
        </w:rPr>
        <w:instrText>ADDIN CSL_CITATION {"citationItems":[{"id":"ITEM-1","itemData":{"DOI":"10.1186/gm472","ISSN":"1756-994X","PMID":"23890051","abstract":"New strategies to combat complex human disease require systems approaches to biology that integrate experiments from cell lines, primary tissues and model organisms. We have developed Pathprint, a functional approach that compares gene expression profiles in a set of pathways, networks and transcriptionally regulated targets. It can be applied universally to gene expression profiles across species. Integration of large-scale profiling methods and curation of the public repository overcomes platform, species and batch effects to yield a standard measure of functional distance between experiments. We show that pathprints combine mouse and human blood developmental lineage, and can be used to identify new prognostic indicators in acute myeloid leukemia. The code and resources are available at http://compbio.sph.harvard.edu/hidelab/pathprint.","author":[{"dropping-particle":"","family":"Altschuler","given":"Gabriel M","non-dropping-particle":"","parse-names":false,"suffix":""},{"dropping-particle":"","family":"Hofmann","given":"Oliver","non-dropping-particle":"","parse-names":false,"suffix":""},{"dropping-particle":"","family":"Kalatskaya","given":"Irina","non-dropping-particle":"","parse-names":false,"suffix":""},{"dropping-particle":"","family":"Payne","given":"Rebecca","non-dropping-particle":"","parse-names":false,"suffix":""},{"dropping-particle":"","family":"Ho Sui","given":"Shannan J","non-dropping-particle":"","parse-names":false,"suffix":""},{"dropping-particle":"","family":"Saxena","given":"Uma","non-dropping-particle":"","parse-names":false,"suffix":""},{"dropping-particle":"V","family":"Krivtsov","given":"Andrei","non-dropping-particle":"","parse-names":false,"suffix":""},{"dropping-particle":"","family":"Armstrong","given":"Scott A","non-dropping-particle":"","parse-names":false,"suffix":""},{"dropping-particle":"","family":"Cai","given":"Tianxi","non-dropping-particle":"","parse-names":false,"suffix":""},{"dropping-particle":"","family":"Stein","given":"Lincoln","non-dropping-particle":"","parse-names":false,"suffix":""},{"dropping-particle":"","family":"Hide","given":"Winston A","non-dropping-particle":"","parse-names":false,"suffix":""}],"container-title":"Genome medicine","id":"ITEM-1","issue":"7","issued":{"date-parts":[["2013","1"]]},"language":"en","page":"68","publisher":"BioMed Central","title":"Pathprinting: An integrative approach to understand the functional basis of disease.","type":"article-journal","volume":"5"},"uris":["http://www.mendeley.com/documents/?uuid=24e24f94-66dc-44e8-8ef8-244eca5e9d41"]}],"mendeley":{"formattedCitation":"&lt;sup&gt;78&lt;/sup&gt;","plainTextFormattedCitation":"78","previouslyFormattedCitation":"&lt;sup&gt;78&lt;/sup&gt;"},"properties":{"noteIndex":0},"schema":"https://github.com/citation-style-language/schema/raw/master/csl-citation.json"}</w:instrText>
      </w:r>
      <w:r w:rsidR="006A6AE8" w:rsidRPr="0082680A">
        <w:rPr>
          <w:lang w:val="en-GB"/>
        </w:rPr>
        <w:fldChar w:fldCharType="separate"/>
      </w:r>
      <w:r w:rsidR="00426B19" w:rsidRPr="00426B19">
        <w:rPr>
          <w:noProof/>
          <w:vertAlign w:val="superscript"/>
          <w:lang w:val="en-GB"/>
        </w:rPr>
        <w:t>78</w:t>
      </w:r>
      <w:r w:rsidR="006A6AE8" w:rsidRPr="0082680A">
        <w:rPr>
          <w:lang w:val="en-GB"/>
        </w:rPr>
        <w:fldChar w:fldCharType="end"/>
      </w:r>
      <w:r w:rsidRPr="0082680A">
        <w:rPr>
          <w:lang w:val="en-GB"/>
        </w:rPr>
        <w:t xml:space="preserve">. As well as gene or protein membership, pathway analysis can take into account the relationships between those genes or proteins. Gene expression or regulatory data can be </w:t>
      </w:r>
      <w:r w:rsidR="00F74859" w:rsidRPr="0082680A">
        <w:rPr>
          <w:lang w:val="en-GB"/>
        </w:rPr>
        <w:t>overlaid</w:t>
      </w:r>
      <w:r w:rsidRPr="0082680A">
        <w:rPr>
          <w:lang w:val="en-GB"/>
        </w:rPr>
        <w:t xml:space="preserve"> onto an </w:t>
      </w:r>
      <w:r w:rsidR="00F74859" w:rsidRPr="0082680A">
        <w:rPr>
          <w:lang w:val="en-GB"/>
        </w:rPr>
        <w:t>existing pathway</w:t>
      </w:r>
      <w:r w:rsidRPr="0082680A">
        <w:rPr>
          <w:lang w:val="en-GB"/>
        </w:rPr>
        <w:t>, allowing the user to investigate both the effect of alterations on the pathway</w:t>
      </w:r>
      <w:r w:rsidR="00C92239" w:rsidRPr="0082680A">
        <w:rPr>
          <w:lang w:val="en-GB"/>
        </w:rPr>
        <w:t xml:space="preserve"> itself</w:t>
      </w:r>
      <w:r w:rsidRPr="0082680A">
        <w:rPr>
          <w:lang w:val="en-GB"/>
        </w:rPr>
        <w:t xml:space="preserve">, and the </w:t>
      </w:r>
      <w:r w:rsidR="00C92239" w:rsidRPr="0082680A">
        <w:rPr>
          <w:lang w:val="en-GB"/>
        </w:rPr>
        <w:t>resulting effect on</w:t>
      </w:r>
      <w:r w:rsidRPr="0082680A">
        <w:rPr>
          <w:lang w:val="en-GB"/>
        </w:rPr>
        <w:t xml:space="preserve"> other pathways. </w:t>
      </w:r>
      <w:r w:rsidR="0050523A" w:rsidRPr="0082680A">
        <w:rPr>
          <w:lang w:val="en-GB"/>
        </w:rPr>
        <w:t>Such an</w:t>
      </w:r>
      <w:r w:rsidRPr="0082680A">
        <w:rPr>
          <w:lang w:val="en-GB"/>
        </w:rPr>
        <w:t xml:space="preserve"> approach aids in identifying core regulators or influencers on a given pathway, and therefore represent targets of interest for chemical intervention.</w:t>
      </w:r>
    </w:p>
    <w:p w14:paraId="0D7319C6" w14:textId="3A6B0D88" w:rsidR="00DD630F" w:rsidRPr="00691215" w:rsidRDefault="005C4E13" w:rsidP="00691215">
      <w:pPr>
        <w:pStyle w:val="Heading3"/>
      </w:pPr>
      <w:bookmarkStart w:id="27" w:name="_Toc3211318"/>
      <w:r w:rsidRPr="00691215">
        <w:t>Mapping I</w:t>
      </w:r>
      <w:r w:rsidR="00391A44" w:rsidRPr="00691215">
        <w:t>nteraction</w:t>
      </w:r>
      <w:r w:rsidRPr="00691215">
        <w:t>s</w:t>
      </w:r>
      <w:r w:rsidR="00391A44" w:rsidRPr="00691215">
        <w:t xml:space="preserve"> across </w:t>
      </w:r>
      <w:r w:rsidRPr="00691215">
        <w:t>N</w:t>
      </w:r>
      <w:r w:rsidR="00391A44" w:rsidRPr="00691215">
        <w:t>etworks</w:t>
      </w:r>
      <w:bookmarkEnd w:id="27"/>
    </w:p>
    <w:p w14:paraId="13B06A98" w14:textId="104525DC" w:rsidR="00DD630F" w:rsidRPr="0082680A" w:rsidRDefault="00F44FAF">
      <w:pPr>
        <w:contextualSpacing w:val="0"/>
        <w:rPr>
          <w:lang w:val="en-GB"/>
        </w:rPr>
      </w:pPr>
      <w:r w:rsidRPr="0082680A">
        <w:rPr>
          <w:lang w:val="en-GB"/>
        </w:rPr>
        <w:t xml:space="preserve">Pathway databases such as KEGG and Wikipathways </w:t>
      </w:r>
      <w:r w:rsidR="004E5B07" w:rsidRPr="0082680A">
        <w:rPr>
          <w:lang w:val="en-GB"/>
        </w:rPr>
        <w:t>often</w:t>
      </w:r>
      <w:r w:rsidRPr="0082680A">
        <w:rPr>
          <w:lang w:val="en-GB"/>
        </w:rPr>
        <w:t xml:space="preserve"> represent pathways as networks, illustrating the complementarity of pathway and network analysis. Network analysis encapsulates the study of relationships between </w:t>
      </w:r>
      <w:r w:rsidR="008B0A81" w:rsidRPr="0082680A">
        <w:rPr>
          <w:lang w:val="en-GB"/>
        </w:rPr>
        <w:t>objects</w:t>
      </w:r>
      <w:r w:rsidRPr="0082680A">
        <w:rPr>
          <w:lang w:val="en-GB"/>
        </w:rPr>
        <w:t xml:space="preserve">. In medicine, these </w:t>
      </w:r>
      <w:r w:rsidR="008B0A81" w:rsidRPr="0082680A">
        <w:rPr>
          <w:lang w:val="en-GB"/>
        </w:rPr>
        <w:t xml:space="preserve">objects </w:t>
      </w:r>
      <w:r w:rsidRPr="0082680A">
        <w:rPr>
          <w:lang w:val="en-GB"/>
        </w:rPr>
        <w:t xml:space="preserve">are </w:t>
      </w:r>
      <w:r w:rsidR="008B0A81" w:rsidRPr="0082680A">
        <w:rPr>
          <w:lang w:val="en-GB"/>
        </w:rPr>
        <w:t>generally</w:t>
      </w:r>
      <w:r w:rsidRPr="0082680A">
        <w:rPr>
          <w:lang w:val="en-GB"/>
        </w:rPr>
        <w:t xml:space="preserve"> molecular - genes, proteins, RNAs, </w:t>
      </w:r>
      <w:r w:rsidR="008B0A81" w:rsidRPr="0082680A">
        <w:rPr>
          <w:lang w:val="en-GB"/>
        </w:rPr>
        <w:t xml:space="preserve">compounds, </w:t>
      </w:r>
      <w:r w:rsidRPr="0082680A">
        <w:rPr>
          <w:lang w:val="en-GB"/>
        </w:rPr>
        <w:t>and so forth. In reality</w:t>
      </w:r>
      <w:r w:rsidR="008B0A81" w:rsidRPr="0082680A">
        <w:rPr>
          <w:lang w:val="en-GB"/>
        </w:rPr>
        <w:t>,</w:t>
      </w:r>
      <w:r w:rsidRPr="0082680A">
        <w:rPr>
          <w:lang w:val="en-GB"/>
        </w:rPr>
        <w:t xml:space="preserve"> </w:t>
      </w:r>
      <w:r w:rsidR="008B0A81" w:rsidRPr="0082680A">
        <w:rPr>
          <w:lang w:val="en-GB"/>
        </w:rPr>
        <w:t xml:space="preserve">objects in a </w:t>
      </w:r>
      <w:r w:rsidRPr="0082680A">
        <w:rPr>
          <w:lang w:val="en-GB"/>
        </w:rPr>
        <w:t xml:space="preserve">network </w:t>
      </w:r>
      <w:r w:rsidR="008B0A81" w:rsidRPr="0082680A">
        <w:rPr>
          <w:lang w:val="en-GB"/>
        </w:rPr>
        <w:t>-</w:t>
      </w:r>
      <w:r w:rsidRPr="0082680A">
        <w:rPr>
          <w:lang w:val="en-GB"/>
        </w:rPr>
        <w:t xml:space="preserve"> called </w:t>
      </w:r>
      <w:r w:rsidRPr="0082680A">
        <w:rPr>
          <w:i/>
          <w:lang w:val="en-GB"/>
        </w:rPr>
        <w:t>nodes</w:t>
      </w:r>
      <w:r w:rsidR="008B0A81" w:rsidRPr="0082680A">
        <w:rPr>
          <w:lang w:val="en-GB"/>
        </w:rPr>
        <w:t xml:space="preserve"> - can represent anything;</w:t>
      </w:r>
      <w:r w:rsidRPr="0082680A">
        <w:rPr>
          <w:lang w:val="en-GB"/>
        </w:rPr>
        <w:t xml:space="preserve"> social networks nodes are people, and the nodes</w:t>
      </w:r>
      <w:r w:rsidR="008B0A81" w:rsidRPr="0082680A">
        <w:rPr>
          <w:lang w:val="en-GB"/>
        </w:rPr>
        <w:t xml:space="preserve"> of the internet</w:t>
      </w:r>
      <w:r w:rsidRPr="0082680A">
        <w:rPr>
          <w:lang w:val="en-GB"/>
        </w:rPr>
        <w:t xml:space="preserve"> are computers. The </w:t>
      </w:r>
      <w:r w:rsidR="008B0A81" w:rsidRPr="0082680A">
        <w:rPr>
          <w:lang w:val="en-GB"/>
        </w:rPr>
        <w:t>relationships</w:t>
      </w:r>
      <w:r w:rsidRPr="0082680A">
        <w:rPr>
          <w:lang w:val="en-GB"/>
        </w:rPr>
        <w:t xml:space="preserve"> connecting nodes, called </w:t>
      </w:r>
      <w:r w:rsidRPr="0082680A">
        <w:rPr>
          <w:i/>
          <w:lang w:val="en-GB"/>
        </w:rPr>
        <w:t>edges</w:t>
      </w:r>
      <w:r w:rsidRPr="0082680A">
        <w:rPr>
          <w:lang w:val="en-GB"/>
        </w:rPr>
        <w:t>, can represent any type of relationship</w:t>
      </w:r>
      <w:r w:rsidR="008B0A81" w:rsidRPr="0082680A">
        <w:rPr>
          <w:lang w:val="en-GB"/>
        </w:rPr>
        <w:t>, providing infinite dimensionality to a network</w:t>
      </w:r>
      <w:r w:rsidRPr="0082680A">
        <w:rPr>
          <w:lang w:val="en-GB"/>
        </w:rPr>
        <w:t xml:space="preserve">. </w:t>
      </w:r>
      <w:r w:rsidR="004E5B07" w:rsidRPr="0082680A">
        <w:rPr>
          <w:lang w:val="en-GB"/>
        </w:rPr>
        <w:t xml:space="preserve">The value in building a </w:t>
      </w:r>
      <w:r w:rsidR="00C61ED8" w:rsidRPr="0082680A">
        <w:rPr>
          <w:lang w:val="en-GB"/>
        </w:rPr>
        <w:t>signature</w:t>
      </w:r>
      <w:r w:rsidR="004E5B07" w:rsidRPr="0082680A">
        <w:rPr>
          <w:lang w:val="en-GB"/>
        </w:rPr>
        <w:t xml:space="preserve"> using networks is that by including the functional relationships of </w:t>
      </w:r>
      <w:r w:rsidR="008B0A81" w:rsidRPr="0082680A">
        <w:rPr>
          <w:lang w:val="en-GB"/>
        </w:rPr>
        <w:t>the</w:t>
      </w:r>
      <w:r w:rsidR="004E5B07" w:rsidRPr="0082680A">
        <w:rPr>
          <w:lang w:val="en-GB"/>
        </w:rPr>
        <w:t xml:space="preserve"> members </w:t>
      </w:r>
      <w:r w:rsidR="008B0A81" w:rsidRPr="0082680A">
        <w:rPr>
          <w:lang w:val="en-GB"/>
        </w:rPr>
        <w:t xml:space="preserve">we are providing </w:t>
      </w:r>
      <w:r w:rsidR="00C61ED8" w:rsidRPr="0082680A">
        <w:rPr>
          <w:lang w:val="en-GB"/>
        </w:rPr>
        <w:t>additional</w:t>
      </w:r>
      <w:r w:rsidR="008B0A81" w:rsidRPr="0082680A">
        <w:rPr>
          <w:lang w:val="en-GB"/>
        </w:rPr>
        <w:t xml:space="preserve"> layers of information that are impossible to represent in a simple list.</w:t>
      </w:r>
      <w:r w:rsidR="00C61ED8" w:rsidRPr="0082680A">
        <w:rPr>
          <w:lang w:val="en-GB"/>
        </w:rPr>
        <w:t xml:space="preserve"> In direct comparisons between single gene and network-based methodologies, the latter have been shown to be more stable, improved accuracy</w:t>
      </w:r>
      <w:r w:rsidR="002D69D1" w:rsidRPr="0082680A">
        <w:rPr>
          <w:lang w:val="en-GB"/>
        </w:rPr>
        <w:t xml:space="preserve"> and replicability</w:t>
      </w:r>
      <w:r w:rsidR="00C61ED8" w:rsidRPr="0082680A">
        <w:rPr>
          <w:lang w:val="en-GB"/>
        </w:rPr>
        <w:t>, and are even able to identify</w:t>
      </w:r>
      <w:r w:rsidR="002D69D1" w:rsidRPr="0082680A">
        <w:rPr>
          <w:lang w:val="en-GB"/>
        </w:rPr>
        <w:t xml:space="preserve"> novel disease-gene associations that the former cannot</w:t>
      </w:r>
      <w:r w:rsidR="00C61ED8" w:rsidRPr="0082680A">
        <w:rPr>
          <w:lang w:val="en-GB"/>
        </w:rPr>
        <w:t xml:space="preserve"> </w:t>
      </w:r>
      <w:r w:rsidR="00C61ED8" w:rsidRPr="0082680A">
        <w:rPr>
          <w:lang w:val="en-GB"/>
        </w:rPr>
        <w:fldChar w:fldCharType="begin" w:fldLock="1"/>
      </w:r>
      <w:r w:rsidR="000507BA">
        <w:rPr>
          <w:lang w:val="en-GB"/>
        </w:rPr>
        <w:instrText>ADDIN CSL_CITATION {"citationItems":[{"id":"ITEM-1","itemData":{"DOI":"10.1186/1752-0509-8-S4-S5","ISSN":"1752-0509","abstract":"Classical approaches to predicting patient clinical outcome via gene expression information are primarily based on differential expression of unrelated genes (single-gene approaches) or genes related by, for example, biologic pathway or function (gene-sets). Recently, network-based approaches utilising interaction information between genes have emerged. An open problem is whether such approaches add value to the more traditional methods of signature modelling. We explored this question via comparison of the most widely employed single-gene, gene-set, and network-based methods, using gene expression microarray data from two different cancers: melanoma and ovarian. We considered two kinds of network approaches. The first of these identifies informative genes using gene expression and network connectivity information combined, the latter drawn from prior knowledge of protein-protein interactions. The second approach focuses on identification of informative sub-networks (small networks of interacting proteins, again from prior knowledge networks). For all methods we performed 100 rounds of 5-fold cross-validation under 3 different classifiers. For network-based approaches, we considered two different protein-protein interaction networks. We quantified resulting patterns of misclassification and discussed the relative value of each relative to ongoing development of prognostic biomarkers. We found that single-gene, gene-set and network methods yielded similar error rates in melanoma and ovarian cancer data. Crucially, however, our novel and detailed patient-level analyses revealed that the different methods were correctly classifying alternate subsets of patients in each cohort. We also found that the network-based NetRank feature selection method was the most stable. Next-generation methods of gene expression signature modelling harness data from external networks and are foreshadowed as a standard mode of analysis. But what do they add to traditional approaches? Our findings indicate there is value in the way in which different subspaces of the patient sample are captured differently among the various methods, highlighting the possibility of 'combination' classifiers capable of identifying which patients will be more accurately classified by one particular method over another. We have seen this clearly for the first time because of our in-depth analysis at the level of individual patients.","author":[{"dropping-particle":"","family":"Barter","given":"Rebecca L","non-dropping-particle":"","parse-names":false,"suffix":""},{"dropping-particle":"","family":"Schramm","given":"Sarah-Jane","non-dropping-particle":"","parse-names":false,"suffix":""},{"dropping-particle":"","family":"Mann","given":"Graham J","non-dropping-particle":"","parse-names":false,"suffix":""},{"dropping-particle":"","family":"Yang","given":"Yee Hwa","non-dropping-particle":"","parse-names":false,"suffix":""}],"container-title":"BMC Systems Biology","id":"ITEM-1","issue":"Suppl 4","issued":{"date-parts":[["2014","12","8"]]},"page":"S5","publisher":"BioMed Central","title":"Network-based biomarkers enhance classical approaches to prognostic gene expression signatures","type":"article-journal","volume":"8"},"uris":["http://www.mendeley.com/documents/?uuid=099d29a8-b643-322b-aeb2-63f3b3870472"]},{"id":"ITEM-2","itemData":{"DOI":"10.1093/bib/bbs083","ISSN":"1467-5463","author":[{"dropping-particle":"","family":"Roy","given":"J.","non-dropping-particle":"","parse-names":false,"suffix":""},{"dropping-particle":"","family":"Winter","given":"C.","non-dropping-particle":"","parse-names":false,"suffix":""},{"dropping-particle":"","family":"Isik","given":"Z.","non-dropping-particle":"","parse-names":false,"suffix":""},{"dropping-particle":"","family":"Schroeder","given":"M.","non-dropping-particle":"","parse-names":false,"suffix":""}],"container-title":"Briefings in Bioinformatics","id":"ITEM-2","issue":"4","issued":{"date-parts":[["2014","7","1"]]},"page":"612-625","publisher":"Oxford University Press","title":"Network information improves cancer outcome prediction","type":"article-journal","volume":"15"},"uris":["http://www.mendeley.com/documents/?uuid=1c5d53d7-6e67-30c0-ba84-47836b4e040e"]},{"id":"ITEM-3","itemData":{"DOI":"10.1371/journal.pcbi.1002511","ISSN":"1553-7358","PMID":"22615549","abstract":"Predicting the clinical outcome of cancer patients based on the expression of marker genes in their tumors has received increasing interest in the past decade. Accurate predictors of outcome and response to therapy could be used to personalize and thereby improve therapy. However, state of the art methods used so far often found marker genes with limited prediction accuracy, limited reproducibility, and unclear biological relevance. To address this problem, we developed a novel computational approach to identify genes prognostic for outcome that couples gene expression measurements from primary tumor samples with a network of known relationships between the genes. Our approach ranks genes according to their prognostic relevance using both expression and network information in a manner similar to Google's PageRank. We applied this method to gene expression profiles which we obtained from 30 patients with pancreatic cancer, and identified seven candidate marker genes prognostic for outcome. Compared to genes found with state of the art methods, such as Pearson correlation of gene expression with survival time, we improve the prediction accuracy by up to 7%. Accuracies were assessed using support vector machine classifiers and Monte Carlo cross-validation. We then validated the prognostic value of our seven candidate markers using immunohistochemistry on an independent set of 412 pancreatic cancer samples. Notably, signatures derived from our candidate markers were independently predictive of outcome and superior to established clinical prognostic factors such as grade, tumor size, and nodal status. As the amount of genomic data of individual tumors grows rapidly, our algorithm meets the need for powerful computational approaches that are key to exploit these data for personalized cancer therapies in clinical practice.","author":[{"dropping-particle":"","family":"Winter","given":"Christof","non-dropping-particle":"","parse-names":false,"suffix":""},{"dropping-particle":"","family":"Kristiansen","given":"Glen","non-dropping-particle":"","parse-names":false,"suffix":""},{"dropping-particle":"","family":"Kersting","given":"Stephan","non-dropping-particle":"","parse-names":false,"suffix":""},{"dropping-particle":"","family":"Roy","given":"Janine","non-dropping-particle":"","parse-names":false,"suffix":""},{"dropping-particle":"","family":"Aust","given":"Daniela","non-dropping-particle":"","parse-names":false,"suffix":""},{"dropping-particle":"","family":"Knösel","given":"Thomas","non-dropping-particle":"","parse-names":false,"suffix":""},{"dropping-particle":"","family":"Rümmele","given":"Petra","non-dropping-particle":"","parse-names":false,"suffix":""},{"dropping-particle":"","family":"Jahnke","given":"Beatrix","non-dropping-particle":"","parse-names":false,"suffix":""},{"dropping-particle":"","family":"Hentrich","given":"Vera","non-dropping-particle":"","parse-names":false,"suffix":""},{"dropping-particle":"","family":"Rückert","given":"Felix","non-dropping-particle":"","parse-names":false,"suffix":""},{"dropping-particle":"","family":"Niedergethmann","given":"Marco","non-dropping-particle":"","parse-names":false,"suffix":""},{"dropping-particle":"","family":"Weichert","given":"Wilko","non-dropping-particle":"","parse-names":false,"suffix":""},{"dropping-particle":"","family":"Bahra","given":"Marcus","non-dropping-particle":"","parse-names":false,"suffix":""},{"dropping-particle":"","family":"Schlitt","given":"Hans J","non-dropping-particle":"","parse-names":false,"suffix":""},{"dropping-particle":"","family":"Settmacher","given":"Utz","non-dropping-particle":"","parse-names":false,"suffix":""},{"dropping-particle":"","family":"Friess","given":"Helmut","non-dropping-particle":"","parse-names":false,"suffix":""},{"dropping-particle":"","family":"Büchler","given":"Markus","non-dropping-particle":"","parse-names":false,"suffix":""},{"dropping-particle":"","family":"Saeger","given":"Hans-Detlev","non-dropping-particle":"","parse-names":false,"suffix":""},{"dropping-particle":"","family":"Schroeder","given":"Michael","non-dropping-particle":"","parse-names":false,"suffix":""},{"dropping-particle":"","family":"Pilarsky","given":"Christian","non-dropping-particle":"","parse-names":false,"suffix":""},{"dropping-particle":"","family":"Grützmann","given":"Robert","non-dropping-particle":"","parse-names":false,"suffix":""}],"container-title":"PLoS computational biology","id":"ITEM-3","issue":"5","issued":{"date-parts":[["2012"]]},"page":"e1002511","publisher":"Public Library of Science","title":"Google goes cancer: improving outcome prediction for cancer patients by network-based ranking of marker genes.","type":"article-journal","volume":"8"},"uris":["http://www.mendeley.com/documents/?uuid=757dcb3c-6d37-3cc7-9b80-e9d27bddf554"]},{"id":"ITEM-4","itemData":{"DOI":"10.1038/msb4100180","ISSN":"1744-4292","PMID":"17940530","abstract":"Mapping the pathways that give rise to metastasis is one of the key challenges of breast cancer research. Recently, several large-scale studies have shed light on this problem through analysis of gene expression profiles to identify markers correlated with metastasis. Here, we apply a protein-network-based approach that identifies markers not as individual genes but as subnetworks extracted from protein interaction databases. The resulting subnetworks provide novel hypotheses for pathways involved in tumor progression. Although genes with known breast cancer mutations are typically not detected through analysis of differential expression, they play a central role in the protein network by interconnecting many differentially expressed genes. We find that the subnetwork markers are more reproducible than individual marker genes selected without network information, and that they achieve higher accuracy in the classification of metastatic versus non-metastatic tumors.","author":[{"dropping-particle":"","family":"Chuang","given":"Han-Yu","non-dropping-particle":"","parse-names":false,"suffix":""},{"dropping-particle":"","family":"Lee","given":"Eunjung","non-dropping-particle":"","parse-names":false,"suffix":""},{"dropping-particle":"","family":"Liu","given":"Yu-Tsueng","non-dropping-particle":"","parse-names":false,"suffix":""},{"dropping-particle":"","family":"Lee","given":"Doheon","non-dropping-particle":"","parse-names":false,"suffix":""},{"dropping-particle":"","family":"Ideker","given":"Trey","non-dropping-particle":"","parse-names":false,"suffix":""}],"container-title":"Molecular systems biology","id":"ITEM-4","issued":{"date-parts":[["2007"]]},"page":"140","publisher":"European Molecular Biology Organization","title":"Network-based classification of breast cancer metastasis.","type":"article-journal","volume":"3"},"uris":["http://www.mendeley.com/documents/?uuid=0498739d-99be-39f8-b8aa-dd42ea868acf"]}],"mendeley":{"formattedCitation":"&lt;sup&gt;79–82&lt;/sup&gt;","plainTextFormattedCitation":"79–82","previouslyFormattedCitation":"&lt;sup&gt;79–82&lt;/sup&gt;"},"properties":{"noteIndex":0},"schema":"https://github.com/citation-style-language/schema/raw/master/csl-citation.json"}</w:instrText>
      </w:r>
      <w:r w:rsidR="00C61ED8" w:rsidRPr="0082680A">
        <w:rPr>
          <w:lang w:val="en-GB"/>
        </w:rPr>
        <w:fldChar w:fldCharType="separate"/>
      </w:r>
      <w:r w:rsidR="00426B19" w:rsidRPr="00426B19">
        <w:rPr>
          <w:noProof/>
          <w:vertAlign w:val="superscript"/>
          <w:lang w:val="en-GB"/>
        </w:rPr>
        <w:t>79–82</w:t>
      </w:r>
      <w:r w:rsidR="00C61ED8" w:rsidRPr="0082680A">
        <w:rPr>
          <w:lang w:val="en-GB"/>
        </w:rPr>
        <w:fldChar w:fldCharType="end"/>
      </w:r>
      <w:r w:rsidR="00C61ED8" w:rsidRPr="0082680A">
        <w:rPr>
          <w:lang w:val="en-GB"/>
        </w:rPr>
        <w:t>.</w:t>
      </w:r>
      <w:r w:rsidR="002D69D1" w:rsidRPr="0082680A">
        <w:rPr>
          <w:lang w:val="en-GB"/>
        </w:rPr>
        <w:t xml:space="preserve"> Such an improvement is likely due to the fact networks have the potential to be more representative of true biology – genes and proteins do not function in isolation, they bind, and phosphorylate, and promote and degrade one another, and networks have the ability to include this information.</w:t>
      </w:r>
      <w:r w:rsidR="00C92239" w:rsidRPr="0082680A">
        <w:rPr>
          <w:lang w:val="en-GB"/>
        </w:rPr>
        <w:t xml:space="preserve"> Subsequently, networks are a good candidate for signature building.</w:t>
      </w:r>
    </w:p>
    <w:p w14:paraId="71F5FC64" w14:textId="0E8662A0" w:rsidR="00DD630F" w:rsidRPr="0082680A" w:rsidRDefault="00F44FAF">
      <w:pPr>
        <w:contextualSpacing w:val="0"/>
        <w:rPr>
          <w:lang w:val="en-GB"/>
        </w:rPr>
      </w:pPr>
      <w:r w:rsidRPr="0082680A">
        <w:rPr>
          <w:lang w:val="en-GB"/>
        </w:rPr>
        <w:t>When building biological networks, two decisions must be made; the type of relationship to be modelled, and the source of that information. Popular edges used in bioinformatics are coexpression (correlation between the expression of two genes), and protein-protein interaction (PPI</w:t>
      </w:r>
      <w:r w:rsidR="00C92239" w:rsidRPr="0082680A">
        <w:rPr>
          <w:lang w:val="en-GB"/>
        </w:rPr>
        <w:t>) -</w:t>
      </w:r>
      <w:r w:rsidRPr="0082680A">
        <w:rPr>
          <w:lang w:val="en-GB"/>
        </w:rPr>
        <w:t xml:space="preserve"> the presence of a physical binding event between two proteins. The benefits of coexpression are that a statistical value can be assigned to ensure its validity, that </w:t>
      </w:r>
      <w:r w:rsidR="00C92239" w:rsidRPr="0082680A">
        <w:rPr>
          <w:lang w:val="en-GB"/>
        </w:rPr>
        <w:t>the correlation value</w:t>
      </w:r>
      <w:r w:rsidRPr="0082680A">
        <w:rPr>
          <w:lang w:val="en-GB"/>
        </w:rPr>
        <w:t xml:space="preserve"> can be derived locally from the experimental data itself, and that it can be easily analysed between two conditions e.g. patient and control. The weakness of coexpression is, however, that it represents expression state specific correlation </w:t>
      </w:r>
      <w:r w:rsidRPr="0082680A">
        <w:rPr>
          <w:lang w:val="en-GB"/>
        </w:rPr>
        <w:lastRenderedPageBreak/>
        <w:t xml:space="preserve">relationships; without laboratory experiments it is hard to prove if relationship is direct or indirect, or in which direction causation travels. Protein-protein interaction on the other hand is a combination of predicted relationships (derived computationally) and those derived from laboratory experiments. There is of course always room for error - non-specific binding, for example, leading to false positives. The second decision is which source of information should be used to derive the network edges; local or canonical. Gene coexpression can be generated easily from any gene expression dataset, however there are also public databases such as </w:t>
      </w:r>
      <w:proofErr w:type="spellStart"/>
      <w:r w:rsidRPr="0082680A">
        <w:rPr>
          <w:lang w:val="en-GB"/>
        </w:rPr>
        <w:t>COXPRESdb</w:t>
      </w:r>
      <w:proofErr w:type="spellEnd"/>
      <w:r w:rsidRPr="0082680A">
        <w:rPr>
          <w:lang w:val="en-GB"/>
        </w:rPr>
        <w:t xml:space="preserve"> (</w:t>
      </w:r>
      <w:hyperlink r:id="rId37" w:history="1">
        <w:r w:rsidR="00B958C5" w:rsidRPr="0082680A">
          <w:rPr>
            <w:rStyle w:val="Hyperlink"/>
            <w:lang w:val="en-GB"/>
          </w:rPr>
          <w:t>http://coxpresdb.jp/</w:t>
        </w:r>
      </w:hyperlink>
      <w:r w:rsidRPr="0082680A">
        <w:rPr>
          <w:lang w:val="en-GB"/>
        </w:rPr>
        <w:t>), or GeneMANIA (</w:t>
      </w:r>
      <w:hyperlink r:id="rId38" w:history="1">
        <w:r w:rsidR="00B958C5" w:rsidRPr="0082680A">
          <w:rPr>
            <w:rStyle w:val="Hyperlink"/>
            <w:lang w:val="en-GB"/>
          </w:rPr>
          <w:t>https://genemania.org/</w:t>
        </w:r>
      </w:hyperlink>
      <w:r w:rsidRPr="0082680A">
        <w:rPr>
          <w:lang w:val="en-GB"/>
        </w:rPr>
        <w:t>)</w:t>
      </w:r>
      <w:r w:rsidR="00B958C5" w:rsidRPr="0082680A">
        <w:rPr>
          <w:lang w:val="en-GB"/>
        </w:rPr>
        <w:t xml:space="preserve"> </w:t>
      </w:r>
      <w:r w:rsidR="00C92239" w:rsidRPr="0082680A">
        <w:rPr>
          <w:lang w:val="en-GB"/>
        </w:rPr>
        <w:fldChar w:fldCharType="begin" w:fldLock="1"/>
      </w:r>
      <w:r w:rsidR="000507BA">
        <w:rPr>
          <w:lang w:val="en-GB"/>
        </w:rPr>
        <w:instrText>ADDIN CSL_CITATION {"citationItems":[{"id":"ITEM-1","itemData":{"DOI":"10.1093/nar/gkq537","ISSN":"1362-4962","author":[{"dropping-particle":"","family":"Warde-Farley","given":"David","non-dropping-particle":"","parse-names":false,"suffix":""},{"dropping-particle":"","family":"Donaldson","given":"Sylva L.","non-dropping-particle":"","parse-names":false,"suffix":""},{"dropping-particle":"","family":"Comes","given":"Ovi","non-dropping-particle":"","parse-names":false,"suffix":""},{"dropping-particle":"","family":"Zuberi","given":"Khalid","non-dropping-particle":"","parse-names":false,"suffix":""},{"dropping-particle":"","family":"Badrawi","given":"Rashad","non-dropping-particle":"","parse-names":false,"suffix":""},{"dropping-particle":"","family":"Chao","given":"Pauline","non-dropping-particle":"","parse-names":false,"suffix":""},{"dropping-particle":"","family":"Franz","given":"Max","non-dropping-particle":"","parse-names":false,"suffix":""},{"dropping-particle":"","family":"Grouios","given":"Chris","non-dropping-particle":"","parse-names":false,"suffix":""},{"dropping-particle":"","family":"Kazi","given":"Farzana","non-dropping-particle":"","parse-names":false,"suffix":""},{"dropping-particle":"","family":"Lopes","given":"Christian Tannus","non-dropping-particle":"","parse-names":false,"suffix":""},{"dropping-particle":"","family":"Maitland","given":"Anson","non-dropping-particle":"","parse-names":false,"suffix":""},{"dropping-particle":"","family":"Mostafavi","given":"Sara","non-dropping-particle":"","parse-names":false,"suffix":""},{"dropping-particle":"","family":"Montojo","given":"Jason","non-dropping-particle":"","parse-names":false,"suffix":""},{"dropping-particle":"","family":"Shao","given":"Quentin","non-dropping-particle":"","parse-names":false,"suffix":""},{"dropping-particle":"","family":"Wright","given":"George","non-dropping-particle":"","parse-names":false,"suffix":""},{"dropping-particle":"","family":"Bader","given":"Gary D.","non-dropping-particle":"","parse-names":false,"suffix":""},{"dropping-particle":"","family":"Morris","given":"Quaid","non-dropping-particle":"","parse-names":false,"suffix":""}],"container-title":"Nucleic Acids Research","id":"ITEM-1","issue":"suppl_2","issued":{"date-parts":[["2010","7","1"]]},"page":"W214-W220","publisher":"Oxford University Press","title":"The GeneMANIA prediction server: biological network integration for gene prioritization and predicting gene function","type":"article-journal","volume":"38"},"uris":["http://www.mendeley.com/documents/?uuid=5359d987-e4d9-3f69-846f-7785330d4666"]},{"id":"ITEM-2","itemData":{"DOI":"10.1093/nar/gku1163","author":[{"dropping-particle":"","family":"Okamura","given":"Yasunobu","non-dropping-particle":"","parse-names":false,"suffix":""},{"dropping-particle":"","family":"Aoki","given":"Yuichi","non-dropping-particle":"","parse-names":false,"suffix":""},{"dropping-particle":"","family":"Obayashi","given":"Takeshi","non-dropping-particle":"","parse-names":false,"suffix":""},{"dropping-particle":"","family":"Tadaka","given":"Shu","non-dropping-particle":"","parse-names":false,"suffix":""},{"dropping-particle":"","family":"Ito","given":"Satoshi","non-dropping-particle":"","parse-names":false,"suffix":""},{"dropping-particle":"","family":"Narise","given":"Takafumi","non-dropping-particle":"","parse-names":false,"suffix":""},{"dropping-particle":"","family":"Kinoshita","given":"Kengo","non-dropping-particle":"","parse-names":false,"suffix":""}],"id":"ITEM-2","issue":"November 2014","issued":{"date-parts":[["2015"]]},"page":"82-86","title":"COXPRESdb in 2015 : coexpression database for animal species by DNA-microarray and RNAseq-based expression data with multiple quality assessment systems","type":"article-journal","volume":"43"},"uris":["http://www.mendeley.com/documents/?uuid=ba837111-08e2-4575-a2c7-8a0d4b8bb033"]}],"mendeley":{"formattedCitation":"&lt;sup&gt;83,84&lt;/sup&gt;","plainTextFormattedCitation":"83,84","previouslyFormattedCitation":"&lt;sup&gt;83,84&lt;/sup&gt;"},"properties":{"noteIndex":0},"schema":"https://github.com/citation-style-language/schema/raw/master/csl-citation.json"}</w:instrText>
      </w:r>
      <w:r w:rsidR="00C92239" w:rsidRPr="0082680A">
        <w:rPr>
          <w:lang w:val="en-GB"/>
        </w:rPr>
        <w:fldChar w:fldCharType="separate"/>
      </w:r>
      <w:r w:rsidR="00426B19" w:rsidRPr="00426B19">
        <w:rPr>
          <w:noProof/>
          <w:vertAlign w:val="superscript"/>
          <w:lang w:val="en-GB"/>
        </w:rPr>
        <w:t>83,84</w:t>
      </w:r>
      <w:r w:rsidR="00C92239" w:rsidRPr="0082680A">
        <w:rPr>
          <w:lang w:val="en-GB"/>
        </w:rPr>
        <w:fldChar w:fldCharType="end"/>
      </w:r>
      <w:r w:rsidRPr="0082680A">
        <w:rPr>
          <w:lang w:val="en-GB"/>
        </w:rPr>
        <w:t xml:space="preserve">. Protein-protein interaction is extremely difficult to produce on a case-by-case basis, and therefore is most commonly sourced from a canonical database, a few of which are mentioned in the next section. </w:t>
      </w:r>
    </w:p>
    <w:p w14:paraId="04E08ADB" w14:textId="1BBB686D" w:rsidR="00DD630F" w:rsidRPr="0082680A" w:rsidRDefault="00F44FAF">
      <w:pPr>
        <w:contextualSpacing w:val="0"/>
        <w:rPr>
          <w:lang w:val="en-GB"/>
        </w:rPr>
      </w:pPr>
      <w:r w:rsidRPr="0082680A">
        <w:rPr>
          <w:lang w:val="en-GB"/>
        </w:rPr>
        <w:t xml:space="preserve">There are </w:t>
      </w:r>
      <w:r w:rsidR="00C92239" w:rsidRPr="0082680A">
        <w:rPr>
          <w:lang w:val="en-GB"/>
        </w:rPr>
        <w:t xml:space="preserve">a number of </w:t>
      </w:r>
      <w:r w:rsidRPr="0082680A">
        <w:rPr>
          <w:lang w:val="en-GB"/>
        </w:rPr>
        <w:t xml:space="preserve">ways </w:t>
      </w:r>
      <w:r w:rsidR="00C92239" w:rsidRPr="0082680A">
        <w:rPr>
          <w:lang w:val="en-GB"/>
        </w:rPr>
        <w:t xml:space="preserve">biological </w:t>
      </w:r>
      <w:r w:rsidRPr="0082680A">
        <w:rPr>
          <w:lang w:val="en-GB"/>
        </w:rPr>
        <w:t>network</w:t>
      </w:r>
      <w:r w:rsidR="00C92239" w:rsidRPr="0082680A">
        <w:rPr>
          <w:lang w:val="en-GB"/>
        </w:rPr>
        <w:t>s can be generated</w:t>
      </w:r>
      <w:r w:rsidRPr="0082680A">
        <w:rPr>
          <w:lang w:val="en-GB"/>
        </w:rPr>
        <w:t>; either by generating one ne</w:t>
      </w:r>
      <w:r w:rsidR="006A6AE8" w:rsidRPr="0082680A">
        <w:rPr>
          <w:lang w:val="en-GB"/>
        </w:rPr>
        <w:t xml:space="preserve">twork from a common </w:t>
      </w:r>
      <w:r w:rsidR="00C92239" w:rsidRPr="0082680A">
        <w:rPr>
          <w:lang w:val="en-GB"/>
        </w:rPr>
        <w:t>source</w:t>
      </w:r>
      <w:r w:rsidR="006A6AE8" w:rsidRPr="0082680A">
        <w:rPr>
          <w:lang w:val="en-GB"/>
        </w:rPr>
        <w:t xml:space="preserve"> (e.g. Jha </w:t>
      </w:r>
      <w:r w:rsidR="006A6AE8" w:rsidRPr="0082680A">
        <w:rPr>
          <w:i/>
          <w:lang w:val="en-GB"/>
        </w:rPr>
        <w:t>et al</w:t>
      </w:r>
      <w:r w:rsidR="006A6AE8" w:rsidRPr="0082680A">
        <w:rPr>
          <w:lang w:val="en-GB"/>
        </w:rPr>
        <w:t xml:space="preserve">, 2016), </w:t>
      </w:r>
      <w:r w:rsidRPr="0082680A">
        <w:rPr>
          <w:lang w:val="en-GB"/>
        </w:rPr>
        <w:t xml:space="preserve">or generating several networks and looking for </w:t>
      </w:r>
      <w:r w:rsidR="00C92239" w:rsidRPr="0082680A">
        <w:rPr>
          <w:lang w:val="en-GB"/>
        </w:rPr>
        <w:t>overlap</w:t>
      </w:r>
      <w:r w:rsidR="006A6AE8" w:rsidRPr="0082680A">
        <w:rPr>
          <w:lang w:val="en-GB"/>
        </w:rPr>
        <w:t xml:space="preserve"> (e.g. </w:t>
      </w:r>
      <w:proofErr w:type="spellStart"/>
      <w:r w:rsidR="006A6AE8" w:rsidRPr="0082680A">
        <w:rPr>
          <w:lang w:val="en-GB"/>
        </w:rPr>
        <w:t>Gandal</w:t>
      </w:r>
      <w:proofErr w:type="spellEnd"/>
      <w:r w:rsidR="006A6AE8" w:rsidRPr="0082680A">
        <w:rPr>
          <w:lang w:val="en-GB"/>
        </w:rPr>
        <w:t xml:space="preserve"> </w:t>
      </w:r>
      <w:r w:rsidR="006A6AE8" w:rsidRPr="0082680A">
        <w:rPr>
          <w:i/>
          <w:lang w:val="en-GB"/>
        </w:rPr>
        <w:t>et al</w:t>
      </w:r>
      <w:r w:rsidR="006A6AE8" w:rsidRPr="0082680A">
        <w:rPr>
          <w:lang w:val="en-GB"/>
        </w:rPr>
        <w:t>, 2018)</w:t>
      </w:r>
      <w:r w:rsidRPr="0082680A">
        <w:rPr>
          <w:lang w:val="en-GB"/>
        </w:rPr>
        <w:t xml:space="preserve">. </w:t>
      </w:r>
      <w:r w:rsidR="00C92239" w:rsidRPr="0082680A">
        <w:rPr>
          <w:lang w:val="en-GB"/>
        </w:rPr>
        <w:t xml:space="preserve">Networks built by meta-analysis often merge datasets before the network is built. </w:t>
      </w:r>
      <w:r w:rsidRPr="0082680A">
        <w:rPr>
          <w:lang w:val="en-GB"/>
        </w:rPr>
        <w:t xml:space="preserve">Tools that allow the merging of datasets include </w:t>
      </w:r>
      <w:proofErr w:type="spellStart"/>
      <w:r w:rsidRPr="0082680A">
        <w:rPr>
          <w:lang w:val="en-GB"/>
        </w:rPr>
        <w:t>NetworkAnalyst</w:t>
      </w:r>
      <w:proofErr w:type="spellEnd"/>
      <w:r w:rsidRPr="0082680A">
        <w:rPr>
          <w:lang w:val="en-GB"/>
        </w:rPr>
        <w:t xml:space="preserve"> (</w:t>
      </w:r>
      <w:hyperlink r:id="rId39" w:history="1">
        <w:r w:rsidR="00B958C5" w:rsidRPr="0082680A">
          <w:rPr>
            <w:rStyle w:val="Hyperlink"/>
            <w:lang w:val="en-GB"/>
          </w:rPr>
          <w:t>https://www.networkanalyst.ca/</w:t>
        </w:r>
      </w:hyperlink>
      <w:r w:rsidRPr="0082680A">
        <w:rPr>
          <w:lang w:val="en-GB"/>
        </w:rPr>
        <w:t xml:space="preserve">), which </w:t>
      </w:r>
      <w:r w:rsidR="00C92239" w:rsidRPr="0082680A">
        <w:rPr>
          <w:lang w:val="en-GB"/>
        </w:rPr>
        <w:t>utilises</w:t>
      </w:r>
      <w:r w:rsidRPr="0082680A">
        <w:rPr>
          <w:lang w:val="en-GB"/>
        </w:rPr>
        <w:t xml:space="preserve"> the dataset-merging algorithm INMEX</w:t>
      </w:r>
      <w:r w:rsidR="00C92239" w:rsidRPr="0082680A">
        <w:rPr>
          <w:lang w:val="en-GB"/>
        </w:rPr>
        <w:t xml:space="preserve"> </w:t>
      </w:r>
      <w:r w:rsidR="00C92239" w:rsidRPr="0082680A">
        <w:rPr>
          <w:lang w:val="en-GB"/>
        </w:rPr>
        <w:fldChar w:fldCharType="begin" w:fldLock="1"/>
      </w:r>
      <w:r w:rsidR="000507BA">
        <w:rPr>
          <w:lang w:val="en-GB"/>
        </w:rPr>
        <w:instrText>ADDIN CSL_CITATION {"citationItems":[{"id":"ITEM-1","itemData":{"DOI":"10.1038/nprot.2015.052","ISSN":"1754-2189","abstract":"This protocol describes NetworkAnalyst, a web-based tool for performing network analysis and visualization from gene lists and meta-analysis of gene expression datasets, and for displaying results as protein-protein interaction networks, heatmaps and chord diagrams.","author":[{"dropping-particle":"","family":"Xia","given":"Jianguo","non-dropping-particle":"","parse-names":false,"suffix":""},{"dropping-particle":"","family":"Gill","given":"Erin E","non-dropping-particle":"","parse-names":false,"suffix":""},{"dropping-particle":"","family":"Hancock","given":"Robert E W","non-dropping-particle":"","parse-names":false,"suffix":""}],"container-title":"Nature Protocols","id":"ITEM-1","issue":"6","issued":{"date-parts":[["2015","6","7"]]},"page":"823-844","publisher":"Nature Publishing Group","title":"NetworkAnalyst for statistical, visual and network-based meta-analysis of gene expression data","type":"article-journal","volume":"10"},"uris":["http://www.mendeley.com/documents/?uuid=e379b5ca-13a1-3269-ac74-7569696ef1d6"]}],"mendeley":{"formattedCitation":"&lt;sup&gt;85&lt;/sup&gt;","plainTextFormattedCitation":"85","previouslyFormattedCitation":"&lt;sup&gt;85&lt;/sup&gt;"},"properties":{"noteIndex":0},"schema":"https://github.com/citation-style-language/schema/raw/master/csl-citation.json"}</w:instrText>
      </w:r>
      <w:r w:rsidR="00C92239" w:rsidRPr="0082680A">
        <w:rPr>
          <w:lang w:val="en-GB"/>
        </w:rPr>
        <w:fldChar w:fldCharType="separate"/>
      </w:r>
      <w:r w:rsidR="00426B19" w:rsidRPr="00426B19">
        <w:rPr>
          <w:noProof/>
          <w:vertAlign w:val="superscript"/>
          <w:lang w:val="en-GB"/>
        </w:rPr>
        <w:t>85</w:t>
      </w:r>
      <w:r w:rsidR="00C92239" w:rsidRPr="0082680A">
        <w:rPr>
          <w:lang w:val="en-GB"/>
        </w:rPr>
        <w:fldChar w:fldCharType="end"/>
      </w:r>
      <w:r w:rsidRPr="0082680A">
        <w:rPr>
          <w:lang w:val="en-GB"/>
        </w:rPr>
        <w:t xml:space="preserve">. After merging, the meta-dataset can then be used to generate networks of protein-protein interactions, transcription factor-gene interactions, miRNA-gene interactions, protein-drug interactions and protein-chemical interactions. </w:t>
      </w:r>
    </w:p>
    <w:p w14:paraId="353BB738" w14:textId="212FA02A" w:rsidR="00DD630F" w:rsidRPr="0082680A" w:rsidRDefault="00F44FAF">
      <w:pPr>
        <w:contextualSpacing w:val="0"/>
        <w:rPr>
          <w:lang w:val="en-GB"/>
        </w:rPr>
      </w:pPr>
      <w:r w:rsidRPr="0082680A">
        <w:rPr>
          <w:lang w:val="en-GB"/>
        </w:rPr>
        <w:t xml:space="preserve">Networks can also be broken down into groups, known as modules. Modules can be created in a number of ways, depending on the type of relationship. For example, many methodologies exist for generation of coexpression modules. Popular approaches are clustering, decomposition, biclustering, direct network inference, and iterative network influence. A recent extensive review of 42 module detection methods concluded that decomposition methods most successfully recreated known functional modules </w:t>
      </w:r>
      <w:r w:rsidR="006A6AE8" w:rsidRPr="0082680A">
        <w:rPr>
          <w:lang w:val="en-GB"/>
        </w:rPr>
        <w:fldChar w:fldCharType="begin" w:fldLock="1"/>
      </w:r>
      <w:r w:rsidR="000507BA">
        <w:rPr>
          <w:lang w:val="en-GB"/>
        </w:rPr>
        <w:instrText>ADDIN CSL_CITATION {"citationItems":[{"id":"ITEM-1","itemData":{"DOI":"10.1038/s41467-018-03424-4","ISSN":"2041-1723","PMID":"29545622","abstract":"A critical step in the analysis of large genome-wide gene expression datasets is the use of module detection methods to group genes into co-expression modules. Because of limitations of classical clustering methods, numerous alternative module detection methods have been proposed, which improve upon clustering by handling co-expression in only a subset of samples, modelling the regulatory network, and/or allowing overlap between modules. In this study we use known regulatory networks to do a comprehensive and robust evaluation of these different methods. Overall, decomposition methods outperform all other strategies, while we do not find a clear advantage of biclustering and network inference-based approaches on large gene expression datasets. Using our evaluation workflow, we also investigate several practical aspects of module detection, such as parameter estimation and the use of alternative similarity measures, and conclude with recommendations for the further development of these methods.","author":[{"dropping-particle":"","family":"Saelens","given":"Wouter","non-dropping-particle":"","parse-names":false,"suffix":""},{"dropping-particle":"","family":"Cannoodt","given":"Robrecht","non-dropping-particle":"","parse-names":false,"suffix":""},{"dropping-particle":"","family":"Saeys","given":"Yvan","non-dropping-particle":"","parse-names":false,"suffix":""}],"container-title":"Nature communications","id":"ITEM-1","issue":"1","issued":{"date-parts":[["2018"]]},"page":"1090","publisher":"Nature Publishing Group","title":"A comprehensive evaluation of module detection methods for gene expression data.","type":"article-journal","volume":"9"},"uris":["http://www.mendeley.com/documents/?uuid=1067cccb-d070-3e2b-8a3f-00649624b085"]}],"mendeley":{"formattedCitation":"&lt;sup&gt;86&lt;/sup&gt;","plainTextFormattedCitation":"86","previouslyFormattedCitation":"&lt;sup&gt;86&lt;/sup&gt;"},"properties":{"noteIndex":0},"schema":"https://github.com/citation-style-language/schema/raw/master/csl-citation.json"}</w:instrText>
      </w:r>
      <w:r w:rsidR="006A6AE8" w:rsidRPr="0082680A">
        <w:rPr>
          <w:lang w:val="en-GB"/>
        </w:rPr>
        <w:fldChar w:fldCharType="separate"/>
      </w:r>
      <w:r w:rsidR="00426B19" w:rsidRPr="00426B19">
        <w:rPr>
          <w:noProof/>
          <w:vertAlign w:val="superscript"/>
          <w:lang w:val="en-GB"/>
        </w:rPr>
        <w:t>86</w:t>
      </w:r>
      <w:r w:rsidR="006A6AE8" w:rsidRPr="0082680A">
        <w:rPr>
          <w:lang w:val="en-GB"/>
        </w:rPr>
        <w:fldChar w:fldCharType="end"/>
      </w:r>
      <w:r w:rsidRPr="0082680A">
        <w:rPr>
          <w:lang w:val="en-GB"/>
        </w:rPr>
        <w:t>. Despite th</w:t>
      </w:r>
      <w:r w:rsidR="005C4E13" w:rsidRPr="0082680A">
        <w:rPr>
          <w:lang w:val="en-GB"/>
        </w:rPr>
        <w:t xml:space="preserve">e success of decomposition, </w:t>
      </w:r>
      <w:r w:rsidR="0050523A" w:rsidRPr="0082680A">
        <w:rPr>
          <w:lang w:val="en-GB"/>
        </w:rPr>
        <w:t>t</w:t>
      </w:r>
      <w:r w:rsidRPr="0082680A">
        <w:rPr>
          <w:lang w:val="en-GB"/>
        </w:rPr>
        <w:t>he most widely-used module generation method is arguably Weighted Gene Coexpression Network Analysis (WGCNA), a hierarchical clustering methodology</w:t>
      </w:r>
      <w:r w:rsidR="006A6AE8" w:rsidRPr="0082680A">
        <w:rPr>
          <w:lang w:val="en-GB"/>
        </w:rPr>
        <w:t xml:space="preserve"> developed by the Horvarth Lab, UCLA</w:t>
      </w:r>
      <w:r w:rsidRPr="0082680A">
        <w:rPr>
          <w:lang w:val="en-GB"/>
        </w:rPr>
        <w:t xml:space="preserve"> </w:t>
      </w:r>
      <w:r w:rsidR="006A6AE8" w:rsidRPr="0082680A">
        <w:rPr>
          <w:lang w:val="en-GB"/>
        </w:rPr>
        <w:fldChar w:fldCharType="begin" w:fldLock="1"/>
      </w:r>
      <w:r w:rsidR="000507BA">
        <w:rPr>
          <w:lang w:val="en-GB"/>
        </w:rPr>
        <w:instrText>ADDIN CSL_CITATION {"citationItems":[{"id":"ITEM-1","itemData":{"DOI":"10.1186/1471-2105-9-559","ISSN":"1471-2105","abstract":"Correlation networks are increasingly being used in bioinformatics applications. For example, weighted gene co-expression network analysis is a systems biology method for describing the correlation patterns among genes across microarray samples. Weighted correlation network analysis (WGCNA) can be used for finding clusters (modules) of highly correlated genes, for summarizing such clusters using the module eigengene or an intramodular hub gene, for relating modules to one another and to external sample traits (using eigengene network methodology), and for calculating module membership measures. Correlation networks facilitate network based gene screening methods that can be used to identify candidate biomarkers or therapeutic targets. These methods have been successfully applied in various biological contexts, e.g. cancer, mouse genetics, yeast genetics, and analysis of brain imaging data. While parts of the correlation network methodology have been described in separate publications, there is a need to provide a user-friendly, comprehensive, and consistent software implementation and an accompanying tutorial. The WGCNA R software package is a comprehensive collection of R functions for performing various aspects of weighted correlation network analysis. The package includes functions for network construction, module detection, gene selection, calculations of topological properties, data simulation, visualization, and interfacing with external software. Along with the R package we also present R software tutorials. While the methods development was motivated by gene expression data, the underlying data mining approach can be applied to a variety of different settings. The WGCNA package provides R functions for weighted correlation network analysis, e.g. co-expression network analysis of gene expression data. The R package along with its source code and additional material are freely available at \n                    http://www.genetics.ucla.edu/labs/horvath/CoexpressionNetwork/Rpackages/WGCNA\n                    \n                  .","author":[{"dropping-particle":"","family":"Langfelder","given":"Peter","non-dropping-particle":"","parse-names":false,"suffix":""},{"dropping-particle":"","family":"Horvath","given":"Steve","non-dropping-particle":"","parse-names":false,"suffix":""},{"dropping-particle":"","family":"Zhou","given":"X","non-dropping-particle":"","parse-names":false,"suffix":""},{"dropping-particle":"","family":"Kao","given":"MC","non-dropping-particle":"","parse-names":false,"suffix":""},{"dropping-particle":"","family":"Wong","given":"W","non-dropping-particle":"","parse-names":false,"suffix":""},{"dropping-particle":"","family":"Steffen","given":"M","non-dropping-particle":"","parse-names":false,"suffix":""},{"dropping-particle":"","family":"Petti","given":"A","non-dropping-particle":"","parse-names":false,"suffix":""},{"dropping-particle":"","family":"Aach","given":"J","non-dropping-particle":"","parse-names":false,"suffix":""},{"dropping-particle":"","family":"D","given":"P","non-dropping-particle":"","parse-names":false,"suffix":""},{"dropping-particle":"","family":"Stuart","given":"JM","non-dropping-particle":"","parse-names":false,"suffix":""},{"dropping-particle":"","family":"Segal","given":"E","non-dropping-particle":"","parse-names":false,"suffix":""},{"dropping-particle":"","family":"Koller","given":"D","non-dropping-particle":"","parse-names":false,"suffix":""},{"dropping-particle":"","family":"Kim","given":"SK","non-dropping-particle":"","parse-names":false,"suffix":""},{"dropping-particle":"","family":"Zhang","given":"B","non-dropping-particle":"","parse-names":false,"suffix":""},{"dropping-particle":"","family":"Horvath","given":"Steve","non-dropping-particle":"","parse-names":false,"suffix":""},{"dropping-particle":"","family":"Carey","given":"VJ","non-dropping-particle":"","parse-names":false,"suffix":""},{"dropping-particle":"","family":"Gentry","given":"J","non-dropping-particle":"","parse-names":false,"suffix":""},{"dropping-particle":"","family":"Whalen","given":"E","non-dropping-particle":"","parse-names":false,"suffix":""},{"dropping-particle":"","family":"Gentleman","given":"R","non-dropping-particle":"","parse-names":false,"suffix":""},{"dropping-particle":"","family":"Schaefer","given":"J","non-dropping-particle":"","parse-names":false,"suffix":""},{"dropping-particle":"","family":"Strimmer","given":"K","non-dropping-particle":"","parse-names":false,"suffix":""},{"dropping-particle":"","family":"Chuang","given":"CL","non-dropping-particle":"","parse-names":false,"suffix":""},{"dropping-particle":"","family":"Jen","given":"CH","non-dropping-particle":"","parse-names":false,"suffix":""},{"dropping-particle":"","family":"Chen","given":"CM","non-dropping-particle":"","parse-names":false,"suffix":""},{"dropping-particle":"","family":"Shieh","given":"GS","non-dropping-particle":"","parse-names":false,"suffix":""},{"dropping-particle":"","family":"Cokus","given":"S","non-dropping-particle":"","parse-names":false,"suffix":""},{"dropping-particle":"","family":"Rose","given":"S","non-dropping-particle":"","parse-names":false,"suffix":""},{"dropping-particle":"","family":"Haynor","given":"D","non-dropping-particle":"","parse-names":false,"suffix":""},{"dropping-particle":"","family":"Gronbech-Jensen","given":"N","non-dropping-particle":"","parse-names":false,"suffix":""},{"dropping-particle":"","family":"Pellegrini","given":"M","non-dropping-particle":"","parse-names":false,"suffix":""},{"dropping-particle":"","family":"Horvath","given":"Steve","non-dropping-particle":"","parse-names":false,"suffix":""},{"dropping-particle":"","family":"Zhang","given":"B","non-dropping-particle":"","parse-names":false,"suffix":""},{"dropping-particle":"","family":"Carlson","given":"MR","non-dropping-particle":"","parse-names":false,"suffix":""},{"dropping-particle":"","family":"Lu","given":"K","non-dropping-particle":"","parse-names":false,"suffix":""},{"dropping-particle":"","family":"Zhu","given":"S","non-dropping-particle":"","parse-names":false,"suffix":""},{"dropping-particle":"","family":"Felciano","given":"R","non-dropping-particle":"","parse-names":false,"suffix":""},{"dropping-particle":"","family":"Laurance","given":"M","non-dropping-particle":"","parse-names":false,"suffix":""},{"dropping-particle":"","family":"Zhao","given":"W","non-dropping-particle":"","parse-names":false,"suffix":""},{"dropping-particle":"","family":"Shu","given":"Q","non-dropping-particle":"","parse-names":false,"suffix":""},{"dropping-particle":"","family":"Lee","given":"Y","non-dropping-particle":"","parse-names":false,"suffix":""},{"dropping-particle":"","family":"Scheck","given":"A","non-dropping-particle":"","parse-names":false,"suffix":""},{"dropping-particle":"","family":"Liau","given":"L","non-dropping-particle":"","parse-names":false,"suffix":""},{"dropping-particle":"","family":"Wu","given":"H","non-dropping-particle":"","parse-names":false,"suffix":""},{"dropping-particle":"","family":"Geschwind","given":"DH","non-dropping-particle":"","parse-names":false,"suffix":""},{"dropping-particle":"","family":"Febbo","given":"P","non-dropping-particle":"","parse-names":false,"suffix":""},{"dropping-particle":"","family":"Kornblum","given":"H","non-dropping-particle":"","parse-names":false,"suffix":""},{"dropping-particle":"","family":"Cloughesy","given":"T","non-dropping-particle":"","parse-names":false,"suffix":""},{"dropping-particle":"","family":"Nelson","given":"SF","non-dropping-particle":"","parse-names":false,"suffix":""},{"dropping-particle":"","family":"Mischel","given":"P","non-dropping-particle":"","parse-names":false,"suffix":""},{"dropping-particle":"","family":"Horvath","given":"Steve","non-dropping-particle":"","parse-names":false,"suffix":""},{"dropping-particle":"","family":"Dong","given":"J","non-dropping-particle":"","parse-names":false,"suffix":""},{"dropping-particle":"","family":"Langfelder","given":"Peter","non-dropping-particle":"","parse-names":false,"suffix":""},{"dropping-particle":"","family":"Horvath","given":"Steve","non-dropping-particle":"","parse-names":false,"suffix":""},{"dropping-particle":"","family":"Carlson","given":"MR","non-dropping-particle":"","parse-names":false,"suffix":""},{"dropping-particle":"","family":"Zhang","given":"B","non-dropping-particle":"","parse-names":false,"suffix":""},{"dropping-particle":"","family":"Fang","given":"Z","non-dropping-particle":"","parse-names":false,"suffix":""},{"dropping-particle":"","family":"Horvath","given":"Steve","non-dropping-particle":"","parse-names":false,"suffix":""},{"dropping-particle":"","family":"Mishel","given":"PS","non-dropping-particle":"","parse-names":false,"suffix":""},{"dropping-particle":"","family":"Nelson","given":"SF","non-dropping-particle":"","parse-names":false,"suffix":""},{"dropping-particle":"","family":"Ghazalpour","given":"A","non-dropping-particle":"","parse-names":false,"suffix":""},{"dropping-particle":"","family":"Doss","given":"S","non-dropping-particle":"","parse-names":false,"suffix":""},{"dropping-particle":"","family":"Zhang","given":"B","non-dropping-particle":"","parse-names":false,"suffix":""},{"dropping-particle":"","family":"Plaisier","given":"C","non-dropping-particle":"","parse-names":false,"suffix":""},{"dropping-particle":"","family":"Wang","given":"S","non-dropping-particle":"","parse-names":false,"suffix":""},{"dropping-particle":"","family":"Schadt","given":"EE","non-dropping-particle":"","parse-names":false,"suffix":""},{"dropping-particle":"","family":"Thomas","given":"A","non-dropping-particle":"","parse-names":false,"suffix":""},{"dropping-particle":"","family":"Drake","given":"T","non-dropping-particle":"","parse-names":false,"suffix":""},{"dropping-particle":"","family":"Lusis","given":"A","non-dropping-particle":"","parse-names":false,"suffix":""},{"dropping-particle":"","family":"Horvath","given":"Steve","non-dropping-particle":"","parse-names":false,"suffix":""},{"dropping-particle":"","family":"Fuller","given":"T","non-dropping-particle":"","parse-names":false,"suffix":""},{"dropping-particle":"","family":"Ghazalpour","given":"A","non-dropping-particle":"","parse-names":false,"suffix":""},{"dropping-particle":"","family":"Aten","given":"J","non-dropping-particle":"","parse-names":false,"suffix":""},{"dropping-particle":"","family":"Drake","given":"T","non-dropping-particle":"","parse-names":false,"suffix":""},{"dropping-particle":"","family":"Lusis","given":"A","non-dropping-particle":"","parse-names":false,"suffix":""},{"dropping-particle":"","family":"Horvath","given":"Steve","non-dropping-particle":"","parse-names":false,"suffix":""},{"dropping-particle":"","family":"Emilsson","given":"V","non-dropping-particle":"","parse-names":false,"suffix":""},{"dropping-particle":"","family":"Thorleifsson","given":"G","non-dropping-particle":"","parse-names":false,"suffix":""},{"dropping-particle":"","family":"Zhang","given":"B","non-dropping-particle":"","parse-names":false,"suffix":""},{"dropping-particle":"","family":"Leonardson","given":"A","non-dropping-particle":"","parse-names":false,"suffix":""},{"dropping-particle":"","family":"Zink","given":"F","non-dropping-particle":"","parse-names":false,"suffix":""},{"dropping-particle":"","family":"Zhu","given":"J","non-dropping-particle":"","parse-names":false,"suffix":""},{"dropping-particle":"","family":"Carlson","given":"S","non-dropping-particle":"","parse-names":false,"suffix":""},{"dropping-particle":"","family":"Helgason","given":"A","non-dropping-particle":"","parse-names":false,"suffix":""},{"dropping-particle":"","family":"Walters","given":"G","non-dropping-particle":"","parse-names":false,"suffix":""},{"dropping-particle":"","family":"Gunnarsdottir","given":"S","non-dropping-particle":"","parse-names":false,"suffix":""},{"dropping-particle":"","family":"Mouy","given":"M","non-dropping-particle":"","parse-names":false,"suffix":""},{"dropping-particle":"","family":"Steinthorsdottir","given":"V","non-dropping-particle":"","parse-names":false,"suffix":""},{"dropping-particle":"","family":"Eiriksdottir","given":"G","non-dropping-particle":"","parse-names":false,"suffix":""},{"dropping-particle":"","family":"Bjornsdottir","given":"G","non-dropping-particle":"","parse-names":false,"suffix":""},{"dropping-particle":"","family":"Reynisdottir","given":"I","non-dropping-particle":"","parse-names":false,"suffix":""},{"dropping-particle":"","family":"Gudbjartsson","given":"D","non-dropping-particle":"","parse-names":false,"suffix":""},{"dropping-particle":"","family":"Helgadottir","given":"A","non-dropping-particle":"","parse-names":false,"suffix":""},{"dropping-particle":"","family":"Jonasdottir","given":"A","non-dropping-particle":"","parse-names":false,"suffix":""},{"dropping-particle":"","family":"Jonasdottir","given":"A","non-dropping-particle":"","parse-names":false,"suffix":""},{"dropping-particle":"","family":"Styrkarsdottir","given":"U","non-dropping-particle":"","parse-names":false,"suffix":""},{"dropping-particle":"","family":"Gretarsdottir","given":"S","non-dropping-particle":"","parse-names":false,"suffix":""},{"dropping-particle":"","family":"Magnusson","given":"K","non-dropping-particle":"","parse-names":false,"suffix":""},{"dropping-particle":"","family":"Stefansson","given":"H","non-dropping-particle":"","parse-names":false,"suffix":""},{"dropping-particle":"","family":"Fossdal","given":"R","non-dropping-particle":"","parse-names":false,"suffix":""},{"dropping-particle":"","family":"Kristjansson","given":"K","non-dropping-particle":"","parse-names":false,"suffix":""},{"dropping-particle":"","family":"Gislason","given":"H","non-dropping-particle":"","parse-names":false,"suffix":""},{"dropping-particle":"","family":"Stefansson","given":"T","non-dropping-particle":"","parse-names":false,"suffix":""},{"dropping-particle":"","family":"Leifsson","given":"B","non-dropping-particle":"","parse-names":false,"suffix":""},{"dropping-particle":"","family":"Thorsteinsdottir","given":"U","non-dropping-particle":"","parse-names":false,"suffix":""},{"dropping-particle":"","family":"Lamb","given":"J","non-dropping-particle":"","parse-names":false,"suffix":""},{"dropping-particle":"","family":"Gulcher","given":"MJ","non-dropping-particle":"","parse-names":false,"suffix":""},{"dropping-particle":"","family":"Reitman","given":"null","non-dropping-particle":"","parse-names":false,"suffix":""},{"dropping-particle":"","family":"Kong","given":"A","non-dropping-particle":"","parse-names":false,"suffix":""},{"dropping-particle":"","family":"Schadt","given":"EE","non-dropping-particle":"","parse-names":false,"suffix":""},{"dropping-particle":"","family":"Stefansson","given":"K","non-dropping-particle":"","parse-names":false,"suffix":""},{"dropping-particle":"van","family":"Nas","given":"A","non-dropping-particle":"","parse-names":false,"suffix":""},{"dropping-particle":"","family":"Guhathakurta","given":"D","non-dropping-particle":"","parse-names":false,"suffix":""},{"dropping-particle":"","family":"Wang","given":"S","non-dropping-particle":"","parse-names":false,"suffix":""},{"dropping-particle":"","family":"Yehya","given":"S","non-dropping-particle":"","parse-names":false,"suffix":""},{"dropping-particle":"","family":"Horvath","given":"Steve","non-dropping-particle":"","parse-names":false,"suffix":""},{"dropping-particle":"","family":"Zhang","given":"B","non-dropping-particle":"","parse-names":false,"suffix":""},{"dropping-particle":"","family":"Drake","given":"L Ingram","non-dropping-particle":"","parse-names":false,"suffix":""},{"dropping-particle":"","family":"Chaudhuri","given":"G","non-dropping-particle":"","parse-names":false,"suffix":""},{"dropping-particle":"","family":"Schadt","given":"EE","non-dropping-particle":"","parse-names":false,"suffix":""},{"dropping-particle":"","family":"Drake","given":"T","non-dropping-particle":"","parse-names":false,"suffix":""},{"dropping-particle":"","family":"Arnold","given":"A","non-dropping-particle":"","parse-names":false,"suffix":""},{"dropping-particle":"","family":"Lusis","given":"A","non-dropping-particle":"","parse-names":false,"suffix":""},{"dropping-particle":"","family":"Oldham","given":"MC","non-dropping-particle":"","parse-names":false,"suffix":""},{"dropping-particle":"","family":"Horvath","given":"Steve","non-dropping-particle":"","parse-names":false,"suffix":""},{"dropping-particle":"","family":"Geschwind","given":"DH","non-dropping-particle":"","parse-names":false,"suffix":""},{"dropping-particle":"","family":"Oldham","given":"MC","non-dropping-particle":"","parse-names":false,"suffix":""},{"dropping-particle":"","family":"Konopka","given":"G","non-dropping-particle":"","parse-names":false,"suffix":""},{"dropping-particle":"","family":"Iwamoto","given":"K","non-dropping-particle":"","parse-names":false,"suffix":""},{"dropping-particle":"","family":"Langfelder","given":"Peter","non-dropping-particle":"","parse-names":false,"suffix":""},{"dropping-particle":"","family":"Kato","given":"T","non-dropping-particle":"","parse-names":false,"suffix":""},{"dropping-particle":"","family":"Horvath","given":"Steve","non-dropping-particle":"","parse-names":false,"suffix":""},{"dropping-particle":"","family":"Geschwind","given":"DH","non-dropping-particle":"","parse-names":false,"suffix":""},{"dropping-particle":"","family":"Keller","given":"MP","non-dropping-particle":"","parse-names":false,"suffix":""},{"dropping-particle":"","family":"Choi","given":"Y","non-dropping-particle":"","parse-names":false,"suffix":""},{"dropping-particle":"","family":"Wang","given":"P","non-dropping-particle":"","parse-names":false,"suffix":""},{"dropping-particle":"","family":"Davis","given":"D Belt","non-dropping-particle":"","parse-names":false,"suffix":""},{"dropping-particle":"","family":"Rabaglia","given":"ME","non-dropping-particle":"","parse-names":false,"suffix":""},{"dropping-particle":"","family":"Oler","given":"AT","non-dropping-particle":"","parse-names":false,"suffix":""},{"dropping-particle":"","family":"Stapleton","given":"DS","non-dropping-particle":"","parse-names":false,"suffix":""},{"dropping-particle":"","family":"Argmann","given":"C","non-dropping-particle":"","parse-names":false,"suffix":""},{"dropping-particle":"","family":"Schueler","given":"KL","non-dropping-particle":"","parse-names":false,"suffix":""},{"dropping-particle":"","family":"Edwards","given":"S","non-dropping-particle":"","parse-names":false,"suffix":""},{"dropping-particle":"","family":"Steinberg","given":"HA","non-dropping-particle":"","parse-names":false,"suffix":""},{"dropping-particle":"","family":"Neto","given":"E Chaibub","non-dropping-particle":"","parse-names":false,"suffix":""},{"dropping-particle":"","family":"Kleinhanz","given":"R","non-dropping-particle":"","parse-names":false,"suffix":""},{"dropping-particle":"","family":"Turner","given":"S","non-dropping-particle":"","parse-names":false,"suffix":""},{"dropping-particle":"","family":"Hellerstein","given":"MK","non-dropping-particle":"","parse-names":false,"suffix":""},{"dropping-particle":"","family":"Schadt","given":"EE","non-dropping-particle":"","parse-names":false,"suffix":""},{"dropping-particle":"","family":"Yandell","given":"BS","non-dropping-particle":"","parse-names":false,"suffix":""},{"dropping-particle":"","family":"Kendziorski","given":"C","non-dropping-particle":"","parse-names":false,"suffix":""},{"dropping-particle":"","family":"Attie","given":"AD","non-dropping-particle":"","parse-names":false,"suffix":""},{"dropping-particle":"","family":"Presson","given":"A","non-dropping-particle":"","parse-names":false,"suffix":""},{"dropping-particle":"","family":"Sobel","given":"E","non-dropping-particle":"","parse-names":false,"suffix":""},{"dropping-particle":"","family":"Papp","given":"J","non-dropping-particle":"","parse-names":false,"suffix":""},{"dropping-particle":"","family":"Suarez","given":"C","non-dropping-particle":"","parse-names":false,"suffix":""},{"dropping-particle":"","family":"Whistler","given":"T","non-dropping-particle":"","parse-names":false,"suffix":""},{"dropping-particle":"","family":"Rajeevan","given":"M","non-dropping-particle":"","parse-names":false,"suffix":""},{"dropping-particle":"","family":"Vernon","given":"S","non-dropping-particle":"","parse-names":false,"suffix":""},{"dropping-particle":"","family":"Horvath","given":"Steve","non-dropping-particle":"","parse-names":false,"suffix":""},{"dropping-particle":"","family":"Weston","given":"D","non-dropping-particle":"","parse-names":false,"suffix":""},{"dropping-particle":"","family":"Gunter","given":"L","non-dropping-particle":"","parse-names":false,"suffix":""},{"dropping-particle":"","family":"Rogers","given":"A","non-dropping-particle":"","parse-names":false,"suffix":""},{"dropping-particle":"","family":"Wullschleger","given":"S","non-dropping-particle":"","parse-names":false,"suffix":""},{"dropping-particle":"","family":"Wilcox","given":"RR","non-dropping-particle":"","parse-names":false,"suffix":""},{"dropping-particle":"","family":"Yip","given":"A","non-dropping-particle":"","parse-names":false,"suffix":""},{"dropping-particle":"","family":"Horvath","given":"Steve","non-dropping-particle":"","parse-names":false,"suffix":""},{"dropping-particle":"","family":"Ravasz","given":"E","non-dropping-particle":"","parse-names":false,"suffix":""},{"dropping-particle":"","family":"Somera","given":"A","non-dropping-particle":"","parse-names":false,"suffix":""},{"dropping-particle":"","family":"Mongru","given":"D","non-dropping-particle":"","parse-names":false,"suffix":""},{"dropping-particle":"","family":"Oltvai","given":"Z","non-dropping-particle":"","parse-names":false,"suffix":""},{"dropping-particle":"","family":"Barabási","given":"A","non-dropping-particle":"","parse-names":false,"suffix":""},{"dropping-particle":"","family":"Li","given":"A","non-dropping-particle":"","parse-names":false,"suffix":""},{"dropping-particle":"","family":"Horvath","given":"Steve","non-dropping-particle":"","parse-names":false,"suffix":""},{"dropping-particle":"","family":"Kaufman","given":"L","non-dropping-particle":"","parse-names":false,"suffix":""},{"dropping-particle":"","family":"Rousseeuw","given":"P","non-dropping-particle":"","parse-names":false,"suffix":""},{"dropping-particle":"","family":"Langfelder","given":"Peter","non-dropping-particle":"","parse-names":false,"suffix":""},{"dropping-particle":"","family":"Zhang","given":"B","non-dropping-particle":"","parse-names":false,"suffix":""},{"dropping-particle":"","family":"Horvath","given":"Steve","non-dropping-particle":"","parse-names":false,"suffix":""},{"dropping-particle":"","family":"Dudoit","given":"S","non-dropping-particle":"","parse-names":false,"suffix":""},{"dropping-particle":"","family":"Fridlyand","given":"J","non-dropping-particle":"","parse-names":false,"suffix":""},{"dropping-particle":"","family":"Hastie","given":"T","non-dropping-particle":"","parse-names":false,"suffix":""},{"dropping-particle":"","family":"Tibshirani","given":"R","non-dropping-particle":"","parse-names":false,"suffix":""},{"dropping-particle":"","family":"Sherlock","given":"G","non-dropping-particle":"","parse-names":false,"suffix":""},{"dropping-particle":"","family":"Eisen","given":"M","non-dropping-particle":"","parse-names":false,"suffix":""},{"dropping-particle":"","family":"Brown","given":"P","non-dropping-particle":"","parse-names":false,"suffix":""},{"dropping-particle":"","family":"Botstein","given":"D","non-dropping-particle":"","parse-names":false,"suffix":""},{"dropping-particle":"","family":"Troyanskaya","given":"O","non-dropping-particle":"","parse-names":false,"suffix":""},{"dropping-particle":"","family":"Cantor","given":"M","non-dropping-particle":"","parse-names":false,"suffix":""},{"dropping-particle":"","family":"Sherlock","given":"G","non-dropping-particle":"","parse-names":false,"suffix":""},{"dropping-particle":"","family":"Brown","given":"P","non-dropping-particle":"","parse-names":false,"suffix":""},{"dropping-particle":"","family":"Hastie","given":"T","non-dropping-particle":"","parse-names":false,"suffix":""},{"dropping-particle":"","family":"Tibshirani","given":"R","non-dropping-particle":"","parse-names":false,"suffix":""},{"dropping-particle":"","family":"Botstein","given":"D","non-dropping-particle":"","parse-names":false,"suffix":""},{"dropping-particle":"","family":"Altman","given":"RB","non-dropping-particle":"","parse-names":false,"suffix":""},{"dropping-particle":"","family":"Dong","given":"J","non-dropping-particle":"","parse-names":false,"suffix":""},{"dropping-particle":"","family":"Horvath","given":"Steve","non-dropping-particle":"","parse-names":false,"suffix":""},{"dropping-particle":"","family":"Dudoit","given":"S","non-dropping-particle":"","parse-names":false,"suffix":""},{"dropping-particle":"","family":"Yang","given":"Y","non-dropping-particle":"","parse-names":false,"suffix":""},{"dropping-particle":"","family":"Callow","given":"M","non-dropping-particle":"","parse-names":false,"suffix":""},{"dropping-particle":"","family":"Speed","given":"T","non-dropping-particle":"","parse-names":false,"suffix":""},{"dropping-particle":"","family":"Hu","given":"Z","non-dropping-particle":"","parse-names":false,"suffix":""},{"dropping-particle":"","family":"Snitkin","given":"ES","non-dropping-particle":"","parse-names":false,"suffix":""},{"dropping-particle":"","family":"DeLisi","given":"C","non-dropping-particle":"","parse-names":false,"suffix":""},{"dropping-particle":"","family":"Shannon","given":"P","non-dropping-particle":"","parse-names":false,"suffix":""},{"dropping-particle":"","family":"Markiel","given":"A","non-dropping-particle":"","parse-names":false,"suffix":""},{"dropping-particle":"","family":"Ozier","given":"O","non-dropping-particle":"","parse-names":false,"suffix":""},{"dropping-particle":"","family":"Baliga","given":"NS","non-dropping-particle":"","parse-names":false,"suffix":""},{"dropping-particle":"","family":"Wang","given":"JT","non-dropping-particle":"","parse-names":false,"suffix":""},{"dropping-particle":"","family":"Ramage","given":"D","non-dropping-particle":"","parse-names":false,"suffix":""},{"dropping-particle":"","family":"Amin","given":"N","non-dropping-particle":"","parse-names":false,"suffix":""},{"dropping-particle":"","family":"Schwikowski","given":"B","non-dropping-particle":"","parse-names":false,"suffix":""},{"dropping-particle":"","family":"Ideker","given":"T","non-dropping-particle":"","parse-names":false,"suffix":""},{"dropping-particle":"","family":"Frohlich","given":"H","non-dropping-particle":"","parse-names":false,"suffix":""},{"dropping-particle":"","family":"Speer","given":"N","non-dropping-particle":"","parse-names":false,"suffix":""},{"dropping-particle":"","family":"Poustka","given":"A","non-dropping-particle":"","parse-names":false,"suffix":""},{"dropping-particle":"","family":"BeiSZbarth","given":"T","non-dropping-particle":"","parse-names":false,"suffix":""},{"dropping-particle":"","family":"Dennis","given":"G","non-dropping-particle":"","parse-names":false,"suffix":""},{"dropping-particle":"","family":"Sherman","given":"B","non-dropping-particle":"","parse-names":false,"suffix":""},{"dropping-particle":"","family":"Hosack","given":"D","non-dropping-particle":"","parse-names":false,"suffix":""},{"dropping-particle":"","family":"Yang","given":"J","non-dropping-particle":"","parse-names":false,"suffix":""},{"dropping-particle":"","family":"Gao","given":"W","non-dropping-particle":"","parse-names":false,"suffix":""},{"dropping-particle":"","family":"Lane","given":"H","non-dropping-particle":"","parse-names":false,"suffix":""},{"dropping-particle":"","family":"Lempicki","given":"R","non-dropping-particle":"","parse-names":false,"suffix":""},{"dropping-particle":"","family":"Ashburner","given":"M","non-dropping-particle":"","parse-names":false,"suffix":""},{"dropping-particle":"","family":"Ball","given":"CA","non-dropping-particle":"","parse-names":false,"suffix":""},{"dropping-particle":"","family":"Blake","given":"JA","non-dropping-particle":"","parse-names":false,"suffix":""},{"dropping-particle":"","family":"Botstein","given":"D","non-dropping-particle":"","parse-names":false,"suffix":""},{"dropping-particle":"","family":"Butler","given":"H","non-dropping-particle":"","parse-names":false,"suffix":""},{"dropping-particle":"","family":"Cherry","given":"JM","non-dropping-particle":"","parse-names":false,"suffix":""},{"dropping-particle":"","family":"Davis","given":"AP","non-dropping-particle":"","parse-names":false,"suffix":""},{"dropping-particle":"","family":"Dolinski","given":"K","non-dropping-particle":"","parse-names":false,"suffix":""},{"dropping-particle":"","family":"Dwight","given":"SS","non-dropping-particle":"","parse-names":false,"suffix":""},{"dropping-particle":"","family":"Eppig","given":"JT","non-dropping-particle":"","parse-names":false,"suffix":""},{"dropping-particle":"","family":"Harris","given":"MA","non-dropping-particle":"","parse-names":false,"suffix":""},{"dropping-particle":"","family":"Hill","given":"DP","non-dropping-particle":"","parse-names":false,"suffix":""},{"dropping-particle":"","family":"Issel-Tarver","given":"L","non-dropping-particle":"","parse-names":false,"suffix":""},{"dropping-particle":"","family":"Kasarskis","given":"A","non-dropping-particle":"","parse-names":false,"suffix":""},{"dropping-particle":"","family":"Lewis","given":"S","non-dropping-particle":"","parse-names":false,"suffix":""},{"dropping-particle":"","family":"Matese","given":"JC","non-dropping-particle":"","parse-names":false,"suffix":""},{"dropping-particle":"","family":"Richardson","given":"JE","non-dropping-particle":"","parse-names":false,"suffix":""},{"dropping-particle":"","family":"Ringwald","given":"M","non-dropping-particle":"","parse-names":false,"suffix":""},{"dropping-particle":"","family":"Rubin","given":"GM","non-dropping-particle":"","parse-names":false,"suffix":""},{"dropping-particle":"","family":"Sherlock","given":"G","non-dropping-particle":"","parse-names":false,"suffix":""},{"dropping-particle":"","family":"Zhang","given":"B","non-dropping-particle":"","parse-names":false,"suffix":""},{"dropping-particle":"","family":"Kirov","given":"S","non-dropping-particle":"","parse-names":false,"suffix":""},{"dropping-particle":"","family":"Snoddy","given":"J","non-dropping-particle":"","parse-names":false,"suffix":""},{"dropping-particle":"","family":"Liu","given":"M","non-dropping-particle":"","parse-names":false,"suffix":""},{"dropping-particle":"","family":"Liberzon","given":"A","non-dropping-particle":"","parse-names":false,"suffix":""},{"dropping-particle":"","family":"Kong","given":"SW","non-dropping-particle":"","parse-names":false,"suffix":""},{"dropping-particle":"","family":"Lai","given":"WR","non-dropping-particle":"","parse-names":false,"suffix":""},{"dropping-particle":"","family":"Park","given":"PJ","non-dropping-particle":"","parse-names":false,"suffix":""},{"dropping-particle":"","family":"Kohane","given":"IS","non-dropping-particle":"","parse-names":false,"suffix":""},{"dropping-particle":"","family":"Kasif","given":"S","non-dropping-particle":"","parse-names":false,"suffix":""},{"dropping-particle":"","family":"Henegar","given":"C","non-dropping-particle":"","parse-names":false,"suffix":""},{"dropping-particle":"","family":"Clement","given":"K","non-dropping-particle":"","parse-names":false,"suffix":""},{"dropping-particle":"","family":"Zucker","given":"JD","non-dropping-particle":"","parse-names":false,"suffix":""},{"dropping-particle":"","family":"Gentleman","given":"R","non-dropping-particle":"","parse-names":false,"suffix":""},{"dropping-particle":"","family":"Huber","given":"W","non-dropping-particle":"","parse-names":false,"suffix":""},{"dropping-particle":"","family":"Carey","given":"VJ","non-dropping-particle":"","parse-names":false,"suffix":""},{"dropping-particle":"","family":"Irizarry","given":"R","non-dropping-particle":"","parse-names":false,"suffix":""},{"dropping-particle":"","family":"Dudoit","given":"S","non-dropping-particle":"","parse-names":false,"suffix":""},{"dropping-particle":"","family":"Opgen-Rhein","given":"R","non-dropping-particle":"","parse-names":false,"suffix":""},{"dropping-particle":"","family":"Strimmer","given":"K","non-dropping-particle":"","parse-names":false,"suffix":""},{"dropping-particle":"","family":"Aten","given":"J","non-dropping-particle":"","parse-names":false,"suffix":""},{"dropping-particle":"","family":"Fuller","given":"T","non-dropping-particle":"","parse-names":false,"suffix":""},{"dropping-particle":"","family":"Lusis","given":"A","non-dropping-particle":"","parse-names":false,"suffix":""},{"dropping-particle":"","family":"Horvath","given":"Steve","non-dropping-particle":"","parse-names":false,"suffix":""},{"dropping-particle":"","family":"Neto","given":"E Chaibub","non-dropping-particle":"","parse-names":false,"suffix":""},{"dropping-particle":"","family":"Ferrara","given":"CT","non-dropping-particle":"","parse-names":false,"suffix":""},{"dropping-particle":"","family":"Attie","given":"AD","non-dropping-particle":"","parse-names":false,"suffix":""},{"dropping-particle":"","family":"Yandell","given":"BS","non-dropping-particle":"","parse-names":false,"suffix":""}],"container-title":"BMC Bioinformatics","id":"ITEM-1","issue":"1","issued":{"date-parts":[["2008","12","29"]]},"page":"559","publisher":"BioMed Central","title":"WGCNA: an R package for weighted correlation network analysis","type":"article-journal","volume":"9"},"uris":["http://www.mendeley.com/documents/?uuid=314360ec-e67e-4c5b-b106-baf8d27d4cb9"]}],"mendeley":{"formattedCitation":"&lt;sup&gt;87&lt;/sup&gt;","plainTextFormattedCitation":"87","previouslyFormattedCitation":"&lt;sup&gt;87&lt;/sup&gt;"},"properties":{"noteIndex":0},"schema":"https://github.com/citation-style-language/schema/raw/master/csl-citation.json"}</w:instrText>
      </w:r>
      <w:r w:rsidR="006A6AE8" w:rsidRPr="0082680A">
        <w:rPr>
          <w:lang w:val="en-GB"/>
        </w:rPr>
        <w:fldChar w:fldCharType="separate"/>
      </w:r>
      <w:r w:rsidR="00426B19" w:rsidRPr="00426B19">
        <w:rPr>
          <w:noProof/>
          <w:vertAlign w:val="superscript"/>
          <w:lang w:val="en-GB"/>
        </w:rPr>
        <w:t>87</w:t>
      </w:r>
      <w:r w:rsidR="006A6AE8" w:rsidRPr="0082680A">
        <w:rPr>
          <w:lang w:val="en-GB"/>
        </w:rPr>
        <w:fldChar w:fldCharType="end"/>
      </w:r>
      <w:r w:rsidRPr="0082680A">
        <w:rPr>
          <w:lang w:val="en-GB"/>
        </w:rPr>
        <w:t>. These approaches use the information stored within an edge to decide how the network is divided, however other approaches use the structure of the network instead. The structure of a network is called its topology. Topological network decomposition methods may define a module based around features such as the number of connections a node has (degree centrality), how many edges lie between it and other nodes (closeness centrality) or the number of shortest paths going through that node (betweenness centrality).</w:t>
      </w:r>
      <w:r w:rsidR="00C92239" w:rsidRPr="0082680A">
        <w:rPr>
          <w:lang w:val="en-GB"/>
        </w:rPr>
        <w:t xml:space="preserve"> Ultimately, there is no one way of building or decomposing a network, and the approach selected is heavily defined by the type of data upon which the network is built.</w:t>
      </w:r>
    </w:p>
    <w:p w14:paraId="4EF0BA02" w14:textId="37F2FB97" w:rsidR="00DD630F" w:rsidRPr="00691215" w:rsidRDefault="00F44FAF" w:rsidP="00691215">
      <w:pPr>
        <w:pStyle w:val="Heading3"/>
      </w:pPr>
      <w:bookmarkStart w:id="28" w:name="_Toc527800530"/>
      <w:bookmarkStart w:id="29" w:name="_Toc3211319"/>
      <w:r w:rsidRPr="00691215">
        <w:lastRenderedPageBreak/>
        <w:t>Target Prioritisation</w:t>
      </w:r>
      <w:bookmarkEnd w:id="28"/>
      <w:bookmarkEnd w:id="29"/>
    </w:p>
    <w:p w14:paraId="55F6D191" w14:textId="3C711A36" w:rsidR="00117180" w:rsidRPr="0082680A" w:rsidRDefault="005C4E13">
      <w:pPr>
        <w:contextualSpacing w:val="0"/>
        <w:rPr>
          <w:lang w:val="en-GB"/>
        </w:rPr>
      </w:pPr>
      <w:r w:rsidRPr="0082680A">
        <w:rPr>
          <w:lang w:val="en-GB"/>
        </w:rPr>
        <w:t>Once a signature is generated, its ability to represent a phenotype can only be truly validated through wet lab investigation in a living organism. Generally, the members of a signature cannot be all be tested</w:t>
      </w:r>
      <w:r w:rsidR="00F44FAF" w:rsidRPr="0082680A">
        <w:rPr>
          <w:lang w:val="en-GB"/>
        </w:rPr>
        <w:t>,</w:t>
      </w:r>
      <w:r w:rsidRPr="0082680A">
        <w:rPr>
          <w:lang w:val="en-GB"/>
        </w:rPr>
        <w:t xml:space="preserve"> consequently</w:t>
      </w:r>
      <w:r w:rsidR="00E91B38" w:rsidRPr="0082680A">
        <w:rPr>
          <w:lang w:val="en-GB"/>
        </w:rPr>
        <w:t xml:space="preserve"> the most promising</w:t>
      </w:r>
      <w:r w:rsidR="00F44FAF" w:rsidRPr="0082680A">
        <w:rPr>
          <w:lang w:val="en-GB"/>
        </w:rPr>
        <w:t xml:space="preserve"> targets must be chosen. </w:t>
      </w:r>
      <w:r w:rsidR="00E91B38" w:rsidRPr="0082680A">
        <w:rPr>
          <w:lang w:val="en-GB"/>
        </w:rPr>
        <w:t xml:space="preserve">The approach by which these targets are assessed is called “target prioritisation”. In target prioritisation, the candidates are assessed computationally, usually by some kind of scoring system, to indicate their probability of being successful. </w:t>
      </w:r>
      <w:r w:rsidR="00F44FAF" w:rsidRPr="0082680A">
        <w:rPr>
          <w:lang w:val="en-GB"/>
        </w:rPr>
        <w:t>Target prioritisation has become</w:t>
      </w:r>
      <w:r w:rsidR="00064504" w:rsidRPr="0082680A">
        <w:rPr>
          <w:lang w:val="en-GB"/>
        </w:rPr>
        <w:t xml:space="preserve"> a hot topic</w:t>
      </w:r>
      <w:r w:rsidR="00F44FAF" w:rsidRPr="0082680A">
        <w:rPr>
          <w:lang w:val="en-GB"/>
        </w:rPr>
        <w:t xml:space="preserve"> in the pharmaceutical industry, partly because it has proven extremely difficult to master, but </w:t>
      </w:r>
      <w:r w:rsidR="00064504" w:rsidRPr="0082680A">
        <w:rPr>
          <w:lang w:val="en-GB"/>
        </w:rPr>
        <w:t>mainly</w:t>
      </w:r>
      <w:r w:rsidR="00F44FAF" w:rsidRPr="0082680A">
        <w:rPr>
          <w:lang w:val="en-GB"/>
        </w:rPr>
        <w:t xml:space="preserve"> </w:t>
      </w:r>
      <w:r w:rsidR="00064504" w:rsidRPr="0082680A">
        <w:rPr>
          <w:lang w:val="en-GB"/>
        </w:rPr>
        <w:t>due to</w:t>
      </w:r>
      <w:r w:rsidR="00391A44" w:rsidRPr="0082680A">
        <w:rPr>
          <w:lang w:val="en-GB"/>
        </w:rPr>
        <w:t xml:space="preserve"> its role in risk reduction: </w:t>
      </w:r>
      <w:r w:rsidR="00F44FAF" w:rsidRPr="0082680A">
        <w:rPr>
          <w:lang w:val="en-GB"/>
        </w:rPr>
        <w:t xml:space="preserve">it </w:t>
      </w:r>
      <w:r w:rsidR="00C92239" w:rsidRPr="0082680A">
        <w:rPr>
          <w:lang w:val="en-GB"/>
        </w:rPr>
        <w:t>has the potential to</w:t>
      </w:r>
      <w:r w:rsidR="00F44FAF" w:rsidRPr="0082680A">
        <w:rPr>
          <w:lang w:val="en-GB"/>
        </w:rPr>
        <w:t xml:space="preserve"> save billions of dollars</w:t>
      </w:r>
      <w:r w:rsidR="00C92239" w:rsidRPr="0082680A">
        <w:rPr>
          <w:lang w:val="en-GB"/>
        </w:rPr>
        <w:t xml:space="preserve"> in drug discovery</w:t>
      </w:r>
      <w:r w:rsidR="00F44FAF" w:rsidRPr="0082680A">
        <w:rPr>
          <w:lang w:val="en-GB"/>
        </w:rPr>
        <w:t xml:space="preserve">. In the decade between 2002 and 2012, there was a 99.6% failure rate for Alzheimer’s disease drug trials. As the Tufts </w:t>
      </w:r>
      <w:proofErr w:type="spellStart"/>
      <w:r w:rsidR="00F44FAF" w:rsidRPr="0082680A">
        <w:rPr>
          <w:lang w:val="en-GB"/>
        </w:rPr>
        <w:t>Center</w:t>
      </w:r>
      <w:proofErr w:type="spellEnd"/>
      <w:r w:rsidR="00F44FAF" w:rsidRPr="0082680A">
        <w:rPr>
          <w:lang w:val="en-GB"/>
        </w:rPr>
        <w:t xml:space="preserve"> for the Study of Drug Development prices the average clinical trial at $2.6 billion, it is clear that the pharmaceutical industry simply cannot afford to keep </w:t>
      </w:r>
      <w:r w:rsidR="00E91B38" w:rsidRPr="0082680A">
        <w:rPr>
          <w:lang w:val="en-GB"/>
        </w:rPr>
        <w:t>approaching drug discovery with a ‘</w:t>
      </w:r>
      <w:proofErr w:type="spellStart"/>
      <w:r w:rsidR="00E91B38" w:rsidRPr="0082680A">
        <w:rPr>
          <w:lang w:val="en-GB"/>
        </w:rPr>
        <w:t>trail</w:t>
      </w:r>
      <w:proofErr w:type="spellEnd"/>
      <w:r w:rsidR="00E91B38" w:rsidRPr="0082680A">
        <w:rPr>
          <w:lang w:val="en-GB"/>
        </w:rPr>
        <w:t xml:space="preserve"> and error’ approach</w:t>
      </w:r>
      <w:r w:rsidR="00064504" w:rsidRPr="0082680A">
        <w:rPr>
          <w:lang w:val="en-GB"/>
        </w:rPr>
        <w:t xml:space="preserve"> </w:t>
      </w:r>
      <w:r w:rsidR="00064504" w:rsidRPr="0082680A">
        <w:rPr>
          <w:lang w:val="en-GB"/>
        </w:rPr>
        <w:fldChar w:fldCharType="begin" w:fldLock="1"/>
      </w:r>
      <w:r w:rsidR="000507BA">
        <w:rPr>
          <w:lang w:val="en-GB"/>
        </w:rPr>
        <w:instrText>ADDIN CSL_CITATION {"citationItems":[{"id":"ITEM-1","itemData":{"DOI":"10.1038/nrd4507","ISSN":"1474-1776","author":[{"dropping-particle":"","family":"Mullard","given":"Asher","non-dropping-particle":"","parse-names":false,"suffix":""}],"container-title":"Nature Reviews Drug Discovery","id":"ITEM-1","issue":"12","issued":{"date-parts":[["2014","12","1"]]},"page":"877-877","title":"New drugs cost US$2.6 billion to develop","type":"article-journal","volume":"13"},"uris":["http://www.mendeley.com/documents/?uuid=1b61acc7-07a1-3ed0-8647-dc8795892de4"]}],"mendeley":{"formattedCitation":"&lt;sup&gt;88&lt;/sup&gt;","plainTextFormattedCitation":"88","previouslyFormattedCitation":"&lt;sup&gt;88&lt;/sup&gt;"},"properties":{"noteIndex":0},"schema":"https://github.com/citation-style-language/schema/raw/master/csl-citation.json"}</w:instrText>
      </w:r>
      <w:r w:rsidR="00064504" w:rsidRPr="0082680A">
        <w:rPr>
          <w:lang w:val="en-GB"/>
        </w:rPr>
        <w:fldChar w:fldCharType="separate"/>
      </w:r>
      <w:r w:rsidR="00426B19" w:rsidRPr="00426B19">
        <w:rPr>
          <w:noProof/>
          <w:vertAlign w:val="superscript"/>
          <w:lang w:val="en-GB"/>
        </w:rPr>
        <w:t>88</w:t>
      </w:r>
      <w:r w:rsidR="00064504" w:rsidRPr="0082680A">
        <w:rPr>
          <w:lang w:val="en-GB"/>
        </w:rPr>
        <w:fldChar w:fldCharType="end"/>
      </w:r>
      <w:r w:rsidR="00F44FAF" w:rsidRPr="0082680A">
        <w:rPr>
          <w:lang w:val="en-GB"/>
        </w:rPr>
        <w:t xml:space="preserve">. </w:t>
      </w:r>
    </w:p>
    <w:p w14:paraId="041CB054" w14:textId="6CEC899A" w:rsidR="00DD630F" w:rsidRPr="0082680A" w:rsidRDefault="00117180">
      <w:pPr>
        <w:contextualSpacing w:val="0"/>
        <w:rPr>
          <w:lang w:val="en-GB"/>
        </w:rPr>
      </w:pPr>
      <w:r w:rsidRPr="0082680A">
        <w:rPr>
          <w:lang w:val="en-GB"/>
        </w:rPr>
        <w:t xml:space="preserve">As with signature generation, target prioritisation works most effectively when a large number of data sources are used in conjunction with one another </w:t>
      </w:r>
      <w:r w:rsidRPr="0082680A">
        <w:rPr>
          <w:lang w:val="en-GB"/>
        </w:rPr>
        <w:fldChar w:fldCharType="begin" w:fldLock="1"/>
      </w:r>
      <w:r w:rsidR="000507BA">
        <w:rPr>
          <w:lang w:val="en-GB"/>
        </w:rPr>
        <w:instrText>ADDIN CSL_CITATION {"citationItems":[{"id":"ITEM-1","itemData":{"DOI":"10.1093/nar/gkl381","ISSN":"1362-4962","PMID":"16757574","abstract":"Genome-wide experimental methods to identify disease genes, such as linkage analysis and association studies, generate increasingly large candidate gene sets for which comprehensive empirical analysis is impractical. Computational methods employ data from a variety of sources to identify the most likely candidate disease genes from these gene sets. Here, we review seven independent computational disease gene prioritization methods, and then apply them in concert to the analysis of 9556 positional candidate genes for type 2 diabetes (T2D) and the related trait obesity. We generate and analyse a list of nine primary candidate genes for T2D genes and five for obesity. Two genes, LPL and BCKDHA, are common to these two sets. We also present a set of secondary candidates for T2D (94 genes) and for obesity (116 genes) with 58 genes in common to both diseases.","author":[{"dropping-particle":"","family":"Tiffin","given":"Nicki","non-dropping-particle":"","parse-names":false,"suffix":""},{"dropping-particle":"","family":"Adie","given":"Euan","non-dropping-particle":"","parse-names":false,"suffix":""},{"dropping-particle":"","family":"Turner","given":"Frances","non-dropping-particle":"","parse-names":false,"suffix":""},{"dropping-particle":"","family":"Brunner","given":"Han G","non-dropping-particle":"","parse-names":false,"suffix":""},{"dropping-particle":"","family":"Driel","given":"Marc A","non-dropping-particle":"van","parse-names":false,"suffix":""},{"dropping-particle":"","family":"Oti","given":"Martin","non-dropping-particle":"","parse-names":false,"suffix":""},{"dropping-particle":"","family":"Lopez-Bigas","given":"Nuria","non-dropping-particle":"","parse-names":false,"suffix":""},{"dropping-particle":"","family":"Ouzounis","given":"Christos","non-dropping-particle":"","parse-names":false,"suffix":""},{"dropping-particle":"","family":"Perez-Iratxeta","given":"Carolina","non-dropping-particle":"","parse-names":false,"suffix":""},{"dropping-particle":"","family":"Andrade-Navarro","given":"Miguel A","non-dropping-particle":"","parse-names":false,"suffix":""},{"dropping-particle":"","family":"Adeyemo","given":"Adebowale","non-dropping-particle":"","parse-names":false,"suffix":""},{"dropping-particle":"","family":"Patti","given":"Mary Elizabeth","non-dropping-particle":"","parse-names":false,"suffix":""},{"dropping-particle":"","family":"Semple","given":"Colin A M","non-dropping-particle":"","parse-names":false,"suffix":""},{"dropping-particle":"","family":"Hide","given":"Winston","non-dropping-particle":"","parse-names":false,"suffix":""}],"container-title":"Nucleic acids research","id":"ITEM-1","issue":"10","issued":{"date-parts":[["2006"]]},"page":"3067-81","publisher":"Oxford University Press","title":"Computational disease gene identification: a concert of methods prioritizes type 2 diabetes and obesity candidate genes.","type":"article-journal","volume":"34"},"uris":["http://www.mendeley.com/documents/?uuid=435265d6-67a3-37d0-aed1-fa091cdd1cdc"]}],"mendeley":{"formattedCitation":"&lt;sup&gt;89&lt;/sup&gt;","plainTextFormattedCitation":"89","previouslyFormattedCitation":"&lt;sup&gt;89&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89</w:t>
      </w:r>
      <w:r w:rsidRPr="0082680A">
        <w:rPr>
          <w:lang w:val="en-GB"/>
        </w:rPr>
        <w:fldChar w:fldCharType="end"/>
      </w:r>
      <w:r w:rsidRPr="0082680A">
        <w:rPr>
          <w:lang w:val="en-GB"/>
        </w:rPr>
        <w:t xml:space="preserve">. </w:t>
      </w:r>
      <w:r w:rsidR="00F44FAF" w:rsidRPr="0082680A">
        <w:rPr>
          <w:lang w:val="en-GB"/>
        </w:rPr>
        <w:t>Important sources of information include the candidates</w:t>
      </w:r>
      <w:r w:rsidRPr="0082680A">
        <w:rPr>
          <w:lang w:val="en-GB"/>
        </w:rPr>
        <w:t>’ expression changes, possession of</w:t>
      </w:r>
      <w:r w:rsidR="00F44FAF" w:rsidRPr="0082680A">
        <w:rPr>
          <w:lang w:val="en-GB"/>
        </w:rPr>
        <w:t xml:space="preserve"> </w:t>
      </w:r>
      <w:r w:rsidRPr="0082680A">
        <w:rPr>
          <w:lang w:val="en-GB"/>
        </w:rPr>
        <w:t>genetic perturbations</w:t>
      </w:r>
      <w:r w:rsidR="00F44FAF" w:rsidRPr="0082680A">
        <w:rPr>
          <w:lang w:val="en-GB"/>
        </w:rPr>
        <w:t>, participa</w:t>
      </w:r>
      <w:r w:rsidRPr="0082680A">
        <w:rPr>
          <w:lang w:val="en-GB"/>
        </w:rPr>
        <w:t>tion</w:t>
      </w:r>
      <w:r w:rsidR="00F44FAF" w:rsidRPr="0082680A">
        <w:rPr>
          <w:lang w:val="en-GB"/>
        </w:rPr>
        <w:t xml:space="preserve"> in pathways already associated with the disease, or whether they are known regulators of other genes, e.g. a transcription factor. There are a number of software tools that have been developed for target prioritisation. The web tool Endeavour (</w:t>
      </w:r>
      <w:hyperlink r:id="rId40" w:history="1">
        <w:r w:rsidR="00B958C5" w:rsidRPr="0082680A">
          <w:rPr>
            <w:rStyle w:val="Hyperlink"/>
            <w:lang w:val="en-GB"/>
          </w:rPr>
          <w:t>https://endeavour.esat.kuleuven.be/</w:t>
        </w:r>
      </w:hyperlink>
      <w:r w:rsidR="00F44FAF" w:rsidRPr="0082680A">
        <w:rPr>
          <w:lang w:val="en-GB"/>
        </w:rPr>
        <w:t>)</w:t>
      </w:r>
      <w:r w:rsidR="00B958C5" w:rsidRPr="0082680A">
        <w:rPr>
          <w:lang w:val="en-GB"/>
        </w:rPr>
        <w:t xml:space="preserve"> </w:t>
      </w:r>
      <w:r w:rsidR="00F44FAF" w:rsidRPr="0082680A">
        <w:rPr>
          <w:lang w:val="en-GB"/>
        </w:rPr>
        <w:t>incorporates information from 6 species and 75 databases to prioritise candidate gene lists, with addition of a training gene list of known disease-associated genes to train the algorithm. Other tools employ a network-based analysis to identify genes which are likely to be upstream regulators of the signature. Ingenuity Pathway Analysis by Qiagen (</w:t>
      </w:r>
      <w:hyperlink r:id="rId41" w:history="1">
        <w:r w:rsidR="00B958C5" w:rsidRPr="0082680A">
          <w:rPr>
            <w:rStyle w:val="Hyperlink"/>
            <w:lang w:val="en-GB"/>
          </w:rPr>
          <w:t>https://www.qiagenbioinformatics.com/products/ingenuity-pathway-analysis/</w:t>
        </w:r>
      </w:hyperlink>
      <w:r w:rsidR="00F44FAF" w:rsidRPr="0082680A">
        <w:rPr>
          <w:lang w:val="en-GB"/>
        </w:rPr>
        <w:t>)</w:t>
      </w:r>
      <w:r w:rsidR="00B958C5" w:rsidRPr="0082680A">
        <w:rPr>
          <w:lang w:val="en-GB"/>
        </w:rPr>
        <w:t xml:space="preserve"> </w:t>
      </w:r>
      <w:r w:rsidR="00F44FAF" w:rsidRPr="0082680A">
        <w:rPr>
          <w:lang w:val="en-GB"/>
        </w:rPr>
        <w:t>looks for enrichment of transcription factor targets within the submitted gene set. It can also incorporate expression data to predict the likely effect, whether excitation or inhibition, that the transcription factor has on each gene. An evolution of this approach was developed by GeneXplain (</w:t>
      </w:r>
      <w:hyperlink r:id="rId42" w:history="1">
        <w:r w:rsidR="00B958C5" w:rsidRPr="0082680A">
          <w:rPr>
            <w:rStyle w:val="Hyperlink"/>
            <w:lang w:val="en-GB"/>
          </w:rPr>
          <w:t>http://genexplain.com/</w:t>
        </w:r>
      </w:hyperlink>
      <w:r w:rsidR="00F44FAF" w:rsidRPr="0082680A">
        <w:rPr>
          <w:lang w:val="en-GB"/>
        </w:rPr>
        <w:t>)</w:t>
      </w:r>
      <w:r w:rsidR="004D2E35" w:rsidRPr="0082680A">
        <w:rPr>
          <w:lang w:val="en-GB"/>
        </w:rPr>
        <w:t>.</w:t>
      </w:r>
      <w:r w:rsidR="00B958C5" w:rsidRPr="0082680A">
        <w:rPr>
          <w:lang w:val="en-GB"/>
        </w:rPr>
        <w:t xml:space="preserve"> </w:t>
      </w:r>
      <w:r w:rsidR="00F44FAF" w:rsidRPr="0082680A">
        <w:rPr>
          <w:lang w:val="en-GB"/>
        </w:rPr>
        <w:t xml:space="preserve">GeneXplain’s tool Upstream Analysis identifies transcription factors through modelling of promoters in the input gene set. Pathways associated with these transcription factors are analysed for member overlap, and the molecules sitting within these overlaps are named ‘master </w:t>
      </w:r>
      <w:proofErr w:type="gramStart"/>
      <w:r w:rsidR="00F74859" w:rsidRPr="0082680A">
        <w:rPr>
          <w:lang w:val="en-GB"/>
        </w:rPr>
        <w:t>regulators’</w:t>
      </w:r>
      <w:proofErr w:type="gramEnd"/>
      <w:r w:rsidR="00F44FAF" w:rsidRPr="0082680A">
        <w:rPr>
          <w:lang w:val="en-GB"/>
        </w:rPr>
        <w:t>. Both these methods practice the logic that elements which regulate a gene set are likely to represent more successful therapeutic targets than members within, although these two concepts can overlap.</w:t>
      </w:r>
    </w:p>
    <w:p w14:paraId="5BA53292" w14:textId="61DBEE87" w:rsidR="00DD630F" w:rsidRPr="0082680A" w:rsidRDefault="00F44FAF">
      <w:pPr>
        <w:contextualSpacing w:val="0"/>
        <w:rPr>
          <w:lang w:val="en-GB"/>
        </w:rPr>
      </w:pPr>
      <w:r w:rsidRPr="0082680A">
        <w:rPr>
          <w:lang w:val="en-GB"/>
        </w:rPr>
        <w:lastRenderedPageBreak/>
        <w:t xml:space="preserve">Packaged methods for target prioritisation are improving constantly, however there are shortfalls. Like with any standardised method, it is less flexible to the specific research question of each experiment. Many factors may change the outcome of tests such as these; disease being studied, tissue type, genetic background of patients, and so on. </w:t>
      </w:r>
      <w:r w:rsidR="00117180" w:rsidRPr="0082680A">
        <w:rPr>
          <w:lang w:val="en-GB"/>
        </w:rPr>
        <w:t>Subsequently bespoke target prioritisation approaches may be more successful than pre-packaged approaches alone.</w:t>
      </w:r>
      <w:r w:rsidRPr="0082680A">
        <w:rPr>
          <w:lang w:val="en-GB"/>
        </w:rPr>
        <w:t xml:space="preserve"> </w:t>
      </w:r>
    </w:p>
    <w:p w14:paraId="46979836" w14:textId="7FAA99E2" w:rsidR="00387EAF" w:rsidRPr="00691215" w:rsidRDefault="00387EAF" w:rsidP="00691215">
      <w:pPr>
        <w:pStyle w:val="Heading3"/>
      </w:pPr>
      <w:bookmarkStart w:id="30" w:name="_Toc3211320"/>
      <w:r w:rsidRPr="00691215">
        <w:t>Summary</w:t>
      </w:r>
      <w:bookmarkEnd w:id="30"/>
    </w:p>
    <w:p w14:paraId="6B9203BF" w14:textId="76878FD5" w:rsidR="00DD630F" w:rsidRDefault="00F44FAF">
      <w:pPr>
        <w:contextualSpacing w:val="0"/>
        <w:rPr>
          <w:lang w:val="en-GB"/>
        </w:rPr>
      </w:pPr>
      <w:r w:rsidRPr="0082680A">
        <w:rPr>
          <w:lang w:val="en-GB"/>
        </w:rPr>
        <w:t xml:space="preserve">We have identified a crucial need in biomedical research to increase the speed and accuracy of disease discovery. Additionally, we have highlighted how complex diseases have fallen behind in the push to develop effective therapeutics, due to the variability and complexity of these conditions. We have discussed the significant potential that computational modelling of complex disease phenotypes </w:t>
      </w:r>
      <w:proofErr w:type="gramStart"/>
      <w:r w:rsidRPr="0082680A">
        <w:rPr>
          <w:lang w:val="en-GB"/>
        </w:rPr>
        <w:t>represents, and</w:t>
      </w:r>
      <w:proofErr w:type="gramEnd"/>
      <w:r w:rsidRPr="0082680A">
        <w:rPr>
          <w:lang w:val="en-GB"/>
        </w:rPr>
        <w:t xml:space="preserve"> proposed that the development of molecular signatures may be the shortcut to identification of disease drivers. The strengths and weaknesses of signatures has been reviewed, and a number of strategies have been identified to avoid common pitfalls. Finally, we have presented and evaluated a number of approaches and contributors to signature building, to ensure the final product is accurate, reliable, robust</w:t>
      </w:r>
      <w:r w:rsidR="00391A44" w:rsidRPr="0082680A">
        <w:rPr>
          <w:lang w:val="en-GB"/>
        </w:rPr>
        <w:t xml:space="preserve"> and</w:t>
      </w:r>
      <w:r w:rsidR="005C4E13" w:rsidRPr="0082680A">
        <w:rPr>
          <w:lang w:val="en-GB"/>
        </w:rPr>
        <w:t xml:space="preserve"> most</w:t>
      </w:r>
      <w:r w:rsidR="00391A44" w:rsidRPr="0082680A">
        <w:rPr>
          <w:lang w:val="en-GB"/>
        </w:rPr>
        <w:t xml:space="preserve"> importantly, reproducible.</w:t>
      </w:r>
    </w:p>
    <w:p w14:paraId="49A5CE9F" w14:textId="78F4877E" w:rsidR="00C454A1" w:rsidRDefault="00C454A1">
      <w:pPr>
        <w:contextualSpacing w:val="0"/>
        <w:rPr>
          <w:lang w:val="en-GB"/>
        </w:rPr>
      </w:pPr>
    </w:p>
    <w:p w14:paraId="57FEF5E4" w14:textId="7E572158" w:rsidR="00C454A1" w:rsidRDefault="00C454A1" w:rsidP="00C454A1">
      <w:pPr>
        <w:pStyle w:val="Heading2"/>
      </w:pPr>
      <w:bookmarkStart w:id="31" w:name="_Toc3211321"/>
      <w:r>
        <w:t xml:space="preserve">Current </w:t>
      </w:r>
      <w:r w:rsidR="008778D1">
        <w:t>C</w:t>
      </w:r>
      <w:r>
        <w:t xml:space="preserve">ommon </w:t>
      </w:r>
      <w:r w:rsidR="008778D1">
        <w:t>S</w:t>
      </w:r>
      <w:r>
        <w:t xml:space="preserve">ignature </w:t>
      </w:r>
      <w:r w:rsidR="008778D1">
        <w:t>M</w:t>
      </w:r>
      <w:r>
        <w:t>ethods</w:t>
      </w:r>
      <w:bookmarkEnd w:id="31"/>
    </w:p>
    <w:p w14:paraId="2BCBAD01" w14:textId="2954E376" w:rsidR="00D84714" w:rsidRDefault="00D84714" w:rsidP="00D84714">
      <w:pPr>
        <w:rPr>
          <w:lang w:val="en-GB"/>
        </w:rPr>
      </w:pPr>
      <w:r>
        <w:rPr>
          <w:lang w:val="en-GB"/>
        </w:rPr>
        <w:t xml:space="preserve">A number of studies have made already made attempts to generate common signatures from disparate datasets. Here we will present nine of these studies, representing a wide variety of conditions and approaches, and provide a discussion on areas for improvement that we may be able to address in our own methodology. A summary of the methodologies used by each study can be found in Table </w:t>
      </w:r>
      <w:r w:rsidR="0061081A">
        <w:rPr>
          <w:lang w:val="en-GB"/>
        </w:rPr>
        <w:t>1</w:t>
      </w:r>
      <w:r>
        <w:rPr>
          <w:lang w:val="en-GB"/>
        </w:rPr>
        <w:t>.</w:t>
      </w:r>
    </w:p>
    <w:p w14:paraId="3FB8D921" w14:textId="77777777" w:rsidR="00D84714" w:rsidRDefault="00D84714" w:rsidP="00D84714">
      <w:pPr>
        <w:rPr>
          <w:lang w:val="en-GB"/>
        </w:rPr>
      </w:pPr>
    </w:p>
    <w:p w14:paraId="59E4B889" w14:textId="7895D7F8" w:rsidR="003C073A" w:rsidRDefault="00D84714" w:rsidP="00D84714">
      <w:pPr>
        <w:rPr>
          <w:lang w:val="en-GB"/>
        </w:rPr>
      </w:pPr>
      <w:r>
        <w:rPr>
          <w:lang w:val="en-GB"/>
        </w:rPr>
        <w:t xml:space="preserve">As previously discussed, many signature generations studies generally begin their analysis with either differential expression analysis or genes associated with GWAS SNPs. In the first two columns of Table </w:t>
      </w:r>
      <w:r w:rsidR="0061081A">
        <w:rPr>
          <w:lang w:val="en-GB"/>
        </w:rPr>
        <w:t>1</w:t>
      </w:r>
      <w:r>
        <w:rPr>
          <w:lang w:val="en-GB"/>
        </w:rPr>
        <w:t xml:space="preserve"> we see that 6/9 studies implemented DE analysis at some stage in their signature generation approach, 2 of which also employed analysis of genomic data. The remaining 3 studies used only genomic data. A variety of methods </w:t>
      </w:r>
      <w:r w:rsidR="00CF3602">
        <w:rPr>
          <w:lang w:val="en-GB"/>
        </w:rPr>
        <w:t>can be</w:t>
      </w:r>
      <w:r>
        <w:rPr>
          <w:lang w:val="en-GB"/>
        </w:rPr>
        <w:t xml:space="preserve"> applied to meta-analyse differential expression across multiple datasets; in some, such as </w:t>
      </w:r>
      <w:proofErr w:type="spellStart"/>
      <w:r>
        <w:rPr>
          <w:lang w:val="en-GB"/>
        </w:rPr>
        <w:t>Glaab</w:t>
      </w:r>
      <w:proofErr w:type="spellEnd"/>
      <w:r>
        <w:rPr>
          <w:lang w:val="en-GB"/>
        </w:rPr>
        <w:t xml:space="preserve"> et al., datasets </w:t>
      </w:r>
      <w:r w:rsidR="00CF3602">
        <w:rPr>
          <w:lang w:val="en-GB"/>
        </w:rPr>
        <w:t>are</w:t>
      </w:r>
      <w:r>
        <w:rPr>
          <w:lang w:val="en-GB"/>
        </w:rPr>
        <w:t xml:space="preserve"> analysed individually for differential expression, after which P-Values </w:t>
      </w:r>
      <w:r w:rsidR="00CF3602">
        <w:rPr>
          <w:lang w:val="en-GB"/>
        </w:rPr>
        <w:t>are</w:t>
      </w:r>
      <w:r>
        <w:rPr>
          <w:lang w:val="en-GB"/>
        </w:rPr>
        <w:t xml:space="preserve"> combined using a weighted P-Value combination approach (e.g. </w:t>
      </w:r>
      <w:r w:rsidRPr="00E23DC2">
        <w:rPr>
          <w:lang w:val="en-GB"/>
        </w:rPr>
        <w:t>moderated effect size combination</w:t>
      </w:r>
      <w:r>
        <w:rPr>
          <w:lang w:val="en-GB"/>
        </w:rPr>
        <w:t xml:space="preserve"> </w:t>
      </w:r>
      <w:r>
        <w:rPr>
          <w:lang w:val="en-GB"/>
        </w:rPr>
        <w:fldChar w:fldCharType="begin" w:fldLock="1"/>
      </w:r>
      <w:r w:rsidR="000507BA">
        <w:rPr>
          <w:lang w:val="en-GB"/>
        </w:rPr>
        <w:instrText>ADDIN CSL_CITATION {"citationItems":[{"id":"ITEM-1","itemData":{"DOI":"10.1093/bioinformatics/btp444","ISSN":"1367-4803","author":[{"dropping-particle":"","family":"Marot","given":"G.","non-dropping-particle":"","parse-names":false,"suffix":""},{"dropping-particle":"","family":"Foulley","given":"J.-L.","non-dropping-particle":"","parse-names":false,"suffix":""},{"dropping-particle":"","family":"Mayer","given":"C.-D.","non-dropping-particle":"","parse-names":false,"suffix":""},{"dropping-particle":"","family":"Jaffrezic","given":"F.","non-dropping-particle":"","parse-names":false,"suffix":""}],"container-title":"Bioinformatics","id":"ITEM-1","issue":"20","issued":{"date-parts":[["2009","10","15"]]},"page":"2692-2699","publisher":"Oxford University Press","title":"Moderated effect size and P-value combinations for microarray meta-analyses","type":"article-journal","volume":"25"},"uris":["http://www.mendeley.com/documents/?uuid=089d2dc2-904b-3144-a369-08be95127a91"]}],"mendeley":{"formattedCitation":"&lt;sup&gt;90&lt;/sup&gt;","plainTextFormattedCitation":"90","previouslyFormattedCitation":"&lt;sup&gt;90&lt;/sup&gt;"},"properties":{"noteIndex":0},"schema":"https://github.com/citation-style-language/schema/raw/master/csl-citation.json"}</w:instrText>
      </w:r>
      <w:r>
        <w:rPr>
          <w:lang w:val="en-GB"/>
        </w:rPr>
        <w:fldChar w:fldCharType="separate"/>
      </w:r>
      <w:r w:rsidR="00426B19" w:rsidRPr="00426B19">
        <w:rPr>
          <w:noProof/>
          <w:vertAlign w:val="superscript"/>
          <w:lang w:val="en-GB"/>
        </w:rPr>
        <w:t>90</w:t>
      </w:r>
      <w:r>
        <w:rPr>
          <w:lang w:val="en-GB"/>
        </w:rPr>
        <w:fldChar w:fldCharType="end"/>
      </w:r>
      <w:r>
        <w:rPr>
          <w:lang w:val="en-GB"/>
        </w:rPr>
        <w:t xml:space="preserve">, </w:t>
      </w:r>
      <w:r w:rsidRPr="007134C5">
        <w:rPr>
          <w:lang w:val="en-GB"/>
        </w:rPr>
        <w:t>unweighted Fisher method</w:t>
      </w:r>
      <w:r>
        <w:rPr>
          <w:lang w:val="en-GB"/>
        </w:rPr>
        <w:t xml:space="preserve">) whilst others such as </w:t>
      </w:r>
      <w:proofErr w:type="spellStart"/>
      <w:r>
        <w:rPr>
          <w:lang w:val="en-GB"/>
        </w:rPr>
        <w:t>Gandal</w:t>
      </w:r>
      <w:proofErr w:type="spellEnd"/>
      <w:r>
        <w:rPr>
          <w:lang w:val="en-GB"/>
        </w:rPr>
        <w:t xml:space="preserve"> et al. combine datasets before differential expression analysis, </w:t>
      </w:r>
      <w:r>
        <w:rPr>
          <w:lang w:val="en-GB"/>
        </w:rPr>
        <w:lastRenderedPageBreak/>
        <w:t xml:space="preserve">correcting for batch effects using approaches such as distance weighted discrimination, mean-centring, surrogate variable analysis, and empirical Bayes. Both combination of datasets before and after differential expression are common approaches for the field, however they are optimised to data </w:t>
      </w:r>
      <w:r w:rsidR="003E43DF">
        <w:rPr>
          <w:lang w:val="en-GB"/>
        </w:rPr>
        <w:t>analysed</w:t>
      </w:r>
      <w:r>
        <w:rPr>
          <w:lang w:val="en-GB"/>
        </w:rPr>
        <w:t xml:space="preserve"> on platforms which are as similar as possible. Only two of our nine studies attempted to create a common signature across more than one platform. One of these two studies, </w:t>
      </w:r>
      <w:proofErr w:type="spellStart"/>
      <w:r>
        <w:rPr>
          <w:lang w:val="en-GB"/>
        </w:rPr>
        <w:t>Gandal</w:t>
      </w:r>
      <w:proofErr w:type="spellEnd"/>
      <w:r>
        <w:rPr>
          <w:lang w:val="en-GB"/>
        </w:rPr>
        <w:t xml:space="preserve"> et al., combined only microarray data, but from a variety of chip manufacturers. The other study, by </w:t>
      </w:r>
      <w:proofErr w:type="spellStart"/>
      <w:r>
        <w:rPr>
          <w:lang w:val="en-GB"/>
        </w:rPr>
        <w:t>Magalhães</w:t>
      </w:r>
      <w:proofErr w:type="spellEnd"/>
      <w:r>
        <w:rPr>
          <w:lang w:val="en-GB"/>
        </w:rPr>
        <w:t xml:space="preserve"> et al., is the only study to attempt to combine data from significantly different platforms – still all microarray, </w:t>
      </w:r>
      <w:r w:rsidR="003E43DF">
        <w:rPr>
          <w:lang w:val="en-GB"/>
        </w:rPr>
        <w:t>though</w:t>
      </w:r>
      <w:r>
        <w:rPr>
          <w:lang w:val="en-GB"/>
        </w:rPr>
        <w:t xml:space="preserve"> a mix of human, mouse and rat arrays. What none of the nine studies have attempted</w:t>
      </w:r>
      <w:r w:rsidR="003E43DF">
        <w:rPr>
          <w:lang w:val="en-GB"/>
        </w:rPr>
        <w:t xml:space="preserve"> </w:t>
      </w:r>
      <w:r>
        <w:rPr>
          <w:lang w:val="en-GB"/>
        </w:rPr>
        <w:t xml:space="preserve">is to combine results from both microarray and RNA-Seq data. </w:t>
      </w:r>
      <w:r w:rsidR="003E43DF">
        <w:rPr>
          <w:lang w:val="en-GB"/>
        </w:rPr>
        <w:t xml:space="preserve">A study published in </w:t>
      </w:r>
      <w:r w:rsidR="00365545">
        <w:rPr>
          <w:lang w:val="en-GB"/>
        </w:rPr>
        <w:t>2017 made attempts to combine results from microarray and RNA-Seq by calculating the</w:t>
      </w:r>
      <w:r w:rsidR="00365545" w:rsidRPr="00365545">
        <w:rPr>
          <w:lang w:val="en-GB"/>
        </w:rPr>
        <w:t xml:space="preserve"> effect sizes and significance for the inverse variance meta-analysis </w:t>
      </w:r>
      <w:r w:rsidR="00365545">
        <w:rPr>
          <w:lang w:val="en-GB"/>
        </w:rPr>
        <w:t>using</w:t>
      </w:r>
      <w:r w:rsidR="00365545" w:rsidRPr="00365545">
        <w:rPr>
          <w:lang w:val="en-GB"/>
        </w:rPr>
        <w:t xml:space="preserve"> a random effects model (REM)</w:t>
      </w:r>
      <w:r w:rsidR="003C073A">
        <w:rPr>
          <w:lang w:val="en-GB"/>
        </w:rPr>
        <w:t xml:space="preserve"> </w:t>
      </w:r>
      <w:r w:rsidR="003C073A">
        <w:rPr>
          <w:lang w:val="en-GB"/>
        </w:rPr>
        <w:fldChar w:fldCharType="begin" w:fldLock="1"/>
      </w:r>
      <w:r w:rsidR="000507BA">
        <w:rPr>
          <w:lang w:val="en-GB"/>
        </w:rPr>
        <w:instrText>ADDIN CSL_CITATION {"citationItems":[{"id":"ITEM-1","itemData":{"DOI":"10.1093/nar/gkx714","ISSN":"0305-1048","author":[{"dropping-particle":"","family":"Brown","given":"Laurence A.","non-dropping-particle":"","parse-names":false,"suffix":""},{"dropping-particle":"","family":"Williams","given":"John","non-dropping-particle":"","parse-names":false,"suffix":""},{"dropping-particle":"","family":"Taylor","given":"Lewis","non-dropping-particle":"","parse-names":false,"suffix":""},{"dropping-particle":"","family":"Thomson","given":"Ross J.","non-dropping-particle":"","parse-names":false,"suffix":""},{"dropping-particle":"","family":"Nolan","given":"Patrick M.","non-dropping-particle":"","parse-names":false,"suffix":""},{"dropping-particle":"","family":"Foster","given":"Russell G.","non-dropping-particle":"","parse-names":false,"suffix":""},{"dropping-particle":"","family":"Peirson","given":"Stuart N.","non-dropping-particle":"","parse-names":false,"suffix":""}],"container-title":"Nucleic Acids Research","id":"ITEM-1","issue":"17","issued":{"date-parts":[["2017","9","29"]]},"page":"9860-9873","publisher":"Oxford University Press","title":"Meta-analysis of transcriptomic datasets identifies genes enriched in the mammalian circadian pacemaker","type":"article-journal","volume":"45"},"uris":["http://www.mendeley.com/documents/?uuid=da247ed6-8c62-370e-8532-2ea9d3bde8b7"]}],"mendeley":{"formattedCitation":"&lt;sup&gt;91&lt;/sup&gt;","plainTextFormattedCitation":"91","previouslyFormattedCitation":"&lt;sup&gt;91&lt;/sup&gt;"},"properties":{"noteIndex":0},"schema":"https://github.com/citation-style-language/schema/raw/master/csl-citation.json"}</w:instrText>
      </w:r>
      <w:r w:rsidR="003C073A">
        <w:rPr>
          <w:lang w:val="en-GB"/>
        </w:rPr>
        <w:fldChar w:fldCharType="separate"/>
      </w:r>
      <w:r w:rsidR="00426B19" w:rsidRPr="00426B19">
        <w:rPr>
          <w:noProof/>
          <w:vertAlign w:val="superscript"/>
          <w:lang w:val="en-GB"/>
        </w:rPr>
        <w:t>91</w:t>
      </w:r>
      <w:r w:rsidR="003C073A">
        <w:rPr>
          <w:lang w:val="en-GB"/>
        </w:rPr>
        <w:fldChar w:fldCharType="end"/>
      </w:r>
      <w:r w:rsidR="00365545">
        <w:rPr>
          <w:lang w:val="en-GB"/>
        </w:rPr>
        <w:t xml:space="preserve">. </w:t>
      </w:r>
      <w:r w:rsidR="003C073A">
        <w:rPr>
          <w:lang w:val="en-GB"/>
        </w:rPr>
        <w:t xml:space="preserve">Z-values were then used to calculate P-values, which were subsequently corrected for multiple testing, and converted into q-values. A q-value threshold was applied to define common genes. Although this study makes efforts to combine microarray and RNA-Seq data for meta-analysis, there is an argument to be made against the methodology they have chosen. Combining any value derived from RNA-Seq and microarray data is risky, as these two technologies produce data with very different structures </w:t>
      </w:r>
      <w:r w:rsidR="003C073A">
        <w:rPr>
          <w:lang w:val="en-GB"/>
        </w:rPr>
        <w:fldChar w:fldCharType="begin" w:fldLock="1"/>
      </w:r>
      <w:r w:rsidR="000507BA">
        <w:rPr>
          <w:lang w:val="en-GB"/>
        </w:rPr>
        <w:instrText>ADDIN CSL_CITATION {"citationItems":[{"id":"ITEM-1","itemData":{"DOI":"10.1371/journal.pone.0078644","ISSN":"1932-6203","abstract":"To demonstrate the benefits of RNA-Seq over microarray in transcriptome profiling, both RNA-Seq and microarray analyses were performed on RNA samples from a human T cell activation experiment. In contrast to other reports, our analyses focused on the difference, rather than similarity, between RNA-Seq and microarray technologies in transcriptome profiling. A comparison of data sets derived from RNA-Seq and Affymetrix platforms using the same set of samples showed a high correlation between gene expression profiles generated by the two platforms. However, it also demonstrated that RNA-Seq was superior in detecting low abundance transcripts, differentiating biologically critical isoforms, and allowing the identification of genetic variants. RNA-Seq also demonstrated a broader dynamic range than microarray, which allowed for the detection of more differentially expressed genes with higher fold-change. Analysis of the two datasets also showed the benefit derived from avoidance of technical issues inherent to microarray probe performance such as cross-hybridization, non-specific hybridization and limited detection range of individual probes. Because RNA-Seq does not rely on a pre-designed complement sequence detection probe, it is devoid of issues associated with probe redundancy and annotation, which simplified interpretation of the data. Despite the superior benefits of RNA-Seq, microarrays are still the more common choice of researchers when conducting transcriptional profiling experiments. This is likely because RNA-Seq sequencing technology is new to most researchers, more expensive than microarray, data storage is more challenging and analysis is more complex. We expect that once these barriers are overcome, the RNA-Seq platform will become the predominant tool for transcriptome analysis.","author":[{"dropping-particle":"","family":"Zhao","given":"Shanrong","non-dropping-particle":"","parse-names":false,"suffix":""},{"dropping-particle":"","family":"Fung-Leung","given":"Wai-Ping","non-dropping-particle":"","parse-names":false,"suffix":""},{"dropping-particle":"","family":"Bittner","given":"Anton","non-dropping-particle":"","parse-names":false,"suffix":""},{"dropping-particle":"","family":"Ngo","given":"Karen","non-dropping-particle":"","parse-names":false,"suffix":""},{"dropping-particle":"","family":"Liu","given":"Xuejun","non-dropping-particle":"","parse-names":false,"suffix":""}],"container-title":"PLoS ONE","editor":[{"dropping-particle":"","family":"Zhang","given":"Shu-Dong","non-dropping-particle":"","parse-names":false,"suffix":""}],"id":"ITEM-1","issue":"1","issued":{"date-parts":[["2014","1","16"]]},"page":"e78644","publisher":"Public Library of Science","title":"Comparison of RNA-Seq and Microarray in Transcriptome Profiling of Activated T Cells","type":"article-journal","volume":"9"},"uris":["http://www.mendeley.com/documents/?uuid=8b85e2c6-c5f2-3d67-af8b-e6a484d1b2e7"]}],"mendeley":{"formattedCitation":"&lt;sup&gt;92&lt;/sup&gt;","plainTextFormattedCitation":"92","previouslyFormattedCitation":"&lt;sup&gt;92&lt;/sup&gt;"},"properties":{"noteIndex":0},"schema":"https://github.com/citation-style-language/schema/raw/master/csl-citation.json"}</w:instrText>
      </w:r>
      <w:r w:rsidR="003C073A">
        <w:rPr>
          <w:lang w:val="en-GB"/>
        </w:rPr>
        <w:fldChar w:fldCharType="separate"/>
      </w:r>
      <w:r w:rsidR="00426B19" w:rsidRPr="00426B19">
        <w:rPr>
          <w:noProof/>
          <w:vertAlign w:val="superscript"/>
          <w:lang w:val="en-GB"/>
        </w:rPr>
        <w:t>92</w:t>
      </w:r>
      <w:r w:rsidR="003C073A">
        <w:rPr>
          <w:lang w:val="en-GB"/>
        </w:rPr>
        <w:fldChar w:fldCharType="end"/>
      </w:r>
      <w:r w:rsidR="003C073A">
        <w:rPr>
          <w:lang w:val="en-GB"/>
        </w:rPr>
        <w:t>. The idea of passing datasets through similar pre-processing and analysis, and comparing a common value after the fact, however, is possibly a way in which we could find commonalities between disparate platforms.</w:t>
      </w:r>
    </w:p>
    <w:p w14:paraId="79D810CF" w14:textId="56405EB0" w:rsidR="00D84714" w:rsidRDefault="00365545" w:rsidP="00D84714">
      <w:pPr>
        <w:rPr>
          <w:lang w:val="en-GB"/>
        </w:rPr>
      </w:pPr>
      <w:r>
        <w:rPr>
          <w:lang w:val="en-GB"/>
        </w:rPr>
        <w:t xml:space="preserve"> </w:t>
      </w:r>
    </w:p>
    <w:p w14:paraId="7109C969" w14:textId="7A51CEDA" w:rsidR="00D84714" w:rsidRDefault="003C073A" w:rsidP="00D84714">
      <w:pPr>
        <w:rPr>
          <w:lang w:val="en-GB"/>
        </w:rPr>
      </w:pPr>
      <w:r>
        <w:rPr>
          <w:lang w:val="en-GB"/>
        </w:rPr>
        <w:t>After gene-based</w:t>
      </w:r>
      <w:r w:rsidR="00D84714">
        <w:rPr>
          <w:lang w:val="en-GB"/>
        </w:rPr>
        <w:t xml:space="preserve"> analys</w:t>
      </w:r>
      <w:r>
        <w:rPr>
          <w:lang w:val="en-GB"/>
        </w:rPr>
        <w:t>e</w:t>
      </w:r>
      <w:r w:rsidR="00D84714">
        <w:rPr>
          <w:lang w:val="en-GB"/>
        </w:rPr>
        <w:t xml:space="preserve">s, </w:t>
      </w:r>
      <w:r>
        <w:rPr>
          <w:lang w:val="en-GB"/>
        </w:rPr>
        <w:t xml:space="preserve">it is clear that </w:t>
      </w:r>
      <w:r w:rsidR="00D84714">
        <w:rPr>
          <w:lang w:val="en-GB"/>
        </w:rPr>
        <w:t xml:space="preserve">there is a consensus </w:t>
      </w:r>
      <w:r>
        <w:rPr>
          <w:lang w:val="en-GB"/>
        </w:rPr>
        <w:t>for</w:t>
      </w:r>
      <w:r w:rsidR="00D84714">
        <w:rPr>
          <w:lang w:val="en-GB"/>
        </w:rPr>
        <w:t xml:space="preserve"> some form of pathway analysis</w:t>
      </w:r>
      <w:r>
        <w:rPr>
          <w:lang w:val="en-GB"/>
        </w:rPr>
        <w:t xml:space="preserve"> to follow</w:t>
      </w:r>
      <w:r w:rsidR="00D84714">
        <w:rPr>
          <w:lang w:val="en-GB"/>
        </w:rPr>
        <w:t>. There are a number of pathway analysis approaches – some studies</w:t>
      </w:r>
      <w:r w:rsidR="00DF5A50">
        <w:rPr>
          <w:lang w:val="en-GB"/>
        </w:rPr>
        <w:t xml:space="preserve">, such as Shang et al. Jha et al., </w:t>
      </w:r>
      <w:r>
        <w:rPr>
          <w:lang w:val="en-GB"/>
        </w:rPr>
        <w:t xml:space="preserve">look for enrichment of </w:t>
      </w:r>
      <w:r w:rsidR="00DF5A50">
        <w:rPr>
          <w:lang w:val="en-GB"/>
        </w:rPr>
        <w:t xml:space="preserve">genes in curated pathway databases. Other approaches such as the one employed by </w:t>
      </w:r>
      <w:proofErr w:type="spellStart"/>
      <w:r w:rsidR="00DF5A50">
        <w:rPr>
          <w:lang w:val="en-GB"/>
        </w:rPr>
        <w:t>Glaab</w:t>
      </w:r>
      <w:proofErr w:type="spellEnd"/>
      <w:r w:rsidR="00DF5A50">
        <w:rPr>
          <w:lang w:val="en-GB"/>
        </w:rPr>
        <w:t xml:space="preserve"> &amp; Schneider use a more sophisticated approach, applying random walk algorithms to pathway networks to identify significant topological relationships between experimental genes and canonical pathway genes. The benefit of overrepresentation or enrichment analysis is its ease and simplicity; calculations can be made in seconds, with a number of </w:t>
      </w:r>
      <w:r w:rsidR="009B6D90">
        <w:rPr>
          <w:lang w:val="en-GB"/>
        </w:rPr>
        <w:t xml:space="preserve">easily available </w:t>
      </w:r>
      <w:r w:rsidR="00DF5A50">
        <w:rPr>
          <w:lang w:val="en-GB"/>
        </w:rPr>
        <w:t xml:space="preserve">online and local applications. It is, however, susceptible to the weaknesses of ever-changing, ever-disputed pathway definitions. Pathway algorithms claim their superiority over enrichment analyses due to the more in-depth, technical observation of the relationships between test genes and canonical pathway </w:t>
      </w:r>
      <w:proofErr w:type="gramStart"/>
      <w:r w:rsidR="00DF5A50">
        <w:rPr>
          <w:lang w:val="en-GB"/>
        </w:rPr>
        <w:t>genes</w:t>
      </w:r>
      <w:r w:rsidR="009B6D90">
        <w:rPr>
          <w:lang w:val="en-GB"/>
        </w:rPr>
        <w:t>, but</w:t>
      </w:r>
      <w:proofErr w:type="gramEnd"/>
      <w:r w:rsidR="009B6D90">
        <w:rPr>
          <w:lang w:val="en-GB"/>
        </w:rPr>
        <w:t xml:space="preserve"> are more complex to apply and difficult to interpret. Either one of these applications is a viable option in the development of a meta-analysis pipeline.</w:t>
      </w:r>
    </w:p>
    <w:p w14:paraId="70278712" w14:textId="3775A95D" w:rsidR="00F910AD" w:rsidRDefault="00F910AD" w:rsidP="008778D1">
      <w:pPr>
        <w:rPr>
          <w:lang w:val="en-GB"/>
        </w:rPr>
      </w:pPr>
    </w:p>
    <w:p w14:paraId="37EF16F3" w14:textId="2238D628" w:rsidR="00F910AD" w:rsidRDefault="009B6D90" w:rsidP="008778D1">
      <w:pPr>
        <w:rPr>
          <w:lang w:val="en-GB"/>
        </w:rPr>
      </w:pPr>
      <w:r>
        <w:rPr>
          <w:lang w:val="en-GB"/>
        </w:rPr>
        <w:lastRenderedPageBreak/>
        <w:t xml:space="preserve">5 of the 9 studies performed some kind of network analysis. Variations include topological analysis of protein interaction networks (e.g. </w:t>
      </w:r>
      <w:proofErr w:type="spellStart"/>
      <w:r>
        <w:rPr>
          <w:lang w:val="en-GB"/>
        </w:rPr>
        <w:t>Glaab</w:t>
      </w:r>
      <w:proofErr w:type="spellEnd"/>
      <w:r>
        <w:rPr>
          <w:lang w:val="en-GB"/>
        </w:rPr>
        <w:t xml:space="preserve"> &amp; Schneider</w:t>
      </w:r>
      <w:r w:rsidR="00A52C5B">
        <w:rPr>
          <w:lang w:val="en-GB"/>
        </w:rPr>
        <w:t xml:space="preserve">) or popular gene expression approaches such as WGCNA (e.g. </w:t>
      </w:r>
      <w:proofErr w:type="spellStart"/>
      <w:r w:rsidR="00A52C5B">
        <w:rPr>
          <w:lang w:val="en-GB"/>
        </w:rPr>
        <w:t>Gandal</w:t>
      </w:r>
      <w:proofErr w:type="spellEnd"/>
      <w:r w:rsidR="00A52C5B">
        <w:rPr>
          <w:lang w:val="en-GB"/>
        </w:rPr>
        <w:t xml:space="preserve"> et al.). It is somewhat concerning that only just over half of the studies include some form of network analysis considering the application of this type of analysis has shown to increase stability and predictability of signatures </w:t>
      </w:r>
      <w:r w:rsidR="00A52C5B">
        <w:rPr>
          <w:lang w:val="en-GB"/>
        </w:rPr>
        <w:fldChar w:fldCharType="begin" w:fldLock="1"/>
      </w:r>
      <w:r w:rsidR="000507BA">
        <w:rPr>
          <w:lang w:val="en-GB"/>
        </w:rPr>
        <w:instrText>ADDIN CSL_CITATION {"citationItems":[{"id":"ITEM-1","itemData":{"DOI":"10.1371/journal.pone.0025364","ISSN":"1932-6203","abstract":"Diagnostic and prognostic biomarkers for cancer based on gene expression profiles are viewed as a major step towards a better personalized medicine. Many studies using various computational approaches have been published in this direction during the last decade. However, when comparing different gene signatures for related clinical questions often only a small overlap is observed. This can have various reasons, such as technical differences of platforms, differences in biological samples or their treatment in lab, or statistical reasons because of the high dimensionality of the data combined with small sample size, leading to unstable selection of genes. In conclusion retrieved gene signatures are often hard to interpret from a biological point of view. We here demonstrate that it is possible to construct a consensus signature from a set of seemingly different gene signatures by mapping them on a protein interaction network. Common upstream proteins of close gene products, which we identified via our developed algorithm, show a very clear and significant functional interpretation in terms of overrepresented KEGG pathways, disease associated genes and known drug targets. Moreover, we show that such a consensus signature can serve as prior knowledge for predictive biomarker discovery in breast cancer. Evaluation on different datasets shows that signatures derived from the consensus signature reveal a much higher stability than signatures learned from all probesets on a microarray, while at the same time being at least as predictive. Furthermore, they are clearly interpretable in terms of enriched pathways, disease associated genes and known drug targets. In summary we thus believe that network based consensus signatures are not only a way to relate seemingly different gene signatures to each other in a functional manner, but also to establish prior knowledge for highly stable and interpretable predictive biomarkers.","author":[{"dropping-particle":"","family":"Fröhlich","given":"Holger","non-dropping-particle":"","parse-names":false,"suffix":""}],"container-title":"PLoS ONE","editor":[{"dropping-particle":"","family":"Hong","given":"Wanjin","non-dropping-particle":"","parse-names":false,"suffix":""}],"id":"ITEM-1","issue":"10","issued":{"date-parts":[["2011","10","25"]]},"page":"e25364","publisher":"Public Library of Science","title":"Network Based Consensus Gene Signatures for Biomarker Discovery in Breast Cancer","type":"article-journal","volume":"6"},"uris":["http://www.mendeley.com/documents/?uuid=ae7663e3-00bc-33df-a2e8-41001b52ded5"]}],"mendeley":{"formattedCitation":"&lt;sup&gt;93&lt;/sup&gt;","plainTextFormattedCitation":"93","previouslyFormattedCitation":"&lt;sup&gt;93&lt;/sup&gt;"},"properties":{"noteIndex":0},"schema":"https://github.com/citation-style-language/schema/raw/master/csl-citation.json"}</w:instrText>
      </w:r>
      <w:r w:rsidR="00A52C5B">
        <w:rPr>
          <w:lang w:val="en-GB"/>
        </w:rPr>
        <w:fldChar w:fldCharType="separate"/>
      </w:r>
      <w:r w:rsidR="00426B19" w:rsidRPr="00426B19">
        <w:rPr>
          <w:noProof/>
          <w:vertAlign w:val="superscript"/>
          <w:lang w:val="en-GB"/>
        </w:rPr>
        <w:t>93</w:t>
      </w:r>
      <w:r w:rsidR="00A52C5B">
        <w:rPr>
          <w:lang w:val="en-GB"/>
        </w:rPr>
        <w:fldChar w:fldCharType="end"/>
      </w:r>
      <w:r w:rsidR="00DA7BF1">
        <w:rPr>
          <w:lang w:val="en-GB"/>
        </w:rPr>
        <w:t>. The benefits of network analysis, therefore, support its use in our own methodological pipeline.</w:t>
      </w:r>
    </w:p>
    <w:p w14:paraId="483320A9" w14:textId="6C78CB95" w:rsidR="00DA7BF1" w:rsidRDefault="00DA7BF1" w:rsidP="008778D1">
      <w:pPr>
        <w:rPr>
          <w:lang w:val="en-GB"/>
        </w:rPr>
      </w:pPr>
    </w:p>
    <w:p w14:paraId="71270B50" w14:textId="4BDEEFFD" w:rsidR="00DA7BF1" w:rsidRDefault="00DA7BF1" w:rsidP="008778D1">
      <w:pPr>
        <w:rPr>
          <w:lang w:val="en-GB"/>
        </w:rPr>
      </w:pPr>
      <w:r>
        <w:rPr>
          <w:lang w:val="en-GB"/>
        </w:rPr>
        <w:t xml:space="preserve">The </w:t>
      </w:r>
      <w:r w:rsidR="00E1012B">
        <w:rPr>
          <w:lang w:val="en-GB"/>
        </w:rPr>
        <w:t>problem</w:t>
      </w:r>
      <w:r>
        <w:rPr>
          <w:lang w:val="en-GB"/>
        </w:rPr>
        <w:t xml:space="preserve"> of poor replicability is </w:t>
      </w:r>
      <w:r w:rsidR="00E1012B">
        <w:rPr>
          <w:lang w:val="en-GB"/>
        </w:rPr>
        <w:t>a pressing</w:t>
      </w:r>
      <w:r>
        <w:rPr>
          <w:lang w:val="en-GB"/>
        </w:rPr>
        <w:t xml:space="preserve"> issue for biological signatures. There are many reasons why many signatures are unable to be reproduced, but it is likely </w:t>
      </w:r>
      <w:r w:rsidR="00454FDE">
        <w:rPr>
          <w:lang w:val="en-GB"/>
        </w:rPr>
        <w:t>to include</w:t>
      </w:r>
      <w:r>
        <w:rPr>
          <w:lang w:val="en-GB"/>
        </w:rPr>
        <w:t xml:space="preserve"> over-fitting to test data (as discussed previously). In our nine datasets we can see a number of areas for improvement. Firstly, although genomic and transcriptomic data are readily analysed, proteomic data was rarely included. For studies aiming to produce translatable work, existing in a </w:t>
      </w:r>
      <w:r w:rsidR="00F92210">
        <w:rPr>
          <w:lang w:val="en-GB"/>
        </w:rPr>
        <w:t>two-dimensional</w:t>
      </w:r>
      <w:r>
        <w:rPr>
          <w:lang w:val="en-GB"/>
        </w:rPr>
        <w:t xml:space="preserve"> space is an insufficient representation of the real inner workings of a diseased cell. </w:t>
      </w:r>
      <w:proofErr w:type="gramStart"/>
      <w:r w:rsidR="00467D79">
        <w:rPr>
          <w:lang w:val="en-GB"/>
        </w:rPr>
        <w:t>Ideally</w:t>
      </w:r>
      <w:proofErr w:type="gramEnd"/>
      <w:r>
        <w:rPr>
          <w:lang w:val="en-GB"/>
        </w:rPr>
        <w:t xml:space="preserve"> we should include as </w:t>
      </w:r>
      <w:r w:rsidR="00467D79">
        <w:rPr>
          <w:lang w:val="en-GB"/>
        </w:rPr>
        <w:t>many</w:t>
      </w:r>
      <w:r>
        <w:rPr>
          <w:lang w:val="en-GB"/>
        </w:rPr>
        <w:t xml:space="preserve"> data</w:t>
      </w:r>
      <w:r w:rsidR="00467D79">
        <w:rPr>
          <w:lang w:val="en-GB"/>
        </w:rPr>
        <w:t xml:space="preserve"> types</w:t>
      </w:r>
      <w:r>
        <w:rPr>
          <w:lang w:val="en-GB"/>
        </w:rPr>
        <w:t xml:space="preserve"> as possible</w:t>
      </w:r>
      <w:r w:rsidR="00B72365">
        <w:rPr>
          <w:lang w:val="en-GB"/>
        </w:rPr>
        <w:t xml:space="preserve"> (e.g. protein, methylation, </w:t>
      </w:r>
      <w:r w:rsidR="006A6F68">
        <w:rPr>
          <w:lang w:val="en-GB"/>
        </w:rPr>
        <w:t>regulation)</w:t>
      </w:r>
      <w:r w:rsidR="00467D79">
        <w:rPr>
          <w:lang w:val="en-GB"/>
        </w:rPr>
        <w:t xml:space="preserve">, but </w:t>
      </w:r>
      <w:r w:rsidR="006A6F68">
        <w:rPr>
          <w:lang w:val="en-GB"/>
        </w:rPr>
        <w:t>the inclusion of even one of these other data types is</w:t>
      </w:r>
      <w:r>
        <w:rPr>
          <w:lang w:val="en-GB"/>
        </w:rPr>
        <w:t xml:space="preserve"> a good starting point for </w:t>
      </w:r>
      <w:r w:rsidR="00467D79">
        <w:rPr>
          <w:lang w:val="en-GB"/>
        </w:rPr>
        <w:t>an</w:t>
      </w:r>
      <w:r>
        <w:rPr>
          <w:lang w:val="en-GB"/>
        </w:rPr>
        <w:t xml:space="preserve"> </w:t>
      </w:r>
      <w:r w:rsidR="00467D79">
        <w:rPr>
          <w:lang w:val="en-GB"/>
        </w:rPr>
        <w:t xml:space="preserve">improvement in the </w:t>
      </w:r>
      <w:r>
        <w:rPr>
          <w:lang w:val="en-GB"/>
        </w:rPr>
        <w:t>realistic representation of cell biology</w:t>
      </w:r>
      <w:r w:rsidR="00467D79">
        <w:rPr>
          <w:lang w:val="en-GB"/>
        </w:rPr>
        <w:t>. As well as multiple data types</w:t>
      </w:r>
      <w:r w:rsidR="002C60AA">
        <w:rPr>
          <w:lang w:val="en-GB"/>
        </w:rPr>
        <w:t xml:space="preserve"> and platforms</w:t>
      </w:r>
      <w:r w:rsidR="00467D79">
        <w:rPr>
          <w:lang w:val="en-GB"/>
        </w:rPr>
        <w:t>, replicability of signatures can be improved through use of multiple tissues</w:t>
      </w:r>
      <w:r w:rsidR="00791E30">
        <w:rPr>
          <w:lang w:val="en-GB"/>
        </w:rPr>
        <w:t xml:space="preserve"> (where the phenotype is expressed across multiple tissues)</w:t>
      </w:r>
      <w:r w:rsidR="00467D79">
        <w:rPr>
          <w:lang w:val="en-GB"/>
        </w:rPr>
        <w:t xml:space="preserve"> </w:t>
      </w:r>
      <w:r w:rsidR="00A059DC">
        <w:rPr>
          <w:lang w:val="en-GB"/>
        </w:rPr>
        <w:fldChar w:fldCharType="begin" w:fldLock="1"/>
      </w:r>
      <w:r w:rsidR="000507BA">
        <w:rPr>
          <w:lang w:val="en-GB"/>
        </w:rPr>
        <w:instrText>ADDIN CSL_CITATION {"citationItems":[{"id":"ITEM-1","itemData":{"DOI":"10.4137/CIN.S38590","ISSN":"1176-9351","PMID":"27199546","abstract":"With increasing use of publicly available gene expression data sets, the quality of the expression data is a critical issue for downstream analysis, gene signature development, and cross-validation of data sets. Thus, identifying reliable expression measurements by leveraging multiple mRNA expression platforms is an important analytical task. In this study, we propose a statistical framework for selecting reliable measurements between platforms by modeling the correlations of mRNA expression levels using a beta-mixture model. The model-based selection provides an effective and objective way to separate good probes from probes with low quality, thereby improving the efficiency and accuracy of the analysis. The proposed method can be used to compare two microarray technologies or microarray and RNA sequencing measurements. We tested the approach in two matched profiling data sets, using microarray gene expression measurements from the same samples profiled on both Affymetrix and Illumina platforms. We also applied the algorithm to mRNA expression data to compare Affymetrix microarray data with RNA sequencing measurements. The algorithm successfully identified probes/genes with reliable measurements. Removing the unreliable measurements resulted in significant improvements for gene signature development and functional annotations.","author":[{"dropping-particle":"","family":"Tong","given":"Pan","non-dropping-particle":"","parse-names":false,"suffix":""},{"dropping-particle":"","family":"Diao","given":"Lixia","non-dropping-particle":"","parse-names":false,"suffix":""},{"dropping-particle":"","family":"Shen","given":"Li","non-dropping-particle":"","parse-names":false,"suffix":""},{"dropping-particle":"","family":"Li","given":"Lerong","non-dropping-particle":"","parse-names":false,"suffix":""},{"dropping-particle":"","family":"Heymach","given":"John Victor","non-dropping-particle":"","parse-names":false,"suffix":""},{"dropping-particle":"","family":"Girard","given":"Luc","non-dropping-particle":"","parse-names":false,"suffix":""},{"dropping-particle":"","family":"Minna","given":"John D","non-dropping-particle":"","parse-names":false,"suffix":""},{"dropping-particle":"","family":"Coombes","given":"Kevin R","non-dropping-particle":"","parse-names":false,"suffix":""},{"dropping-particle":"","family":"Byers","given":"Lauren Averett","non-dropping-particle":"","parse-names":false,"suffix":""},{"dropping-particle":"","family":"Wang","given":"Jing","non-dropping-particle":"","parse-names":false,"suffix":""}],"container-title":"Cancer informatics","id":"ITEM-1","issued":{"date-parts":[["2016"]]},"page":"81-9","publisher":"SAGE Publications","title":"Selecting Reliable mRNA Expression Measurements Across Platforms Improves Downstream Analysis.","type":"article-journal","volume":"15"},"uris":["http://www.mendeley.com/documents/?uuid=a887d7f8-248a-3af0-a153-937177b1749f"]}],"mendeley":{"formattedCitation":"&lt;sup&gt;94&lt;/sup&gt;","plainTextFormattedCitation":"94","previouslyFormattedCitation":"&lt;sup&gt;94&lt;/sup&gt;"},"properties":{"noteIndex":0},"schema":"https://github.com/citation-style-language/schema/raw/master/csl-citation.json"}</w:instrText>
      </w:r>
      <w:r w:rsidR="00A059DC">
        <w:rPr>
          <w:lang w:val="en-GB"/>
        </w:rPr>
        <w:fldChar w:fldCharType="separate"/>
      </w:r>
      <w:r w:rsidR="00426B19" w:rsidRPr="00426B19">
        <w:rPr>
          <w:noProof/>
          <w:vertAlign w:val="superscript"/>
          <w:lang w:val="en-GB"/>
        </w:rPr>
        <w:t>94</w:t>
      </w:r>
      <w:r w:rsidR="00A059DC">
        <w:rPr>
          <w:lang w:val="en-GB"/>
        </w:rPr>
        <w:fldChar w:fldCharType="end"/>
      </w:r>
      <w:r w:rsidR="00454FDE">
        <w:rPr>
          <w:lang w:val="en-GB"/>
        </w:rPr>
        <w:t xml:space="preserve">. </w:t>
      </w:r>
      <w:r w:rsidR="00611D70">
        <w:rPr>
          <w:lang w:val="en-GB"/>
        </w:rPr>
        <w:t xml:space="preserve">Again, it was only </w:t>
      </w:r>
      <w:proofErr w:type="spellStart"/>
      <w:r w:rsidR="00611D70">
        <w:rPr>
          <w:lang w:val="en-GB"/>
        </w:rPr>
        <w:t>Magalhães</w:t>
      </w:r>
      <w:proofErr w:type="spellEnd"/>
      <w:r w:rsidR="00611D70">
        <w:rPr>
          <w:lang w:val="en-GB"/>
        </w:rPr>
        <w:t xml:space="preserve"> et al. who attempted to generate signatures across multiple tissues. The importance of cross-tissue analysis is to generate reliable signatures from all tissues expressing the phenotype of interest, not one particular subtype. Cross-tissue analysis also aids in the removal of tissue-specific signatures which may be residing within the signature being generated. A lack of signature reliability is reflected by the fact that 4 studies were unable to replicate the signature in all datasets analysed. Some studies, such as </w:t>
      </w:r>
      <w:r w:rsidR="00E1012B">
        <w:rPr>
          <w:lang w:val="en-GB"/>
        </w:rPr>
        <w:t xml:space="preserve">Parkes et al., attempted only to look at overlaps between pairs or subsets of input datasets. Subsequently, these studies are not developing concordant signatures across populations which they claim possess a shared phenotype. </w:t>
      </w:r>
    </w:p>
    <w:p w14:paraId="741D7628" w14:textId="294AC6A2" w:rsidR="00E1012B" w:rsidRDefault="00E1012B" w:rsidP="008778D1">
      <w:pPr>
        <w:rPr>
          <w:lang w:val="en-GB"/>
        </w:rPr>
      </w:pPr>
    </w:p>
    <w:p w14:paraId="34B2FBA9" w14:textId="7DB77583" w:rsidR="00E1012B" w:rsidRDefault="00E1012B" w:rsidP="008778D1">
      <w:pPr>
        <w:rPr>
          <w:lang w:val="en-GB"/>
        </w:rPr>
      </w:pPr>
      <w:r>
        <w:rPr>
          <w:lang w:val="en-GB"/>
        </w:rPr>
        <w:t xml:space="preserve">The final, and possibly most important, deficit in the area of signature generation is the lack of application. Many of these studies, including 5 of the studies reviewed here, do not attempt to </w:t>
      </w:r>
      <w:r w:rsidR="00782EA8">
        <w:rPr>
          <w:lang w:val="en-GB"/>
        </w:rPr>
        <w:t xml:space="preserve">propose meaningful, </w:t>
      </w:r>
      <w:proofErr w:type="spellStart"/>
      <w:r w:rsidR="00782EA8">
        <w:rPr>
          <w:lang w:val="en-GB"/>
        </w:rPr>
        <w:t>validatable</w:t>
      </w:r>
      <w:proofErr w:type="spellEnd"/>
      <w:r w:rsidR="00782EA8">
        <w:rPr>
          <w:lang w:val="en-GB"/>
        </w:rPr>
        <w:t xml:space="preserve"> targets from their shared signatures. It is all too easy to generate a list of genes, SNPs or proteins which look interesting to the reader, what is difficult – and most valuable – is to choose reasonable candidates and validate their relationship with the phenotype. For a biomarker study this could be to apply the biomarker to a novel dataset, proving its ability to be predictive. For drug discovery this could be to prioritise targets and test in a living organism. Overall, what is </w:t>
      </w:r>
      <w:r w:rsidR="00782EA8">
        <w:rPr>
          <w:lang w:val="en-GB"/>
        </w:rPr>
        <w:lastRenderedPageBreak/>
        <w:t>severely lacking in this field is a methodology which includes not only signature generation, but validation and translation also.</w:t>
      </w:r>
    </w:p>
    <w:p w14:paraId="02242678" w14:textId="3FE47115" w:rsidR="00782EA8" w:rsidRDefault="00782EA8" w:rsidP="008778D1">
      <w:pPr>
        <w:rPr>
          <w:lang w:val="en-GB"/>
        </w:rPr>
      </w:pPr>
    </w:p>
    <w:p w14:paraId="39D301E8" w14:textId="0A2FC40A" w:rsidR="00782EA8" w:rsidRDefault="00782EA8" w:rsidP="008778D1">
      <w:pPr>
        <w:rPr>
          <w:lang w:val="en-GB"/>
        </w:rPr>
      </w:pPr>
      <w:r>
        <w:rPr>
          <w:lang w:val="en-GB"/>
        </w:rPr>
        <w:t xml:space="preserve">Each study reviewed here has made attempts to produce reliable signatures, however none have managed to </w:t>
      </w:r>
      <w:r w:rsidR="00305B31">
        <w:rPr>
          <w:lang w:val="en-GB"/>
        </w:rPr>
        <w:t xml:space="preserve">completely </w:t>
      </w:r>
      <w:r>
        <w:rPr>
          <w:lang w:val="en-GB"/>
        </w:rPr>
        <w:t xml:space="preserve">fulfil the criteria we believe are fundamental to this </w:t>
      </w:r>
      <w:r w:rsidR="00305B31">
        <w:rPr>
          <w:lang w:val="en-GB"/>
        </w:rPr>
        <w:t>process</w:t>
      </w:r>
      <w:r>
        <w:rPr>
          <w:lang w:val="en-GB"/>
        </w:rPr>
        <w:t>.</w:t>
      </w:r>
      <w:r w:rsidR="00305B31">
        <w:rPr>
          <w:lang w:val="en-GB"/>
        </w:rPr>
        <w:t xml:space="preserve"> Signature generation is not standardised, and as of yet we do not believe sufficient attempts have been made to produce a reliable, replicable, and generalisable signature generation methodology. If we are able to produce such a methodology, it would ensure a level of consistency and reliability which we believe is currently lacking. </w:t>
      </w:r>
    </w:p>
    <w:p w14:paraId="65806C6D" w14:textId="0ACC85AA" w:rsidR="00261C2B" w:rsidRDefault="00261C2B" w:rsidP="008778D1">
      <w:pPr>
        <w:rPr>
          <w:lang w:val="en-GB"/>
        </w:rPr>
      </w:pPr>
    </w:p>
    <w:p w14:paraId="47AB66B9" w14:textId="77777777" w:rsidR="0061081A" w:rsidRDefault="00261C2B" w:rsidP="0061081A">
      <w:pPr>
        <w:pStyle w:val="NoSpacing"/>
      </w:pPr>
      <w:r>
        <w:rPr>
          <w:noProof/>
          <w:lang w:val="en-GB"/>
        </w:rPr>
        <w:drawing>
          <wp:inline distT="0" distB="0" distL="0" distR="0" wp14:anchorId="4A76AC33" wp14:editId="7E3F16CA">
            <wp:extent cx="5039360" cy="3427730"/>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ableofStudies.pdf"/>
                    <pic:cNvPicPr/>
                  </pic:nvPicPr>
                  <pic:blipFill>
                    <a:blip r:embed="rId43">
                      <a:extLst>
                        <a:ext uri="{28A0092B-C50C-407E-A947-70E740481C1C}">
                          <a14:useLocalDpi xmlns:a14="http://schemas.microsoft.com/office/drawing/2010/main" val="0"/>
                        </a:ext>
                      </a:extLst>
                    </a:blip>
                    <a:stretch>
                      <a:fillRect/>
                    </a:stretch>
                  </pic:blipFill>
                  <pic:spPr>
                    <a:xfrm>
                      <a:off x="0" y="0"/>
                      <a:ext cx="5039360" cy="3427730"/>
                    </a:xfrm>
                    <a:prstGeom prst="rect">
                      <a:avLst/>
                    </a:prstGeom>
                  </pic:spPr>
                </pic:pic>
              </a:graphicData>
            </a:graphic>
          </wp:inline>
        </w:drawing>
      </w:r>
    </w:p>
    <w:p w14:paraId="1B30B883" w14:textId="42F7C2ED" w:rsidR="0061081A" w:rsidRPr="00261C2B" w:rsidRDefault="0061081A" w:rsidP="0061081A">
      <w:pPr>
        <w:pStyle w:val="Caption"/>
        <w:rPr>
          <w:b w:val="0"/>
          <w:lang w:val="en-GB"/>
        </w:rPr>
      </w:pPr>
      <w:bookmarkStart w:id="32" w:name="_Toc3225915"/>
      <w:r>
        <w:t xml:space="preserve">Table </w:t>
      </w:r>
      <w:fldSimple w:instr=" SEQ Table \* ARABIC ">
        <w:r w:rsidR="00066B5A">
          <w:rPr>
            <w:noProof/>
          </w:rPr>
          <w:t>1</w:t>
        </w:r>
      </w:fldSimple>
      <w:r>
        <w:t>:</w:t>
      </w:r>
      <w:r w:rsidRPr="0061081A">
        <w:t xml:space="preserve"> </w:t>
      </w:r>
      <w:r>
        <w:t>Table of common signature studies.</w:t>
      </w:r>
      <w:r>
        <w:rPr>
          <w:b w:val="0"/>
        </w:rPr>
        <w:t xml:space="preserve"> Nine studies were reviewed on their experimental design for common signature meta-analyses. None of the nine studies included all nine criteria on which they were assessed. Just under half of studies did not even produce a consistent signature across all input datasets.</w:t>
      </w:r>
      <w:bookmarkEnd w:id="32"/>
    </w:p>
    <w:p w14:paraId="43C0979F" w14:textId="62241FDD" w:rsidR="00261C2B" w:rsidRDefault="00261C2B" w:rsidP="0061081A">
      <w:pPr>
        <w:pStyle w:val="Caption"/>
      </w:pPr>
    </w:p>
    <w:p w14:paraId="63308C18" w14:textId="254D8199" w:rsidR="00261C2B" w:rsidRPr="00261C2B" w:rsidRDefault="00261C2B" w:rsidP="00261C2B">
      <w:pPr>
        <w:pStyle w:val="Caption"/>
        <w:rPr>
          <w:b w:val="0"/>
          <w:lang w:val="en-GB"/>
        </w:rPr>
      </w:pPr>
    </w:p>
    <w:p w14:paraId="5DF4E6E7" w14:textId="77777777" w:rsidR="00DF3FF9" w:rsidRPr="0082680A" w:rsidRDefault="00DF3FF9">
      <w:pPr>
        <w:rPr>
          <w:rFonts w:ascii="Arial" w:eastAsia="Arial" w:hAnsi="Arial" w:cs="Arial"/>
          <w:sz w:val="36"/>
          <w:szCs w:val="32"/>
          <w:lang w:val="en-GB"/>
        </w:rPr>
      </w:pPr>
      <w:bookmarkStart w:id="33" w:name="_Toc527800531"/>
      <w:r w:rsidRPr="0082680A">
        <w:rPr>
          <w:lang w:val="en-GB"/>
        </w:rPr>
        <w:br w:type="page"/>
      </w:r>
    </w:p>
    <w:p w14:paraId="5BA6A820" w14:textId="3CD54CED" w:rsidR="00DD630F" w:rsidRPr="00842FD0" w:rsidRDefault="00F44FAF" w:rsidP="00842FD0">
      <w:pPr>
        <w:pStyle w:val="Heading2"/>
      </w:pPr>
      <w:bookmarkStart w:id="34" w:name="_Toc3211322"/>
      <w:r w:rsidRPr="00842FD0">
        <w:lastRenderedPageBreak/>
        <w:t>Aims and Objectives</w:t>
      </w:r>
      <w:bookmarkEnd w:id="33"/>
      <w:bookmarkEnd w:id="34"/>
    </w:p>
    <w:p w14:paraId="77E24812" w14:textId="58CB6B8E" w:rsidR="00C92239" w:rsidRPr="0082680A" w:rsidRDefault="003206DE">
      <w:pPr>
        <w:rPr>
          <w:lang w:val="en-GB"/>
        </w:rPr>
      </w:pPr>
      <w:r w:rsidRPr="0082680A">
        <w:rPr>
          <w:lang w:val="en-GB"/>
        </w:rPr>
        <w:t xml:space="preserve">Our aim </w:t>
      </w:r>
      <w:r w:rsidR="00C92239" w:rsidRPr="0082680A">
        <w:rPr>
          <w:lang w:val="en-GB"/>
        </w:rPr>
        <w:t>was</w:t>
      </w:r>
      <w:r w:rsidRPr="0082680A">
        <w:rPr>
          <w:lang w:val="en-GB"/>
        </w:rPr>
        <w:t xml:space="preserve"> to develop a signature-generation pipeline which can produce accurate</w:t>
      </w:r>
      <w:r w:rsidR="00C92239" w:rsidRPr="0082680A">
        <w:rPr>
          <w:lang w:val="en-GB"/>
        </w:rPr>
        <w:t>, reliable</w:t>
      </w:r>
      <w:r w:rsidRPr="0082680A">
        <w:rPr>
          <w:lang w:val="en-GB"/>
        </w:rPr>
        <w:t xml:space="preserve"> signatures capable of identifying laboratory-validated upstream drivers of a disease phenotype shared between distinct disease populations. </w:t>
      </w:r>
      <w:r w:rsidR="00C92239" w:rsidRPr="0082680A">
        <w:rPr>
          <w:lang w:val="en-GB"/>
        </w:rPr>
        <w:t xml:space="preserve">We have presented a number of ways in which signature building methodologies can be built, and the components which they may include. </w:t>
      </w:r>
      <w:r w:rsidR="00D634B7">
        <w:rPr>
          <w:lang w:val="en-GB"/>
        </w:rPr>
        <w:t xml:space="preserve">Our aim was to satisfy the criteria set out in section 1.6 in which many previous studies have failed – to produce a methodology capable of identifying common signatures in an array of phenotypes, be it molecular or clinical, and to be generalisable across medical fields. To assess applicability to molecular phenotype we chose to build the methodology around TDP-43 dysfunction; a neurodegenerative cellular phenotype which is easy to assess </w:t>
      </w:r>
      <w:r w:rsidR="00D634B7">
        <w:rPr>
          <w:i/>
          <w:lang w:val="en-GB"/>
        </w:rPr>
        <w:t>in vitro</w:t>
      </w:r>
      <w:r w:rsidR="00D634B7">
        <w:rPr>
          <w:lang w:val="en-GB"/>
        </w:rPr>
        <w:t xml:space="preserve"> due to the presence of aggregations and physical mislocalisation. To assess applicability to clinical phenotypes our second application was to </w:t>
      </w:r>
      <w:r w:rsidR="00D634B7">
        <w:rPr>
          <w:i/>
          <w:lang w:val="en-GB"/>
        </w:rPr>
        <w:t>LRRK2</w:t>
      </w:r>
      <w:r w:rsidR="00D634B7">
        <w:rPr>
          <w:lang w:val="en-GB"/>
        </w:rPr>
        <w:t xml:space="preserve"> and sporadic Parkinson’s diseases – two populations which share an extremely similar clinical phenotype as compared to </w:t>
      </w:r>
      <w:proofErr w:type="gramStart"/>
      <w:r w:rsidR="00D634B7">
        <w:rPr>
          <w:lang w:val="en-GB"/>
        </w:rPr>
        <w:t>other</w:t>
      </w:r>
      <w:proofErr w:type="gramEnd"/>
      <w:r w:rsidR="00D634B7">
        <w:rPr>
          <w:lang w:val="en-GB"/>
        </w:rPr>
        <w:t xml:space="preserve"> PD </w:t>
      </w:r>
      <w:proofErr w:type="spellStart"/>
      <w:r w:rsidR="00D634B7">
        <w:rPr>
          <w:lang w:val="en-GB"/>
        </w:rPr>
        <w:t>populatins</w:t>
      </w:r>
      <w:proofErr w:type="spellEnd"/>
      <w:r w:rsidR="00D634B7">
        <w:rPr>
          <w:lang w:val="en-GB"/>
        </w:rPr>
        <w:t xml:space="preserve">. </w:t>
      </w:r>
      <w:proofErr w:type="gramStart"/>
      <w:r w:rsidR="00D634B7">
        <w:rPr>
          <w:lang w:val="en-GB"/>
        </w:rPr>
        <w:t>Finally</w:t>
      </w:r>
      <w:proofErr w:type="gramEnd"/>
      <w:r w:rsidR="00D634B7">
        <w:rPr>
          <w:lang w:val="en-GB"/>
        </w:rPr>
        <w:t xml:space="preserve"> to show generalisability outside of neurodegeneration, we chose autoimmune arthritis as our third application. </w:t>
      </w:r>
      <w:r w:rsidR="00C92239" w:rsidRPr="0082680A">
        <w:rPr>
          <w:lang w:val="en-GB"/>
        </w:rPr>
        <w:t xml:space="preserve">An overview of the predicted experimental design structure is presented in Figure 2. </w:t>
      </w:r>
    </w:p>
    <w:p w14:paraId="44442B05" w14:textId="77777777" w:rsidR="00C92239" w:rsidRPr="0082680A" w:rsidRDefault="00C92239">
      <w:pPr>
        <w:rPr>
          <w:lang w:val="en-GB"/>
        </w:rPr>
      </w:pPr>
    </w:p>
    <w:p w14:paraId="4A3B3BAD" w14:textId="520BB1A0" w:rsidR="00950EE5" w:rsidRPr="0082680A" w:rsidRDefault="003206DE">
      <w:pPr>
        <w:rPr>
          <w:lang w:val="en-GB"/>
        </w:rPr>
      </w:pPr>
      <w:r w:rsidRPr="0082680A">
        <w:rPr>
          <w:lang w:val="en-GB"/>
        </w:rPr>
        <w:t xml:space="preserve">Our objectives </w:t>
      </w:r>
      <w:r w:rsidR="00C92239" w:rsidRPr="0082680A">
        <w:rPr>
          <w:lang w:val="en-GB"/>
        </w:rPr>
        <w:t>were</w:t>
      </w:r>
      <w:r w:rsidRPr="0082680A">
        <w:rPr>
          <w:lang w:val="en-GB"/>
        </w:rPr>
        <w:t xml:space="preserve"> the following: first, </w:t>
      </w:r>
      <w:r w:rsidR="00C92239" w:rsidRPr="0082680A">
        <w:rPr>
          <w:lang w:val="en-GB"/>
        </w:rPr>
        <w:t>this</w:t>
      </w:r>
      <w:r w:rsidRPr="0082680A">
        <w:rPr>
          <w:lang w:val="en-GB"/>
        </w:rPr>
        <w:t xml:space="preserve"> pipeline </w:t>
      </w:r>
      <w:r w:rsidR="00C92239" w:rsidRPr="0082680A">
        <w:rPr>
          <w:lang w:val="en-GB"/>
        </w:rPr>
        <w:t>would</w:t>
      </w:r>
      <w:r w:rsidRPr="0082680A">
        <w:rPr>
          <w:lang w:val="en-GB"/>
        </w:rPr>
        <w:t xml:space="preserve"> be able to successfully incorporate datasets that are small, as this represents the vast majority of publicly available datasets from complex diseases. Second, the pipeline </w:t>
      </w:r>
      <w:r w:rsidR="00C92239" w:rsidRPr="0082680A">
        <w:rPr>
          <w:lang w:val="en-GB"/>
        </w:rPr>
        <w:t>would</w:t>
      </w:r>
      <w:r w:rsidRPr="0082680A">
        <w:rPr>
          <w:lang w:val="en-GB"/>
        </w:rPr>
        <w:t xml:space="preserve"> be able to processes data generated from variable technical platforms, to reduce overfitting to a platform type, improve replicability, and increase availability of data. </w:t>
      </w:r>
      <w:r w:rsidR="00C92239" w:rsidRPr="0082680A">
        <w:rPr>
          <w:lang w:val="en-GB"/>
        </w:rPr>
        <w:t>Third</w:t>
      </w:r>
      <w:r w:rsidRPr="0082680A">
        <w:rPr>
          <w:lang w:val="en-GB"/>
        </w:rPr>
        <w:t xml:space="preserve">, the pipeline </w:t>
      </w:r>
      <w:r w:rsidR="00C92239" w:rsidRPr="0082680A">
        <w:rPr>
          <w:lang w:val="en-GB"/>
        </w:rPr>
        <w:t>would</w:t>
      </w:r>
      <w:r w:rsidRPr="0082680A">
        <w:rPr>
          <w:lang w:val="en-GB"/>
        </w:rPr>
        <w:t xml:space="preserve"> be rigorously tested at each development stage, both statistically, and through benchmarking of known entities associated with the phenotype. Finally, the pipeline should be validated through prioritisation and selection of predicted upstream drivers, which </w:t>
      </w:r>
      <w:r w:rsidR="00C92239" w:rsidRPr="0082680A">
        <w:rPr>
          <w:lang w:val="en-GB"/>
        </w:rPr>
        <w:t>would</w:t>
      </w:r>
      <w:r w:rsidRPr="0082680A">
        <w:rPr>
          <w:lang w:val="en-GB"/>
        </w:rPr>
        <w:t xml:space="preserve"> subsequently be tested </w:t>
      </w:r>
      <w:r w:rsidRPr="0082680A">
        <w:rPr>
          <w:i/>
          <w:lang w:val="en-GB"/>
        </w:rPr>
        <w:t>in vitro</w:t>
      </w:r>
      <w:r w:rsidRPr="0082680A">
        <w:rPr>
          <w:lang w:val="en-GB"/>
        </w:rPr>
        <w:t xml:space="preserve"> or </w:t>
      </w:r>
      <w:r w:rsidRPr="0082680A">
        <w:rPr>
          <w:i/>
          <w:lang w:val="en-GB"/>
        </w:rPr>
        <w:t>in vivo</w:t>
      </w:r>
      <w:r w:rsidRPr="0082680A">
        <w:rPr>
          <w:lang w:val="en-GB"/>
        </w:rPr>
        <w:t>.</w:t>
      </w:r>
      <w:r w:rsidR="00C92239" w:rsidRPr="0082680A">
        <w:rPr>
          <w:lang w:val="en-GB"/>
        </w:rPr>
        <w:t xml:space="preserve"> </w:t>
      </w:r>
    </w:p>
    <w:p w14:paraId="25D4068A" w14:textId="0C3244B9" w:rsidR="003206DE" w:rsidRPr="0082680A" w:rsidRDefault="00950EE5">
      <w:pPr>
        <w:rPr>
          <w:lang w:val="en-GB"/>
        </w:rPr>
      </w:pPr>
      <w:r w:rsidRPr="0082680A">
        <w:rPr>
          <w:lang w:val="en-GB"/>
        </w:rPr>
        <w:br w:type="page"/>
      </w:r>
    </w:p>
    <w:p w14:paraId="35E99AA8" w14:textId="4A188BE8" w:rsidR="00C92239" w:rsidRPr="0082680A" w:rsidRDefault="00950EE5" w:rsidP="00DD0C53">
      <w:pPr>
        <w:pStyle w:val="NoSpacing"/>
        <w:ind w:left="-142"/>
        <w:rPr>
          <w:lang w:val="en-GB"/>
        </w:rPr>
      </w:pPr>
      <w:r w:rsidRPr="0082680A">
        <w:rPr>
          <w:noProof/>
          <w:lang w:val="en-GB"/>
        </w:rPr>
        <w:lastRenderedPageBreak/>
        <w:drawing>
          <wp:inline distT="0" distB="0" distL="0" distR="0" wp14:anchorId="2ABC1840" wp14:editId="12E5D328">
            <wp:extent cx="4902200" cy="6978426"/>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Figure2.pdf"/>
                    <pic:cNvPicPr/>
                  </pic:nvPicPr>
                  <pic:blipFill rotWithShape="1">
                    <a:blip r:embed="rId44">
                      <a:extLst>
                        <a:ext uri="{28A0092B-C50C-407E-A947-70E740481C1C}">
                          <a14:useLocalDpi xmlns:a14="http://schemas.microsoft.com/office/drawing/2010/main" val="0"/>
                        </a:ext>
                      </a:extLst>
                    </a:blip>
                    <a:srcRect l="4789" t="3360" r="9526" b="11045"/>
                    <a:stretch/>
                  </pic:blipFill>
                  <pic:spPr bwMode="auto">
                    <a:xfrm>
                      <a:off x="0" y="0"/>
                      <a:ext cx="4904397" cy="6981554"/>
                    </a:xfrm>
                    <a:prstGeom prst="rect">
                      <a:avLst/>
                    </a:prstGeom>
                    <a:ln>
                      <a:noFill/>
                    </a:ln>
                    <a:extLst>
                      <a:ext uri="{53640926-AAD7-44D8-BBD7-CCE9431645EC}">
                        <a14:shadowObscured xmlns:a14="http://schemas.microsoft.com/office/drawing/2010/main"/>
                      </a:ext>
                    </a:extLst>
                  </pic:spPr>
                </pic:pic>
              </a:graphicData>
            </a:graphic>
          </wp:inline>
        </w:drawing>
      </w:r>
    </w:p>
    <w:p w14:paraId="425D8917" w14:textId="2B0855FE" w:rsidR="00950EE5" w:rsidRPr="0082680A" w:rsidRDefault="00C92239" w:rsidP="00DD0C53">
      <w:pPr>
        <w:pStyle w:val="Caption"/>
        <w:rPr>
          <w:b w:val="0"/>
          <w:lang w:val="en-GB"/>
        </w:rPr>
      </w:pPr>
      <w:bookmarkStart w:id="35" w:name="_Toc3225998"/>
      <w:bookmarkStart w:id="36" w:name="_Toc528263174"/>
      <w:r w:rsidRPr="0082680A">
        <w:rPr>
          <w:lang w:val="en-GB"/>
        </w:rPr>
        <w:t xml:space="preserve">Figure </w:t>
      </w:r>
      <w:r w:rsidRPr="0082680A">
        <w:rPr>
          <w:lang w:val="en-GB"/>
        </w:rPr>
        <w:fldChar w:fldCharType="begin"/>
      </w:r>
      <w:r w:rsidRPr="0082680A">
        <w:rPr>
          <w:lang w:val="en-GB"/>
        </w:rPr>
        <w:instrText xml:space="preserve"> SEQ Figure \* ARABIC </w:instrText>
      </w:r>
      <w:r w:rsidRPr="0082680A">
        <w:rPr>
          <w:lang w:val="en-GB"/>
        </w:rPr>
        <w:fldChar w:fldCharType="separate"/>
      </w:r>
      <w:r w:rsidR="00066B5A">
        <w:rPr>
          <w:noProof/>
          <w:lang w:val="en-GB"/>
        </w:rPr>
        <w:t>2</w:t>
      </w:r>
      <w:r w:rsidRPr="0082680A">
        <w:rPr>
          <w:lang w:val="en-GB"/>
        </w:rPr>
        <w:fldChar w:fldCharType="end"/>
      </w:r>
      <w:r w:rsidRPr="0082680A">
        <w:rPr>
          <w:lang w:val="en-GB"/>
        </w:rPr>
        <w:t>: An overview of the predicted experimental design structure</w:t>
      </w:r>
      <w:r w:rsidRPr="0082680A">
        <w:rPr>
          <w:b w:val="0"/>
          <w:lang w:val="en-GB"/>
        </w:rPr>
        <w:t>. In the first step (red),</w:t>
      </w:r>
      <w:r w:rsidR="00950EE5" w:rsidRPr="0082680A">
        <w:rPr>
          <w:b w:val="0"/>
          <w:lang w:val="en-GB"/>
        </w:rPr>
        <w:t xml:space="preserve"> data is collected according to specified criteria, and undergoes quality control.</w:t>
      </w:r>
      <w:bookmarkEnd w:id="35"/>
    </w:p>
    <w:p w14:paraId="691E8EC6" w14:textId="51C38DF3" w:rsidR="00BE7166" w:rsidRPr="0082680A" w:rsidRDefault="00950EE5" w:rsidP="00950EE5">
      <w:pPr>
        <w:pStyle w:val="Caption"/>
        <w:rPr>
          <w:b w:val="0"/>
          <w:lang w:val="en-GB"/>
        </w:rPr>
      </w:pPr>
      <w:r w:rsidRPr="0082680A">
        <w:rPr>
          <w:b w:val="0"/>
          <w:lang w:val="en-GB"/>
        </w:rPr>
        <w:t>Next,</w:t>
      </w:r>
      <w:r w:rsidR="00C92239" w:rsidRPr="0082680A">
        <w:rPr>
          <w:b w:val="0"/>
          <w:lang w:val="en-GB"/>
        </w:rPr>
        <w:t xml:space="preserve"> a list of differentially expressed genes is generated</w:t>
      </w:r>
      <w:r w:rsidRPr="0082680A">
        <w:rPr>
          <w:b w:val="0"/>
          <w:lang w:val="en-GB"/>
        </w:rPr>
        <w:t xml:space="preserve"> (orange)</w:t>
      </w:r>
      <w:r w:rsidR="00C92239" w:rsidRPr="0082680A">
        <w:rPr>
          <w:b w:val="0"/>
          <w:lang w:val="en-GB"/>
        </w:rPr>
        <w:t>. This gene list is expanded to a larger, functionally connected network of molecules (</w:t>
      </w:r>
      <w:r w:rsidRPr="0082680A">
        <w:rPr>
          <w:b w:val="0"/>
          <w:lang w:val="en-GB"/>
        </w:rPr>
        <w:t>yellow</w:t>
      </w:r>
      <w:r w:rsidR="00C92239" w:rsidRPr="0082680A">
        <w:rPr>
          <w:b w:val="0"/>
          <w:lang w:val="en-GB"/>
        </w:rPr>
        <w:t>), which is then subdivided into tightly functionally intra-related network modules (</w:t>
      </w:r>
      <w:r w:rsidRPr="0082680A">
        <w:rPr>
          <w:b w:val="0"/>
          <w:lang w:val="en-GB"/>
        </w:rPr>
        <w:t>green</w:t>
      </w:r>
      <w:r w:rsidR="00C92239" w:rsidRPr="0082680A">
        <w:rPr>
          <w:b w:val="0"/>
          <w:lang w:val="en-GB"/>
        </w:rPr>
        <w:t>). Within this network will be a key module, identified through some biological and/or statistical relationship with the phenotype (</w:t>
      </w:r>
      <w:r w:rsidRPr="0082680A">
        <w:rPr>
          <w:b w:val="0"/>
          <w:lang w:val="en-GB"/>
        </w:rPr>
        <w:t>blue</w:t>
      </w:r>
      <w:r w:rsidR="00C92239" w:rsidRPr="0082680A">
        <w:rPr>
          <w:b w:val="0"/>
          <w:lang w:val="en-GB"/>
        </w:rPr>
        <w:t>). Once the key module is identified, its members can be prioritised based on both relationship to the phenotype, as well as likeliness to be an upstream driver of the phenotype (</w:t>
      </w:r>
      <w:r w:rsidRPr="0082680A">
        <w:rPr>
          <w:b w:val="0"/>
          <w:lang w:val="en-GB"/>
        </w:rPr>
        <w:t>purple</w:t>
      </w:r>
      <w:r w:rsidR="00C92239" w:rsidRPr="0082680A">
        <w:rPr>
          <w:b w:val="0"/>
          <w:lang w:val="en-GB"/>
        </w:rPr>
        <w:t xml:space="preserve">). Finally, the top predictions undergo validation in an </w:t>
      </w:r>
      <w:r w:rsidR="00C92239" w:rsidRPr="0082680A">
        <w:rPr>
          <w:b w:val="0"/>
          <w:i/>
          <w:lang w:val="en-GB"/>
        </w:rPr>
        <w:t>in vitro/vivo</w:t>
      </w:r>
      <w:r w:rsidR="00C92239" w:rsidRPr="0082680A">
        <w:rPr>
          <w:b w:val="0"/>
          <w:lang w:val="en-GB"/>
        </w:rPr>
        <w:t xml:space="preserve"> model of the phenotype (</w:t>
      </w:r>
      <w:r w:rsidRPr="0082680A">
        <w:rPr>
          <w:b w:val="0"/>
          <w:lang w:val="en-GB"/>
        </w:rPr>
        <w:t>violet</w:t>
      </w:r>
      <w:r w:rsidR="00C92239" w:rsidRPr="0082680A">
        <w:rPr>
          <w:b w:val="0"/>
          <w:lang w:val="en-GB"/>
        </w:rPr>
        <w:t>). At various stages, assessments are made regarding the relationship of the result to the phenotype (e.g. pathway enrichment analysis), as well as the statistical likelihood of obtaining that result.</w:t>
      </w:r>
      <w:bookmarkEnd w:id="36"/>
      <w:r w:rsidR="00C92239" w:rsidRPr="0082680A">
        <w:rPr>
          <w:b w:val="0"/>
          <w:lang w:val="en-GB"/>
        </w:rPr>
        <w:t xml:space="preserve"> </w:t>
      </w:r>
      <w:r w:rsidRPr="0082680A">
        <w:rPr>
          <w:b w:val="0"/>
          <w:lang w:val="en-GB"/>
        </w:rPr>
        <w:br w:type="page"/>
      </w:r>
    </w:p>
    <w:p w14:paraId="23AD8236" w14:textId="5B92961E" w:rsidR="00EB41E2" w:rsidRPr="0082680A" w:rsidRDefault="00BE7166" w:rsidP="00691215">
      <w:pPr>
        <w:pStyle w:val="Heading1"/>
        <w:ind w:left="0" w:hanging="426"/>
        <w:rPr>
          <w:lang w:val="en-GB"/>
        </w:rPr>
      </w:pPr>
      <w:bookmarkStart w:id="37" w:name="_Toc3211323"/>
      <w:r w:rsidRPr="00842FD0">
        <w:lastRenderedPageBreak/>
        <w:t>Chapter</w:t>
      </w:r>
      <w:r w:rsidRPr="0082680A">
        <w:rPr>
          <w:lang w:val="en-GB"/>
        </w:rPr>
        <w:t xml:space="preserve"> 2: </w:t>
      </w:r>
      <w:r w:rsidR="00EB41E2" w:rsidRPr="0082680A">
        <w:rPr>
          <w:lang w:val="en-GB"/>
        </w:rPr>
        <w:t>Pipeline Developmen</w:t>
      </w:r>
      <w:r w:rsidR="002B7200" w:rsidRPr="0082680A">
        <w:rPr>
          <w:lang w:val="en-GB"/>
        </w:rPr>
        <w:t xml:space="preserve">t: An </w:t>
      </w:r>
      <w:r w:rsidR="00B56DFB" w:rsidRPr="0082680A">
        <w:rPr>
          <w:lang w:val="en-GB"/>
        </w:rPr>
        <w:t>Application to TDP-43 Dysfunction</w:t>
      </w:r>
      <w:bookmarkEnd w:id="37"/>
    </w:p>
    <w:p w14:paraId="39A63636" w14:textId="5D51BC31" w:rsidR="00EB41E2" w:rsidRPr="00842FD0" w:rsidRDefault="00EB41E2" w:rsidP="00842FD0">
      <w:pPr>
        <w:pStyle w:val="Heading2"/>
      </w:pPr>
      <w:bookmarkStart w:id="38" w:name="_Toc3211324"/>
      <w:r w:rsidRPr="00842FD0">
        <w:t>Introduction</w:t>
      </w:r>
      <w:bookmarkEnd w:id="38"/>
    </w:p>
    <w:p w14:paraId="387A9048" w14:textId="77777777" w:rsidR="00EB41E2" w:rsidRPr="00691215" w:rsidRDefault="00EB41E2" w:rsidP="00691215">
      <w:pPr>
        <w:pStyle w:val="Heading3"/>
      </w:pPr>
      <w:bookmarkStart w:id="39" w:name="_22wzl67474i2" w:colFirst="0" w:colLast="0"/>
      <w:bookmarkStart w:id="40" w:name="_Toc3211325"/>
      <w:bookmarkEnd w:id="39"/>
      <w:r w:rsidRPr="00691215">
        <w:t>Overview</w:t>
      </w:r>
      <w:bookmarkEnd w:id="40"/>
    </w:p>
    <w:p w14:paraId="50FDEBC1" w14:textId="0340B345" w:rsidR="00EB41E2" w:rsidRPr="0082680A" w:rsidRDefault="00EB778D" w:rsidP="00EB41E2">
      <w:pPr>
        <w:rPr>
          <w:lang w:val="en-GB"/>
        </w:rPr>
      </w:pPr>
      <w:r w:rsidRPr="0082680A">
        <w:rPr>
          <w:lang w:val="en-GB"/>
        </w:rPr>
        <w:t>Th</w:t>
      </w:r>
      <w:r w:rsidR="00EB41E2" w:rsidRPr="0082680A">
        <w:rPr>
          <w:lang w:val="en-GB"/>
        </w:rPr>
        <w:t xml:space="preserve">e aim of this PhD project </w:t>
      </w:r>
      <w:r w:rsidRPr="0082680A">
        <w:rPr>
          <w:lang w:val="en-GB"/>
        </w:rPr>
        <w:t>was</w:t>
      </w:r>
      <w:r w:rsidR="00EB41E2" w:rsidRPr="0082680A">
        <w:rPr>
          <w:lang w:val="en-GB"/>
        </w:rPr>
        <w:t xml:space="preserve"> to develop a methodology capable of extracting novel common drivers of </w:t>
      </w:r>
      <w:r w:rsidR="002B7200" w:rsidRPr="0082680A">
        <w:rPr>
          <w:lang w:val="en-GB"/>
        </w:rPr>
        <w:t xml:space="preserve">well-defined </w:t>
      </w:r>
      <w:r w:rsidR="00EB41E2" w:rsidRPr="0082680A">
        <w:rPr>
          <w:lang w:val="en-GB"/>
        </w:rPr>
        <w:t xml:space="preserve">phenotypes shared between multiple disease populations. The development process </w:t>
      </w:r>
      <w:r w:rsidRPr="0082680A">
        <w:rPr>
          <w:lang w:val="en-GB"/>
        </w:rPr>
        <w:t>involved</w:t>
      </w:r>
      <w:r w:rsidR="00EB41E2" w:rsidRPr="0082680A">
        <w:rPr>
          <w:lang w:val="en-GB"/>
        </w:rPr>
        <w:t xml:space="preserve"> the incorporation of multiple data types into a single, multi-omic signature, which could be queried for these novel drivers. To begin development, however, required a test phenotype. The test phenotype selected was TDP-43 dysfunction; a protein mislocalisation and aggregation phenotype shared by over a dozen different neurodegenerative conditions. </w:t>
      </w:r>
    </w:p>
    <w:p w14:paraId="384A1D89" w14:textId="34D43AC8" w:rsidR="00EB41E2" w:rsidRPr="00691215" w:rsidRDefault="00691215" w:rsidP="00691215">
      <w:pPr>
        <w:pStyle w:val="Heading3"/>
      </w:pPr>
      <w:bookmarkStart w:id="41" w:name="_4pplsdz76y37" w:colFirst="0" w:colLast="0"/>
      <w:bookmarkEnd w:id="41"/>
      <w:r w:rsidRPr="00691215">
        <w:t xml:space="preserve"> </w:t>
      </w:r>
      <w:bookmarkStart w:id="42" w:name="_Toc3211326"/>
      <w:r w:rsidR="00EB41E2" w:rsidRPr="00691215">
        <w:t>Case Study: TDP-43 Dysfunction</w:t>
      </w:r>
      <w:bookmarkEnd w:id="42"/>
    </w:p>
    <w:p w14:paraId="0E5BE31E" w14:textId="28753DE5" w:rsidR="00EB41E2" w:rsidRPr="0082680A" w:rsidRDefault="00691215" w:rsidP="00691215">
      <w:pPr>
        <w:pStyle w:val="Heading4"/>
        <w:rPr>
          <w:lang w:val="en-GB"/>
        </w:rPr>
      </w:pPr>
      <w:bookmarkStart w:id="43" w:name="_7lzaer5tcybi" w:colFirst="0" w:colLast="0"/>
      <w:bookmarkEnd w:id="43"/>
      <w:r>
        <w:rPr>
          <w:lang w:val="en-GB"/>
        </w:rPr>
        <w:t xml:space="preserve"> </w:t>
      </w:r>
      <w:bookmarkStart w:id="44" w:name="_Toc3211327"/>
      <w:r w:rsidR="00EB41E2" w:rsidRPr="0082680A">
        <w:rPr>
          <w:lang w:val="en-GB"/>
        </w:rPr>
        <w:t>TDP-43 Structure and Function</w:t>
      </w:r>
      <w:bookmarkEnd w:id="44"/>
    </w:p>
    <w:p w14:paraId="7624C146" w14:textId="43925A75" w:rsidR="00EB41E2" w:rsidRPr="0082680A" w:rsidRDefault="00EB41E2" w:rsidP="00EB41E2">
      <w:pPr>
        <w:rPr>
          <w:lang w:val="en-GB"/>
        </w:rPr>
      </w:pPr>
      <w:r w:rsidRPr="0082680A">
        <w:rPr>
          <w:lang w:val="en-GB"/>
        </w:rPr>
        <w:t xml:space="preserve">Transactive response DNA-binding Protein (TDP-43) is a highly conserved, ubiquitously expressed protein, named for its molecular weight of </w:t>
      </w:r>
      <w:r w:rsidR="00840875" w:rsidRPr="0082680A">
        <w:rPr>
          <w:lang w:val="en-GB"/>
        </w:rPr>
        <w:t>43-kDa</w:t>
      </w:r>
      <w:r w:rsidRPr="0082680A">
        <w:rPr>
          <w:lang w:val="en-GB"/>
        </w:rPr>
        <w:t xml:space="preserve">. Located on Chromosome 1, the gene encoding TDP-43, </w:t>
      </w:r>
      <w:r w:rsidRPr="0082680A">
        <w:rPr>
          <w:i/>
          <w:lang w:val="en-GB"/>
        </w:rPr>
        <w:t>TARDBP</w:t>
      </w:r>
      <w:r w:rsidRPr="0082680A">
        <w:rPr>
          <w:lang w:val="en-GB"/>
        </w:rPr>
        <w:t>, can be alternatively spliced into 11 different mRNAs. Western blotting experiments have demonstrated that TDP-43 is the only protein produc</w:t>
      </w:r>
      <w:r w:rsidR="00840875" w:rsidRPr="0082680A">
        <w:rPr>
          <w:lang w:val="en-GB"/>
        </w:rPr>
        <w:t xml:space="preserve">t translated from a </w:t>
      </w:r>
      <w:r w:rsidR="00840875" w:rsidRPr="0082680A">
        <w:rPr>
          <w:i/>
          <w:lang w:val="en-GB"/>
        </w:rPr>
        <w:t>TARDBP</w:t>
      </w:r>
      <w:r w:rsidR="00840875" w:rsidRPr="0082680A">
        <w:rPr>
          <w:lang w:val="en-GB"/>
        </w:rPr>
        <w:t xml:space="preserve"> mRNA </w:t>
      </w:r>
      <w:r w:rsidR="00840875" w:rsidRPr="0082680A">
        <w:rPr>
          <w:lang w:val="en-GB"/>
        </w:rPr>
        <w:fldChar w:fldCharType="begin" w:fldLock="1"/>
      </w:r>
      <w:r w:rsidR="000507BA">
        <w:rPr>
          <w:lang w:val="en-GB"/>
        </w:rPr>
        <w:instrText>ADDIN CSL_CITATION {"citationItems":[{"id":"ITEM-1","itemData":{"DOI":"10.1016/S0888-7543(03)00214-3","ISSN":"08887543","abstract":"TDP-43 is an RNA-binding protein that functions in mammalian cells in transcriptional repression and exon skipping. The gene encoding TDP-43 (HGMW-approved gene symbol TARDBP) is conserved in human, mouse, Drosophila melanogaster, and Caenorhabditis elegans. Sequence comparison of the coding regions of the TDP genes among the four taxa reveals an extraordinarily low rate of sequence divergence, suggesting that the TDP genes carry out essential functions in these organisms. With DNA transfection assay, we have established the importance of the glycine-rich domain for the exon-skipping activity of TDP-43. Both human and mouse TDP genes belong to a gene family that also consists of a number of processed pseudogenes. Interestingly, combined database analysis and cDNA cloning have demonstrated that the primary transcript of the mammalian TDP genes undergoes alternative splicing to generate 11 mRNAs, including the one encoding TDP-43. Eight of the 11 splicing events involved the use of four each of the 5′-donor and 3′-acceptor sites, all of which reside within the last exon of the TDP-43 mRNA. The existence of multispliced isoforms of TDP-encoded proteins provides further support for the functional complexity of the eukaryotic TDP genes.","author":[{"dropping-particle":"","family":"Wang","given":"Hurng-Yi","non-dropping-particle":"","parse-names":false,"suffix":""},{"dropping-particle":"","family":"Wang","given":"I-Fan","non-dropping-particle":"","parse-names":false,"suffix":""},{"dropping-particle":"","family":"Bose","given":"Jayaramakrishnan","non-dropping-particle":"","parse-names":false,"suffix":""},{"dropping-particle":"","family":"Shen","given":"C.-K.James","non-dropping-particle":"","parse-names":false,"suffix":""}],"container-title":"Genomics","id":"ITEM-1","issue":"1","issued":{"date-parts":[["2004","1"]]},"page":"130-139","title":"Structural diversity and functional implications of the eukaryotic TDP gene family","type":"article-journal","volume":"83"},"uris":["http://www.mendeley.com/documents/?uuid=2cd0021c-ae06-4cc1-b289-62f40b59ab6d"]}],"mendeley":{"formattedCitation":"&lt;sup&gt;95&lt;/sup&gt;","plainTextFormattedCitation":"95","previouslyFormattedCitation":"&lt;sup&gt;95&lt;/sup&gt;"},"properties":{"noteIndex":0},"schema":"https://github.com/citation-style-language/schema/raw/master/csl-citation.json"}</w:instrText>
      </w:r>
      <w:r w:rsidR="00840875" w:rsidRPr="0082680A">
        <w:rPr>
          <w:lang w:val="en-GB"/>
        </w:rPr>
        <w:fldChar w:fldCharType="separate"/>
      </w:r>
      <w:r w:rsidR="00426B19" w:rsidRPr="00426B19">
        <w:rPr>
          <w:noProof/>
          <w:vertAlign w:val="superscript"/>
          <w:lang w:val="en-GB"/>
        </w:rPr>
        <w:t>95</w:t>
      </w:r>
      <w:r w:rsidR="00840875" w:rsidRPr="0082680A">
        <w:rPr>
          <w:lang w:val="en-GB"/>
        </w:rPr>
        <w:fldChar w:fldCharType="end"/>
      </w:r>
      <w:r w:rsidR="00840875" w:rsidRPr="0082680A">
        <w:rPr>
          <w:lang w:val="en-GB"/>
        </w:rPr>
        <w:t xml:space="preserve">. </w:t>
      </w:r>
      <w:r w:rsidRPr="0082680A">
        <w:rPr>
          <w:lang w:val="en-GB"/>
        </w:rPr>
        <w:t xml:space="preserve">TDP-43 itself has three protein isoforms; two 43-kDa proteins (of which one is lacking 6 nucleotides), and one 28 kDa isoform missing exon 3 and a large section of exon 6. The roles of the two non-full length isoforms are currently unknown </w:t>
      </w:r>
      <w:r w:rsidR="00840875" w:rsidRPr="0082680A">
        <w:rPr>
          <w:lang w:val="en-GB"/>
        </w:rPr>
        <w:fldChar w:fldCharType="begin" w:fldLock="1"/>
      </w:r>
      <w:r w:rsidR="000507BA">
        <w:rPr>
          <w:lang w:val="en-GB"/>
        </w:rPr>
        <w:instrText>ADDIN CSL_CITATION {"citationItems":[{"id":"ITEM-1","itemData":{"DOI":"10.1016/j.mcn.2007.03.007","ISSN":"1044-7431","PMID":"17481916","abstract":"The human TAR DNA-binding protein (TDP43) colocalizes with ubiquitinated inclusions in motor neurons in amyotrophic lateral sclerosis (ALS). TDP43 is both a DNA-binding protein with a nuclear export sequence that interacts with (TG)nTm elements in DNA and an RNA-binding protein that interacts with (UG)(6-12) motifs in single-stranded RNA. In control motor neurons, TDP43 was almost exclusively nuclear, whereas in ALS spinal motor neurons, TDP43 was predominantly localized to the cytosol and not the nucleus. TDP43 was observed as punctuate immunoreactivity and as dense skeins, with and without ubiquitinization. We observed that TDP43 stabilizes the human low molecular weight (hNFL) mRNA through a direct interaction with the 3'UTR. TDP43 is a unique hNFL mRNA-binding protein that is altered in its somatotopic localization in ALS spinal motor neurons and potentially contributes to the formation of NF aggregates in ALS through alterations in NF stoichiometry.","author":[{"dropping-particle":"","family":"Strong","given":"Michael J.","non-dropping-particle":"","parse-names":false,"suffix":""},{"dropping-particle":"","family":"Volkening","given":"Kathryn","non-dropping-particle":"","parse-names":false,"suffix":""},{"dropping-particle":"","family":"Hammond","given":"Robert","non-dropping-particle":"","parse-names":false,"suffix":""},{"dropping-particle":"","family":"Yang","given":"Wencheng","non-dropping-particle":"","parse-names":false,"suffix":""},{"dropping-particle":"","family":"Strong","given":"Wendy","non-dropping-particle":"","parse-names":false,"suffix":""},{"dropping-particle":"","family":"Leystra-Lantz","given":"Cheryl","non-dropping-particle":"","parse-names":false,"suffix":""},{"dropping-particle":"","family":"Shoesmith","given":"Christen","non-dropping-particle":"","parse-names":false,"suffix":""}],"container-title":"Molecular and cellular neurosciences","id":"ITEM-1","issue":"2","issued":{"date-parts":[["2007","6"]]},"page":"320-7","title":"TDP43 is a human low molecular weight neurofilament (hNFL) mRNA-binding protein.","type":"article-journal","volume":"35"},"uris":["http://www.mendeley.com/documents/?uuid=70b8826d-9c33-403b-b50f-046e91d3ad97"]}],"mendeley":{"formattedCitation":"&lt;sup&gt;96&lt;/sup&gt;","plainTextFormattedCitation":"96","previouslyFormattedCitation":"&lt;sup&gt;96&lt;/sup&gt;"},"properties":{"noteIndex":0},"schema":"https://github.com/citation-style-language/schema/raw/master/csl-citation.json"}</w:instrText>
      </w:r>
      <w:r w:rsidR="00840875" w:rsidRPr="0082680A">
        <w:rPr>
          <w:lang w:val="en-GB"/>
        </w:rPr>
        <w:fldChar w:fldCharType="separate"/>
      </w:r>
      <w:r w:rsidR="00426B19" w:rsidRPr="00426B19">
        <w:rPr>
          <w:noProof/>
          <w:vertAlign w:val="superscript"/>
          <w:lang w:val="en-GB"/>
        </w:rPr>
        <w:t>96</w:t>
      </w:r>
      <w:r w:rsidR="00840875" w:rsidRPr="0082680A">
        <w:rPr>
          <w:lang w:val="en-GB"/>
        </w:rPr>
        <w:fldChar w:fldCharType="end"/>
      </w:r>
      <w:r w:rsidR="00840875" w:rsidRPr="0082680A">
        <w:rPr>
          <w:lang w:val="en-GB"/>
        </w:rPr>
        <w:t xml:space="preserve">. </w:t>
      </w:r>
      <w:r w:rsidRPr="0082680A">
        <w:rPr>
          <w:lang w:val="en-GB"/>
        </w:rPr>
        <w:t xml:space="preserve">Due to its structure, TDP-43 is considered a member of the heterogeneous nuclear ribonucleoprotein (hnRNP) family, which are known to engage in mRNA biogenesis and gene expression regulation </w:t>
      </w:r>
      <w:r w:rsidR="00840875" w:rsidRPr="0082680A">
        <w:rPr>
          <w:lang w:val="en-GB"/>
        </w:rPr>
        <w:fldChar w:fldCharType="begin" w:fldLock="1"/>
      </w:r>
      <w:r w:rsidR="000507BA">
        <w:rPr>
          <w:lang w:val="en-GB"/>
        </w:rPr>
        <w:instrText>ADDIN CSL_CITATION {"citationItems":[{"id":"ITEM-1","itemData":{"DOI":"10.1261/rna.2254110","ISSN":"1469-9001","PMID":"20584894","abstract":"Heterogeneous nuclear ribonucleoproteins (hnRNPs) comprise a family of RNA-binding proteins. The complexity and diversity associated with the hnRNPs render them multifunctional, involved not only in processing heterogeneous nuclear RNAs (hnRNAs) into mature mRNAs, but also acting as trans-factors in regulating gene expression. Heterogeneous nuclear ribonucleoprotein E1 (hnRNP E1), a subgroup of hnRNPs, is a KH-triple repeat containing RNA-binding protein. It is encoded by an intronless gene arising from hnRNP E2 through a retrotransposition event. hnRNP E1 is ubiquitously expressed and functions in regulating major steps of gene expression, including pre-mRNA processing, mRNA stability, and translation. Given its wide-ranging functions in the nucleus and cytoplasm and interaction with multiple proteins, we propose a post-transcriptional regulon model that explains hnRNP E1's widespread functional diversity.","author":[{"dropping-particle":"","family":"Chaudhury","given":"Arindam","non-dropping-particle":"","parse-names":false,"suffix":""},{"dropping-particle":"","family":"Chander","given":"Praveen","non-dropping-particle":"","parse-names":false,"suffix":""},{"dropping-particle":"","family":"Howe","given":"Philip H","non-dropping-particle":"","parse-names":false,"suffix":""}],"container-title":"RNA (New York, N.Y.)","id":"ITEM-1","issue":"8","issued":{"date-parts":[["2010","8"]]},"page":"1449-62","title":"Heterogeneous nuclear ribonucleoproteins (hnRNPs) in cellular processes: Focus on hnRNP E1's multifunctional regulatory roles.","type":"article-journal","volume":"16"},"uris":["http://www.mendeley.com/documents/?uuid=726af3b8-dcab-4dde-a50b-bfdcfd66c369"]}],"mendeley":{"formattedCitation":"&lt;sup&gt;97&lt;/sup&gt;","plainTextFormattedCitation":"97","previouslyFormattedCitation":"&lt;sup&gt;97&lt;/sup&gt;"},"properties":{"noteIndex":0},"schema":"https://github.com/citation-style-language/schema/raw/master/csl-citation.json"}</w:instrText>
      </w:r>
      <w:r w:rsidR="00840875" w:rsidRPr="0082680A">
        <w:rPr>
          <w:lang w:val="en-GB"/>
        </w:rPr>
        <w:fldChar w:fldCharType="separate"/>
      </w:r>
      <w:r w:rsidR="00426B19" w:rsidRPr="00426B19">
        <w:rPr>
          <w:noProof/>
          <w:vertAlign w:val="superscript"/>
          <w:lang w:val="en-GB"/>
        </w:rPr>
        <w:t>97</w:t>
      </w:r>
      <w:r w:rsidR="00840875" w:rsidRPr="0082680A">
        <w:rPr>
          <w:lang w:val="en-GB"/>
        </w:rPr>
        <w:fldChar w:fldCharType="end"/>
      </w:r>
      <w:r w:rsidR="00840875" w:rsidRPr="0082680A">
        <w:rPr>
          <w:lang w:val="en-GB"/>
        </w:rPr>
        <w:t xml:space="preserve">. </w:t>
      </w:r>
      <w:r w:rsidRPr="0082680A">
        <w:rPr>
          <w:lang w:val="en-GB"/>
        </w:rPr>
        <w:t xml:space="preserve">As an hnRNP, TDP-43 is characterised by its ability to bind single-stranded RNA and DNA using binding domains known as RNA recognition motifs (RRM). TDP-43 possesses two such binding domains, RRM1 and RRM2. RRM1 is particularly affinitive to UG/TG dinucleotide repeats of </w:t>
      </w:r>
      <w:r w:rsidR="00840875" w:rsidRPr="0082680A">
        <w:rPr>
          <w:lang w:val="en-GB"/>
        </w:rPr>
        <w:t>six or more, and</w:t>
      </w:r>
      <w:r w:rsidRPr="0082680A">
        <w:rPr>
          <w:lang w:val="en-GB"/>
        </w:rPr>
        <w:t xml:space="preserve"> has been shown to be necessary for nucleotide binding </w:t>
      </w:r>
      <w:r w:rsidR="00840875" w:rsidRPr="0082680A">
        <w:rPr>
          <w:lang w:val="en-GB"/>
        </w:rPr>
        <w:fldChar w:fldCharType="begin" w:fldLock="1"/>
      </w:r>
      <w:r w:rsidR="000507BA">
        <w:rPr>
          <w:lang w:val="en-GB"/>
        </w:rPr>
        <w:instrText>ADDIN CSL_CITATION {"citationItems":[{"id":"ITEM-1","itemData":{"DOI":"10.1074/jbc.M104236200","ISSN":"0021-9258","PMID":"11470789","abstract":"Variations in a polymorphic (TG)m sequence near exon 9 of the human CFTR gene have been associated with variable proportions of exon skipping and occurrence of disease. We have recently identified nuclear factor TDP-43 as a novel splicing regulator capable of binding to this element in the CFTR pre-mRNA and inhibiting recognition of the neighboring exon. In this study we report the dissection of the RNA binding properties of TDP-43 and their functional implications in relationship with the splicing process. Our results show that this protein contains two fully functional RNA recognition motif (RRM) domains with distinct RNA/DNA binding characteristics. Interestingly, TDP-43 can bind a minimum number of six UG (or TG) single-stranded dinucleotide stretches, and binding affinity increases with the number of repeats. In particular, the highly conserved Phe residues in the first RRM region play a key role in nucleic acid recognition.","author":[{"dropping-particle":"","family":"Buratti","given":"E","non-dropping-particle":"","parse-names":false,"suffix":""},{"dropping-particle":"","family":"Baralle","given":"F E","non-dropping-particle":"","parse-names":false,"suffix":""}],"container-title":"The Journal of biological chemistry","id":"ITEM-1","issue":"39","issued":{"date-parts":[["2001","9","28"]]},"page":"36337-43","title":"Characterization and functional implications of the RNA binding properties of nuclear factor TDP-43, a novel splicing regulator of CFTR exon 9.","type":"article-journal","volume":"276"},"uris":["http://www.mendeley.com/documents/?uuid=16a9c032-18c8-408c-bac0-79b968370318"]}],"mendeley":{"formattedCitation":"&lt;sup&gt;98&lt;/sup&gt;","plainTextFormattedCitation":"98","previouslyFormattedCitation":"&lt;sup&gt;98&lt;/sup&gt;"},"properties":{"noteIndex":0},"schema":"https://github.com/citation-style-language/schema/raw/master/csl-citation.json"}</w:instrText>
      </w:r>
      <w:r w:rsidR="00840875" w:rsidRPr="0082680A">
        <w:rPr>
          <w:lang w:val="en-GB"/>
        </w:rPr>
        <w:fldChar w:fldCharType="separate"/>
      </w:r>
      <w:r w:rsidR="00426B19" w:rsidRPr="00426B19">
        <w:rPr>
          <w:noProof/>
          <w:vertAlign w:val="superscript"/>
          <w:lang w:val="en-GB"/>
        </w:rPr>
        <w:t>98</w:t>
      </w:r>
      <w:r w:rsidR="00840875" w:rsidRPr="0082680A">
        <w:rPr>
          <w:lang w:val="en-GB"/>
        </w:rPr>
        <w:fldChar w:fldCharType="end"/>
      </w:r>
      <w:r w:rsidRPr="0082680A">
        <w:rPr>
          <w:lang w:val="en-GB"/>
        </w:rPr>
        <w:t xml:space="preserve">. The RRMs of TDP-43 are flanked by an amino-terminal (N-terminal) domain and a glycine-rich carboxy-terminal (C-terminal) domain. The N-terminal domain has been shown to be required for formation of TDP-43 homodimers and for regulation of TDP-43’s splicing activity </w:t>
      </w:r>
      <w:r w:rsidR="00840875" w:rsidRPr="0082680A">
        <w:rPr>
          <w:lang w:val="en-GB"/>
        </w:rPr>
        <w:fldChar w:fldCharType="begin" w:fldLock="1"/>
      </w:r>
      <w:r w:rsidR="000507BA">
        <w:rPr>
          <w:lang w:val="en-GB"/>
        </w:rPr>
        <w:instrText>ADDIN CSL_CITATION {"citationItems":[{"id":"ITEM-1","itemData":{"DOI":"10.1093/hmg/ddt166","ISSN":"1460-2083","PMID":"23575225","abstract":"TAR DNA-binding protein-43 (TDP-43) is the principal component of ubiquitinated inclusions in amyotrophic lateral sclerosis (ALS) and the most common pathological subtype of frontotemporal dementia-frontotemporal lobar degeneration with TDP-43-positive inclusions (FTLD-TDP). To date, the C-terminus of TDP-43, which is aggregation-prone and contains almost all ALS-associated mutations, has garnered much attention while the functions of the N-terminus of TDP-43 remain largely unknown. To bridge this gap in our knowledge, we utilized novel cell culture and computer-assisted models to evaluate which region(s) of TDP-43 regulate its folding, self-interaction, biological activity and aggregation. We determined that the extreme N-terminus of TDP-43, specifically the first 10 residues, regulates folding of TDP-43 monomers necessary for proper homodimerization and TDP-43-regulated splicing. Despite such beneficial functions, we discovered an interesting dichotomy: full-length TDP-43 aggregation, which is believed to be a pathogenic process, also requires the extreme N-terminus of TDP-43. As such, we provide new insight into the structural basis for TDP-43 function and aggregation, and we suggest that stabilization of TDP-43 homodimers, the physiologically active form of TDP-43, may be a promising therapeutic strategy for ALS and FTLD-TDP.","author":[{"dropping-particle":"","family":"Zhang","given":"Yong-Jie","non-dropping-particle":"","parse-names":false,"suffix":""},{"dropping-particle":"","family":"Caulfield","given":"Thomas","non-dropping-particle":"","parse-names":false,"suffix":""},{"dropping-particle":"","family":"Xu","given":"Ya-Fei","non-dropping-particle":"","parse-names":false,"suffix":""},{"dropping-particle":"","family":"Gendron","given":"Tania F","non-dropping-particle":"","parse-names":false,"suffix":""},{"dropping-particle":"","family":"Hubbard","given":"Jaime","non-dropping-particle":"","parse-names":false,"suffix":""},{"dropping-particle":"","family":"Stetler","given":"Caroline","non-dropping-particle":"","parse-names":false,"suffix":""},{"dropping-particle":"","family":"Sasaguri","given":"Hiroki","non-dropping-particle":"","parse-names":false,"suffix":""},{"dropping-particle":"","family":"Whitelaw","given":"Ena C","non-dropping-particle":"","parse-names":false,"suffix":""},{"dropping-particle":"","family":"Cai","given":"Shuyi","non-dropping-particle":"","parse-names":false,"suffix":""},{"dropping-particle":"","family":"Lee","given":"Wing Cheung","non-dropping-particle":"","parse-names":false,"suffix":""},{"dropping-particle":"","family":"Petrucelli","given":"Leonard","non-dropping-particle":"","parse-names":false,"suffix":""}],"container-title":"Human molecular genetics","id":"ITEM-1","issue":"15","issued":{"date-parts":[["2013","8","1"]]},"language":"en","page":"3112-22","publisher":"Oxford University Press","title":"The dual functions of the extreme N-terminus of TDP-43 in regulating its biological activity and inclusion formation.","type":"article-journal","volume":"22"},"uris":["http://www.mendeley.com/documents/?uuid=605986ca-51c4-4127-a2ce-ff954050d276"]}],"mendeley":{"formattedCitation":"&lt;sup&gt;99&lt;/sup&gt;","plainTextFormattedCitation":"99","previouslyFormattedCitation":"&lt;sup&gt;99&lt;/sup&gt;"},"properties":{"noteIndex":0},"schema":"https://github.com/citation-style-language/schema/raw/master/csl-citation.json"}</w:instrText>
      </w:r>
      <w:r w:rsidR="00840875" w:rsidRPr="0082680A">
        <w:rPr>
          <w:lang w:val="en-GB"/>
        </w:rPr>
        <w:fldChar w:fldCharType="separate"/>
      </w:r>
      <w:r w:rsidR="00426B19" w:rsidRPr="00426B19">
        <w:rPr>
          <w:noProof/>
          <w:vertAlign w:val="superscript"/>
          <w:lang w:val="en-GB"/>
        </w:rPr>
        <w:t>99</w:t>
      </w:r>
      <w:r w:rsidR="00840875" w:rsidRPr="0082680A">
        <w:rPr>
          <w:lang w:val="en-GB"/>
        </w:rPr>
        <w:fldChar w:fldCharType="end"/>
      </w:r>
      <w:r w:rsidRPr="0082680A">
        <w:rPr>
          <w:lang w:val="en-GB"/>
        </w:rPr>
        <w:t xml:space="preserve">. Alternatively, the C-terminal domain of TDP-43 has been implicated in the </w:t>
      </w:r>
      <w:r w:rsidRPr="0082680A">
        <w:rPr>
          <w:lang w:val="en-GB"/>
        </w:rPr>
        <w:lastRenderedPageBreak/>
        <w:t xml:space="preserve">mediation of protein-protein interactions </w:t>
      </w:r>
      <w:r w:rsidR="00BC4C19" w:rsidRPr="0082680A">
        <w:rPr>
          <w:lang w:val="en-GB"/>
        </w:rPr>
        <w:fldChar w:fldCharType="begin" w:fldLock="1"/>
      </w:r>
      <w:r w:rsidR="000507BA">
        <w:rPr>
          <w:lang w:val="en-GB"/>
        </w:rPr>
        <w:instrText>ADDIN CSL_CITATION {"citationItems":[{"id":"ITEM-1","itemData":{"DOI":"10.1074/jbc.M505557200","ISSN":"0021-9258","PMID":"16157593","abstract":"TDP-43 is a highly conserved nuclear factor of yet unknown function that binds to ug-repeated sequences and is responsible for cystic fibrosis transmembrane conductance regulator exon 9 splicing inhibition. We have analyzed TDP-43 interactions with other splicing factors and identified the critical regions for the protein/protein recognition events that determine this biological function. We show here that the C-terminal region of TDP-43 is capable of binding directly to several proteins of the heterogeneous nuclear ribonucleoprotein (hnRNP) family with well known splicing inhibitory activity, in particular, hnRNP A2/B1 and hnRNP A1. Mutational analysis showed that TDP-43 proteins lacking the C-terminal region could not inhibit splicing probably because they were unable to form the hnRNP-rich complex involved in splicing inhibition. Finally, through splicing complex analysis, we show that splicing inhibition mediated by TDP-43 occurs at the earliest stages of spliceosomal assembly.","author":[{"dropping-particle":"","family":"Buratti","given":"Emanuele","non-dropping-particle":"","parse-names":false,"suffix":""},{"dropping-particle":"","family":"Brindisi","given":"Antonia","non-dropping-particle":"","parse-names":false,"suffix":""},{"dropping-particle":"","family":"Giombi","given":"Maurizio","non-dropping-particle":"","parse-names":false,"suffix":""},{"dropping-particle":"","family":"Tisminetzky","given":"Sergio","non-dropping-particle":"","parse-names":false,"suffix":""},{"dropping-particle":"","family":"Ayala","given":"Youhna M","non-dropping-particle":"","parse-names":false,"suffix":""},{"dropping-particle":"","family":"Baralle","given":"Francisco E","non-dropping-particle":"","parse-names":false,"suffix":""}],"container-title":"The Journal of biological chemistry","id":"ITEM-1","issue":"45","issued":{"date-parts":[["2005","11","11"]]},"page":"37572-84","title":"TDP-43 binds heterogeneous nuclear ribonucleoprotein A/B through its C-terminal tail: an important region for the inhibition of cystic fibrosis transmembrane conductance regulator exon 9 splicing.","type":"article-journal","volume":"280"},"uris":["http://www.mendeley.com/documents/?uuid=9db66348-4e10-4403-b6b0-bcfefc7fac14"]}],"mendeley":{"formattedCitation":"&lt;sup&gt;100&lt;/sup&gt;","plainTextFormattedCitation":"100","previouslyFormattedCitation":"&lt;sup&gt;100&lt;/sup&gt;"},"properties":{"noteIndex":0},"schema":"https://github.com/citation-style-language/schema/raw/master/csl-citation.json"}</w:instrText>
      </w:r>
      <w:r w:rsidR="00BC4C19" w:rsidRPr="0082680A">
        <w:rPr>
          <w:lang w:val="en-GB"/>
        </w:rPr>
        <w:fldChar w:fldCharType="separate"/>
      </w:r>
      <w:r w:rsidR="00426B19" w:rsidRPr="00426B19">
        <w:rPr>
          <w:noProof/>
          <w:vertAlign w:val="superscript"/>
          <w:lang w:val="en-GB"/>
        </w:rPr>
        <w:t>100</w:t>
      </w:r>
      <w:r w:rsidR="00BC4C19" w:rsidRPr="0082680A">
        <w:rPr>
          <w:lang w:val="en-GB"/>
        </w:rPr>
        <w:fldChar w:fldCharType="end"/>
      </w:r>
      <w:r w:rsidRPr="0082680A">
        <w:rPr>
          <w:lang w:val="en-GB"/>
        </w:rPr>
        <w:t xml:space="preserve">. TDP-43 has the ability to use its RRM1 and C-terminal binding domains to auto-regulate its own expression via a negative feedback loop; an ability often held by proteins whose overexpression is toxic </w:t>
      </w:r>
      <w:r w:rsidR="007509F1" w:rsidRPr="0082680A">
        <w:rPr>
          <w:lang w:val="en-GB"/>
        </w:rPr>
        <w:fldChar w:fldCharType="begin" w:fldLock="1"/>
      </w:r>
      <w:r w:rsidR="000507BA">
        <w:rPr>
          <w:lang w:val="en-GB"/>
        </w:rPr>
        <w:instrText>ADDIN CSL_CITATION {"citationItems":[{"id":"ITEM-1","itemData":{"DOI":"10.1038/emboj.2010.310","ISSN":"1460-2075","PMID":"21131904","abstract":"TAR DNA-binding protein (TDP-43) is an evolutionarily conserved heterogeneous nuclear ribonucleoprotein (hnRNP) involved in RNA processing, whose abnormal cellular distribution and post-translational modification are key markers of certain neurodegenerative diseases, such as amyotrophic lateral sclerosis and frontotemporal lobar degeneration. We generated human cell lines expressing tagged forms of wild-type and mutant TDP-43 and observed that TDP-43 controls its own expression through a negative feedback loop. The RNA-binding properties of TDP-43 are essential for the autoregulatory activity through binding to 3' UTR sequences in its own mRNA. Our analysis indicated that the C-terminal region of TDP-43, which mediates TDP-43-hnRNP interactions, is also required for self-regulation. TDP-43 binding to its 3' UTR does not significantly change the pre-mRNA splicing pattern but promotes RNA instability. Moreover, blocking exosome-mediated degradation partially recovers TDP-43 levels. Our findings demonstrate that cellular TDP-43 levels are under tight control and it is likely that disease-associated TDP-43 aggregates disrupt TDP-43 self-regulation, thus contributing to pathogenesis.","author":[{"dropping-particle":"","family":"Ayala","given":"Youhna M","non-dropping-particle":"","parse-names":false,"suffix":""},{"dropping-particle":"","family":"Conti","given":"Laura","non-dropping-particle":"De","parse-names":false,"suffix":""},{"dropping-particle":"","family":"Avendaño-Vázquez","given":"S Eréndira","non-dropping-particle":"","parse-names":false,"suffix":""},{"dropping-particle":"","family":"Dhir","given":"Ashish","non-dropping-particle":"","parse-names":false,"suffix":""},{"dropping-particle":"","family":"Romano","given":"Maurizio","non-dropping-particle":"","parse-names":false,"suffix":""},{"dropping-particle":"","family":"D'Ambrogio","given":"Andrea","non-dropping-particle":"","parse-names":false,"suffix":""},{"dropping-particle":"","family":"Tollervey","given":"James","non-dropping-particle":"","parse-names":false,"suffix":""},{"dropping-particle":"","family":"Ule","given":"Jernej","non-dropping-particle":"","parse-names":false,"suffix":""},{"dropping-particle":"","family":"Baralle","given":"Marco","non-dropping-particle":"","parse-names":false,"suffix":""},{"dropping-particle":"","family":"Buratti","given":"Emanuele","non-dropping-particle":"","parse-names":false,"suffix":""},{"dropping-particle":"","family":"Baralle","given":"Francisco E","non-dropping-particle":"","parse-names":false,"suffix":""}],"container-title":"The EMBO journal","id":"ITEM-1","issue":"2","issued":{"date-parts":[["2011","1","19"]]},"page":"277-88","title":"TDP-43 regulates its mRNA levels through a negative feedback loop.","type":"article-journal","volume":"30"},"uris":["http://www.mendeley.com/documents/?uuid=208d6336-6506-4aa5-959f-8b10b56816f1"]}],"mendeley":{"formattedCitation":"&lt;sup&gt;101&lt;/sup&gt;","plainTextFormattedCitation":"101","previouslyFormattedCitation":"&lt;sup&gt;101&lt;/sup&gt;"},"properties":{"noteIndex":0},"schema":"https://github.com/citation-style-language/schema/raw/master/csl-citation.json"}</w:instrText>
      </w:r>
      <w:r w:rsidR="007509F1" w:rsidRPr="0082680A">
        <w:rPr>
          <w:lang w:val="en-GB"/>
        </w:rPr>
        <w:fldChar w:fldCharType="separate"/>
      </w:r>
      <w:r w:rsidR="00426B19" w:rsidRPr="00426B19">
        <w:rPr>
          <w:noProof/>
          <w:vertAlign w:val="superscript"/>
          <w:lang w:val="en-GB"/>
        </w:rPr>
        <w:t>101</w:t>
      </w:r>
      <w:r w:rsidR="007509F1" w:rsidRPr="0082680A">
        <w:rPr>
          <w:lang w:val="en-GB"/>
        </w:rPr>
        <w:fldChar w:fldCharType="end"/>
      </w:r>
      <w:r w:rsidRPr="0082680A">
        <w:rPr>
          <w:lang w:val="en-GB"/>
        </w:rPr>
        <w:t>.</w:t>
      </w:r>
    </w:p>
    <w:p w14:paraId="15F5465E" w14:textId="77777777" w:rsidR="007509F1" w:rsidRPr="0082680A" w:rsidRDefault="007509F1" w:rsidP="00EB41E2">
      <w:pPr>
        <w:rPr>
          <w:lang w:val="en-GB"/>
        </w:rPr>
      </w:pPr>
    </w:p>
    <w:p w14:paraId="7B17904A" w14:textId="37FD0ED6" w:rsidR="00EB41E2" w:rsidRPr="0082680A" w:rsidRDefault="00EB41E2" w:rsidP="00EB41E2">
      <w:pPr>
        <w:rPr>
          <w:lang w:val="en-GB"/>
        </w:rPr>
      </w:pPr>
      <w:r w:rsidRPr="0082680A">
        <w:rPr>
          <w:lang w:val="en-GB"/>
        </w:rPr>
        <w:t>TDP-43 has a variety of known roles within the cell</w:t>
      </w:r>
      <w:r w:rsidR="00890B6B" w:rsidRPr="0082680A">
        <w:rPr>
          <w:lang w:val="en-GB"/>
        </w:rPr>
        <w:t xml:space="preserve">. </w:t>
      </w:r>
      <w:r w:rsidRPr="0082680A">
        <w:rPr>
          <w:lang w:val="en-GB"/>
        </w:rPr>
        <w:t>Its role as a transcriptional regulator was the first to be documented. In a study investigating proteins that bind to the TAR DNA region of human immunodeficiency virus type 1 (HIV-1), expression of TDP-43 was found to cause the repression of HIV-1 transcription by interfering with assem</w:t>
      </w:r>
      <w:r w:rsidR="007509F1" w:rsidRPr="0082680A">
        <w:rPr>
          <w:lang w:val="en-GB"/>
        </w:rPr>
        <w:t xml:space="preserve">bly of transcription complexes </w:t>
      </w:r>
      <w:r w:rsidR="007509F1" w:rsidRPr="0082680A">
        <w:rPr>
          <w:lang w:val="en-GB"/>
        </w:rPr>
        <w:fldChar w:fldCharType="begin" w:fldLock="1"/>
      </w:r>
      <w:r w:rsidR="000507BA">
        <w:rPr>
          <w:lang w:val="en-GB"/>
        </w:rPr>
        <w:instrText>ADDIN CSL_CITATION {"citationItems":[{"id":"ITEM-1","itemData":{"ISSN":"0022-538X","PMID":"7745706","abstract":"Human immunodeficiency virus type 1 (HIV-1) gene expression is modulated by both viral and cellular factors. A regulatory element in the HIV-1 long terminal repeat known as TAR, which extends from nucleotides -18 to +80, is critical for the activation of gene expression by the transactivator protein, Tat. RNA transcribed from TAR forms a stable stem-loop structure which serves as the binding site for both Tat and cellular factors. Although TAR RNA is critical for Tat activation, the role that TAR DNA plays in regulating HIV-1 gene expression is not clear. Several studies have demonstrated that TAR DNA can bind cellular proteins, such as UBP-1/LBP-1, which repress HIV-1 gene expression and other factors which are involved in the generation of short, nonprocessive transcripts. In an attempt to characterize additional cellular factors that bind to TAR DNA, a lambda gt11 expression cloning strategy involving the use of a portion of TAR DNA extending from -18 to +28 to probe a HeLa cDNA library was used. We identified a cDNA, designated TAR DNA-binding protein (TDP-43), which encodes a cellular factor of 43 kDa that binds specifically to pyrimidine-rich motifs in TAR. Antibody to TDP-43 was used in gel retardation assays to demonstrate that endogenous TDP-43, present in HeLa nuclear extract, also bound to TAR DNA. Although TDP-43 bound strongly to double-stranded TAR DNA via its ribonucleoprotein protein-binding motifs, it did not bind to TAR RNA extending from +1 to +80. To determine the function of TDP-43 in regulating HIV-1 gene expression, in vitro transcription analysis was performed. TDP-43 repressed in vitro transcription from the HIV-1 long terminal repeat in both the presence and absence of Tat, but it did not repress transcription from other promoters such as the adenovirus major late promoter. In addition, transfection of a vector which expressed TDP-43 resulted in the repression of gene expression from an HIV-1 provirus. These results indicate that TDP-43 is capable of modulating both in vitro and in vivo HIV-1 gene expression by either altering or blocking the assembly of transcription complexes that are capable of responding to Tat.","author":[{"dropping-particle":"","family":"Ou","given":"S H","non-dropping-particle":"","parse-names":false,"suffix":""},{"dropping-particle":"","family":"Wu","given":"F","non-dropping-particle":"","parse-names":false,"suffix":""},{"dropping-particle":"","family":"Harrich","given":"D","non-dropping-particle":"","parse-names":false,"suffix":""},{"dropping-particle":"","family":"García-Martínez","given":"L F","non-dropping-particle":"","parse-names":false,"suffix":""},{"dropping-particle":"","family":"Gaynor","given":"R B","non-dropping-particle":"","parse-names":false,"suffix":""}],"container-title":"Journal of virology","id":"ITEM-1","issue":"6","issued":{"date-parts":[["1995","6"]]},"page":"3584-96","title":"Cloning and characterization of a novel cellular protein, TDP-43, that binds to human immunodeficiency virus type 1 TAR DNA sequence motifs.","type":"article-journal","volume":"69"},"uris":["http://www.mendeley.com/documents/?uuid=b5b04dcd-2c74-4af5-9623-456a0fa778ae"]}],"mendeley":{"formattedCitation":"&lt;sup&gt;102&lt;/sup&gt;","plainTextFormattedCitation":"102","previouslyFormattedCitation":"&lt;sup&gt;102&lt;/sup&gt;"},"properties":{"noteIndex":0},"schema":"https://github.com/citation-style-language/schema/raw/master/csl-citation.json"}</w:instrText>
      </w:r>
      <w:r w:rsidR="007509F1" w:rsidRPr="0082680A">
        <w:rPr>
          <w:lang w:val="en-GB"/>
        </w:rPr>
        <w:fldChar w:fldCharType="separate"/>
      </w:r>
      <w:r w:rsidR="00426B19" w:rsidRPr="00426B19">
        <w:rPr>
          <w:noProof/>
          <w:vertAlign w:val="superscript"/>
          <w:lang w:val="en-GB"/>
        </w:rPr>
        <w:t>102</w:t>
      </w:r>
      <w:r w:rsidR="007509F1" w:rsidRPr="0082680A">
        <w:rPr>
          <w:lang w:val="en-GB"/>
        </w:rPr>
        <w:fldChar w:fldCharType="end"/>
      </w:r>
      <w:r w:rsidR="007509F1" w:rsidRPr="0082680A">
        <w:rPr>
          <w:lang w:val="en-GB"/>
        </w:rPr>
        <w:t xml:space="preserve">. </w:t>
      </w:r>
      <w:r w:rsidRPr="0082680A">
        <w:rPr>
          <w:lang w:val="en-GB"/>
        </w:rPr>
        <w:t xml:space="preserve">TDP-43 has also been shown to repress expression of the mouse gene SP-10, by preventing enhancer-promoter interactions </w:t>
      </w:r>
      <w:r w:rsidR="007509F1" w:rsidRPr="0082680A">
        <w:rPr>
          <w:lang w:val="en-GB"/>
        </w:rPr>
        <w:fldChar w:fldCharType="begin" w:fldLock="1"/>
      </w:r>
      <w:r w:rsidR="000507BA">
        <w:rPr>
          <w:lang w:val="en-GB"/>
        </w:rPr>
        <w:instrText>ADDIN CSL_CITATION {"citationItems":[{"id":"ITEM-1","itemData":{"DOI":"10.1074/jbc.M705811200","ISSN":"0021-9258","PMID":"17932037","abstract":"Regulation of cell type-specific gene transcription is central to cellular differentiation and development. During spermatogenesis, a number of testis-specific genes are expressed in a precise spatiotemporal order. How these genes remain silent in the somatic tissues is not well understood. Our previous studies using the round spermatid-specific mouse SP-10 gene, which codes for an acrosomal protein, revealed that its proximal promoter acts as an insulator and prevents expression in the somatic tissues. Here we report that the insulator tethers the SP-10 gene to the nuclear matrix in somatic tissues, sequestering the core promoter in the process, thus preventing transcription. In round spermatids where the SP-10 gene is expressed, this tethering is released. TAR DNA-binding protein of 43 kDa (TDP-43), previously shown to interact with the SP-10 insulator, was found to be in the 2 m NaCl-insoluble nuclear matrix fraction. TDP-43 prevented enhancer-promoter interactions when artificially recruited between the two by Gal4 strategy. Knockdown of TDP-43 using small interfering RNA released the enhancer-blocking effect of the SP-10 insulator in a stable cell culture model. Mutation of TDP-43 binding sites abolished this effect. Finally, a 50-bp subfragment of the SP-10 insulator, which includes TDP-43 binding sites, functioned as a minimal insulator in transgenic mice and silenced an otherwise ectopically expressed transgene in somatic tissues. The SP-10 insulator lacks CpG dinucleotides or CTCF binding sites. Thus, the present study characterized a novel vertebrate insulator in a physiological context and showed for the first time how a testis-specific gene is silenced in the somatic tissues by an insulator.","author":[{"dropping-particle":"","family":"Abhyankar","given":"Mayuresh M","non-dropping-particle":"","parse-names":false,"suffix":""},{"dropping-particle":"","family":"Urekar","given":"Craig","non-dropping-particle":"","parse-names":false,"suffix":""},{"dropping-particle":"","family":"Reddi","given":"Prabhakara P","non-dropping-particle":"","parse-names":false,"suffix":""}],"container-title":"The Journal of biological chemistry","id":"ITEM-1","issue":"50","issued":{"date-parts":[["2007","12","14"]]},"page":"36143-54","title":"A novel CpG-free vertebrate insulator silences the testis-specific SP-10 gene in somatic tissues: role for TDP-43 in insulator function.","type":"article-journal","volume":"282"},"uris":["http://www.mendeley.com/documents/?uuid=31f154f5-43da-4e81-aa0e-9ec785fd633a"]}],"mendeley":{"formattedCitation":"&lt;sup&gt;103&lt;/sup&gt;","plainTextFormattedCitation":"103","previouslyFormattedCitation":"&lt;sup&gt;103&lt;/sup&gt;"},"properties":{"noteIndex":0},"schema":"https://github.com/citation-style-language/schema/raw/master/csl-citation.json"}</w:instrText>
      </w:r>
      <w:r w:rsidR="007509F1" w:rsidRPr="0082680A">
        <w:rPr>
          <w:lang w:val="en-GB"/>
        </w:rPr>
        <w:fldChar w:fldCharType="separate"/>
      </w:r>
      <w:r w:rsidR="00426B19" w:rsidRPr="00426B19">
        <w:rPr>
          <w:noProof/>
          <w:vertAlign w:val="superscript"/>
          <w:lang w:val="en-GB"/>
        </w:rPr>
        <w:t>103</w:t>
      </w:r>
      <w:r w:rsidR="007509F1" w:rsidRPr="0082680A">
        <w:rPr>
          <w:lang w:val="en-GB"/>
        </w:rPr>
        <w:fldChar w:fldCharType="end"/>
      </w:r>
      <w:r w:rsidRPr="0082680A">
        <w:rPr>
          <w:lang w:val="en-GB"/>
        </w:rPr>
        <w:t>. TDP-43 has been implicated in the regulation of mRNA splicing</w:t>
      </w:r>
      <w:r w:rsidR="0099318B" w:rsidRPr="0082680A">
        <w:rPr>
          <w:lang w:val="en-GB"/>
        </w:rPr>
        <w:t>;</w:t>
      </w:r>
      <w:r w:rsidRPr="0082680A">
        <w:rPr>
          <w:lang w:val="en-GB"/>
        </w:rPr>
        <w:t xml:space="preserve"> </w:t>
      </w:r>
      <w:r w:rsidR="0099318B" w:rsidRPr="0082680A">
        <w:rPr>
          <w:lang w:val="en-GB"/>
        </w:rPr>
        <w:t>w</w:t>
      </w:r>
      <w:r w:rsidRPr="0082680A">
        <w:rPr>
          <w:lang w:val="en-GB"/>
        </w:rPr>
        <w:t>hilst searching for splice modulators for exon 9 of the cystic fibrosis transmembrane conductance regulator (</w:t>
      </w:r>
      <w:r w:rsidRPr="0082680A">
        <w:rPr>
          <w:i/>
          <w:lang w:val="en-GB"/>
        </w:rPr>
        <w:t>CFTR</w:t>
      </w:r>
      <w:r w:rsidRPr="0082680A">
        <w:rPr>
          <w:lang w:val="en-GB"/>
        </w:rPr>
        <w:t xml:space="preserve">) gene, Buratti and colleagues succeeded in isolating the C-terminal domain of TDP-43 </w:t>
      </w:r>
      <w:r w:rsidR="00842E65" w:rsidRPr="0082680A">
        <w:rPr>
          <w:lang w:val="en-GB"/>
        </w:rPr>
        <w:fldChar w:fldCharType="begin" w:fldLock="1"/>
      </w:r>
      <w:r w:rsidR="000507BA">
        <w:rPr>
          <w:lang w:val="en-GB"/>
        </w:rPr>
        <w:instrText>ADDIN CSL_CITATION {"citationItems":[{"id":"ITEM-1","itemData":{"DOI":"10.1074/jbc.M505557200","ISSN":"0021-9258","PMID":"16157593","abstract":"TDP-43 is a highly conserved nuclear factor of yet unknown function that binds to ug-repeated sequences and is responsible for cystic fibrosis transmembrane conductance regulator exon 9 splicing inhibition. We have analyzed TDP-43 interactions with other splicing factors and identified the critical regions for the protein/protein recognition events that determine this biological function. We show here that the C-terminal region of TDP-43 is capable of binding directly to several proteins of the heterogeneous nuclear ribonucleoprotein (hnRNP) family with well known splicing inhibitory activity, in particular, hnRNP A2/B1 and hnRNP A1. Mutational analysis showed that TDP-43 proteins lacking the C-terminal region could not inhibit splicing probably because they were unable to form the hnRNP-rich complex involved in splicing inhibition. Finally, through splicing complex analysis, we show that splicing inhibition mediated by TDP-43 occurs at the earliest stages of spliceosomal assembly.","author":[{"dropping-particle":"","family":"Buratti","given":"Emanuele","non-dropping-particle":"","parse-names":false,"suffix":""},{"dropping-particle":"","family":"Brindisi","given":"Antonia","non-dropping-particle":"","parse-names":false,"suffix":""},{"dropping-particle":"","family":"Giombi","given":"Maurizio","non-dropping-particle":"","parse-names":false,"suffix":""},{"dropping-particle":"","family":"Tisminetzky","given":"Sergio","non-dropping-particle":"","parse-names":false,"suffix":""},{"dropping-particle":"","family":"Ayala","given":"Youhna M","non-dropping-particle":"","parse-names":false,"suffix":""},{"dropping-particle":"","family":"Baralle","given":"Francisco E","non-dropping-particle":"","parse-names":false,"suffix":""}],"container-title":"The Journal of biological chemistry","id":"ITEM-1","issue":"45","issued":{"date-parts":[["2005","11","11"]]},"page":"37572-84","title":"TDP-43 binds heterogeneous nuclear ribonucleoprotein A/B through its C-terminal tail: an important region for the inhibition of cystic fibrosis transmembrane conductance regulator exon 9 splicing.","type":"article-journal","volume":"280"},"uris":["http://www.mendeley.com/documents/?uuid=9db66348-4e10-4403-b6b0-bcfefc7fac14"]}],"mendeley":{"formattedCitation":"&lt;sup&gt;100&lt;/sup&gt;","plainTextFormattedCitation":"100","previouslyFormattedCitation":"&lt;sup&gt;100&lt;/sup&gt;"},"properties":{"noteIndex":0},"schema":"https://github.com/citation-style-language/schema/raw/master/csl-citation.json"}</w:instrText>
      </w:r>
      <w:r w:rsidR="00842E65" w:rsidRPr="0082680A">
        <w:rPr>
          <w:lang w:val="en-GB"/>
        </w:rPr>
        <w:fldChar w:fldCharType="separate"/>
      </w:r>
      <w:r w:rsidR="00426B19" w:rsidRPr="00426B19">
        <w:rPr>
          <w:noProof/>
          <w:vertAlign w:val="superscript"/>
          <w:lang w:val="en-GB"/>
        </w:rPr>
        <w:t>100</w:t>
      </w:r>
      <w:r w:rsidR="00842E65" w:rsidRPr="0082680A">
        <w:rPr>
          <w:lang w:val="en-GB"/>
        </w:rPr>
        <w:fldChar w:fldCharType="end"/>
      </w:r>
      <w:r w:rsidR="00842E65" w:rsidRPr="0082680A">
        <w:rPr>
          <w:lang w:val="en-GB"/>
        </w:rPr>
        <w:t xml:space="preserve">. </w:t>
      </w:r>
      <w:r w:rsidRPr="0082680A">
        <w:rPr>
          <w:lang w:val="en-GB"/>
        </w:rPr>
        <w:t xml:space="preserve">Through individual nucleotide-resolution ultraviolet cross-linking and immunoprecipitation (iCLIP), TDP-43 was later shown to have splicing interactions with mRNAs possessing important functions in the brain, including </w:t>
      </w:r>
      <w:r w:rsidRPr="0082680A">
        <w:rPr>
          <w:i/>
          <w:lang w:val="en-GB"/>
        </w:rPr>
        <w:t>MEF2D</w:t>
      </w:r>
      <w:r w:rsidRPr="0082680A">
        <w:rPr>
          <w:lang w:val="en-GB"/>
        </w:rPr>
        <w:t xml:space="preserve">, </w:t>
      </w:r>
      <w:r w:rsidRPr="0082680A">
        <w:rPr>
          <w:i/>
          <w:lang w:val="en-GB"/>
        </w:rPr>
        <w:t>CFTR</w:t>
      </w:r>
      <w:r w:rsidRPr="0082680A">
        <w:rPr>
          <w:lang w:val="en-GB"/>
        </w:rPr>
        <w:t xml:space="preserve">, </w:t>
      </w:r>
      <w:proofErr w:type="spellStart"/>
      <w:r w:rsidRPr="0082680A">
        <w:rPr>
          <w:i/>
          <w:lang w:val="en-GB"/>
        </w:rPr>
        <w:t>hNFL</w:t>
      </w:r>
      <w:proofErr w:type="spellEnd"/>
      <w:r w:rsidRPr="0082680A">
        <w:rPr>
          <w:lang w:val="en-GB"/>
        </w:rPr>
        <w:t xml:space="preserve"> and </w:t>
      </w:r>
      <w:r w:rsidRPr="0082680A">
        <w:rPr>
          <w:i/>
          <w:lang w:val="en-GB"/>
        </w:rPr>
        <w:t>FUS</w:t>
      </w:r>
      <w:r w:rsidRPr="0082680A">
        <w:rPr>
          <w:lang w:val="en-GB"/>
        </w:rPr>
        <w:t xml:space="preserve"> </w:t>
      </w:r>
      <w:r w:rsidR="00842E65" w:rsidRPr="0082680A">
        <w:rPr>
          <w:lang w:val="en-GB"/>
        </w:rPr>
        <w:fldChar w:fldCharType="begin" w:fldLock="1"/>
      </w:r>
      <w:r w:rsidR="000507BA">
        <w:rPr>
          <w:lang w:val="en-GB"/>
        </w:rPr>
        <w:instrText>ADDIN CSL_CITATION {"citationItems":[{"id":"ITEM-1","itemData":{"DOI":"10.1038/nn.2778","ISSN":"1546-1726","PMID":"21358640","abstract":"TDP-43 is a predominantly nuclear RNA-binding protein that forms inclusion bodies in frontotemporal lobar degeneration (FTLD) and amyotrophic lateral sclerosis (ALS). The mRNA targets of TDP-43 in the human brain and its role in RNA processing are largely unknown. Using individual nucleotide-resolution ultraviolet cross-linking and immunoprecipitation (iCLIP), we found that TDP-43 preferentially bound long clusters of UG-rich sequences in vivo. Analysis of RNA binding by TDP-43 in brains from subjects with FTLD revealed that the greatest increases in binding were to the MALAT1 and NEAT1 noncoding RNAs. We also found that binding of TDP-43 to pre-mRNAs influenced alternative splicing in a similar position-dependent manner to Nova proteins. In addition, we identified unusually long clusters of TDP-43 binding at deep intronic positions downstream of silenced exons. A substantial proportion of alternative mRNA isoforms regulated by TDP-43 encode proteins that regulate neuronal development or have been implicated in neurological diseases, highlighting the importance of TDP-43 for the regulation of splicing in the brain.","author":[{"dropping-particle":"","family":"Tollervey","given":"James R","non-dropping-particle":"","parse-names":false,"suffix":""},{"dropping-particle":"","family":"Curk","given":"Tomaž","non-dropping-particle":"","parse-names":false,"suffix":""},{"dropping-particle":"","family":"Rogelj","given":"Boris","non-dropping-particle":"","parse-names":false,"suffix":""},{"dropping-particle":"","family":"Briese","given":"Michael","non-dropping-particle":"","parse-names":false,"suffix":""},{"dropping-particle":"","family":"Cereda","given":"Matteo","non-dropping-particle":"","parse-names":false,"suffix":""},{"dropping-particle":"","family":"Kayikci","given":"Melis","non-dropping-particle":"","parse-names":false,"suffix":""},{"dropping-particle":"","family":"König","given":"Julian","non-dropping-particle":"","parse-names":false,"suffix":""},{"dropping-particle":"","family":"Hortobágyi","given":"Tibor","non-dropping-particle":"","parse-names":false,"suffix":""},{"dropping-particle":"","family":"Nishimura","given":"Agnes L","non-dropping-particle":"","parse-names":false,"suffix":""},{"dropping-particle":"","family":"Zupunski","given":"Vera","non-dropping-particle":"","parse-names":false,"suffix":""},{"dropping-particle":"","family":"Patani","given":"Rickie","non-dropping-particle":"","parse-names":false,"suffix":""},{"dropping-particle":"","family":"Chandran","given":"Siddharthan","non-dropping-particle":"","parse-names":false,"suffix":""},{"dropping-particle":"","family":"Rot","given":"Gregor","non-dropping-particle":"","parse-names":false,"suffix":""},{"dropping-particle":"","family":"Zupan","given":"Blaž","non-dropping-particle":"","parse-names":false,"suffix":""},{"dropping-particle":"","family":"Shaw","given":"Christopher E","non-dropping-particle":"","parse-names":false,"suffix":""},{"dropping-particle":"","family":"Ule","given":"Jernej","non-dropping-particle":"","parse-names":false,"suffix":""}],"container-title":"Nature neuroscience","id":"ITEM-1","issue":"4","issued":{"date-parts":[["2011","4","27"]]},"language":"en","note":"Percentage of patients with TDP-43 pathology\nEffect of TDP-43 cleavage","page":"452-8","publisher":"Nature Publishing Group","title":"Characterizing the RNA targets and position-dependent splicing regulation by TDP-43.","type":"article-journal","volume":"14"},"uris":["http://www.mendeley.com/documents/?uuid=78974b22-02e7-4d11-bf7b-567efde309b9"]}],"mendeley":{"formattedCitation":"&lt;sup&gt;104&lt;/sup&gt;","plainTextFormattedCitation":"104","previouslyFormattedCitation":"&lt;sup&gt;104&lt;/sup&gt;"},"properties":{"noteIndex":0},"schema":"https://github.com/citation-style-language/schema/raw/master/csl-citation.json"}</w:instrText>
      </w:r>
      <w:r w:rsidR="00842E65" w:rsidRPr="0082680A">
        <w:rPr>
          <w:lang w:val="en-GB"/>
        </w:rPr>
        <w:fldChar w:fldCharType="separate"/>
      </w:r>
      <w:r w:rsidR="00426B19" w:rsidRPr="00426B19">
        <w:rPr>
          <w:noProof/>
          <w:vertAlign w:val="superscript"/>
          <w:lang w:val="en-GB"/>
        </w:rPr>
        <w:t>104</w:t>
      </w:r>
      <w:r w:rsidR="00842E65" w:rsidRPr="0082680A">
        <w:rPr>
          <w:lang w:val="en-GB"/>
        </w:rPr>
        <w:fldChar w:fldCharType="end"/>
      </w:r>
      <w:r w:rsidRPr="0082680A">
        <w:rPr>
          <w:lang w:val="en-GB"/>
        </w:rPr>
        <w:t xml:space="preserve">. In addition, mRNAs associated with TDP-43’s own regulation were shown to contain splice sites, giving further explanation for TDP-43’s ability to self-regulate. </w:t>
      </w:r>
    </w:p>
    <w:p w14:paraId="01FE1AC0" w14:textId="77777777" w:rsidR="00842E65" w:rsidRPr="0082680A" w:rsidRDefault="00842E65" w:rsidP="00EB41E2">
      <w:pPr>
        <w:rPr>
          <w:lang w:val="en-GB"/>
        </w:rPr>
      </w:pPr>
    </w:p>
    <w:p w14:paraId="52075C72" w14:textId="27544B96" w:rsidR="00EB41E2" w:rsidRPr="0082680A" w:rsidRDefault="00EB41E2" w:rsidP="00EB41E2">
      <w:pPr>
        <w:rPr>
          <w:lang w:val="en-GB"/>
        </w:rPr>
      </w:pPr>
      <w:r w:rsidRPr="0082680A">
        <w:rPr>
          <w:lang w:val="en-GB"/>
        </w:rPr>
        <w:t>Due to its importance in various pre-translational processes, it is unsurprising that TDP-43 is predominantly localised to the nucleus (with exception of the nucleolus). Low levels of TDP-43 can be detected in the cytoplasm, partially explained by TDP-43’s relationship with the mRNA for human low molecular weight neurofilament (</w:t>
      </w:r>
      <w:proofErr w:type="spellStart"/>
      <w:r w:rsidRPr="0082680A">
        <w:rPr>
          <w:i/>
          <w:lang w:val="en-GB"/>
        </w:rPr>
        <w:t>hNFL</w:t>
      </w:r>
      <w:proofErr w:type="spellEnd"/>
      <w:r w:rsidRPr="0082680A">
        <w:rPr>
          <w:lang w:val="en-GB"/>
        </w:rPr>
        <w:t xml:space="preserve">). Neurofilament proteins help form the internal cytoskeleton of neurons. TDP-43 has been proposed to stabilise </w:t>
      </w:r>
      <w:proofErr w:type="spellStart"/>
      <w:r w:rsidRPr="0082680A">
        <w:rPr>
          <w:i/>
          <w:lang w:val="en-GB"/>
        </w:rPr>
        <w:t>hNFL</w:t>
      </w:r>
      <w:proofErr w:type="spellEnd"/>
      <w:r w:rsidRPr="0082680A">
        <w:rPr>
          <w:lang w:val="en-GB"/>
        </w:rPr>
        <w:t xml:space="preserve"> mRNA whilst it is shuttled along the axon </w:t>
      </w:r>
      <w:r w:rsidR="00020A6C" w:rsidRPr="0082680A">
        <w:rPr>
          <w:lang w:val="en-GB"/>
        </w:rPr>
        <w:fldChar w:fldCharType="begin" w:fldLock="1"/>
      </w:r>
      <w:r w:rsidR="000507BA">
        <w:rPr>
          <w:lang w:val="en-GB"/>
        </w:rPr>
        <w:instrText>ADDIN CSL_CITATION {"citationItems":[{"id":"ITEM-1","itemData":{"DOI":"10.1016/j.mcn.2007.03.007","ISSN":"1044-7431","PMID":"17481916","abstract":"The human TAR DNA-binding protein (TDP43) colocalizes with ubiquitinated inclusions in motor neurons in amyotrophic lateral sclerosis (ALS). TDP43 is both a DNA-binding protein with a nuclear export sequence that interacts with (TG)nTm elements in DNA and an RNA-binding protein that interacts with (UG)(6-12) motifs in single-stranded RNA. In control motor neurons, TDP43 was almost exclusively nuclear, whereas in ALS spinal motor neurons, TDP43 was predominantly localized to the cytosol and not the nucleus. TDP43 was observed as punctuate immunoreactivity and as dense skeins, with and without ubiquitinization. We observed that TDP43 stabilizes the human low molecular weight (hNFL) mRNA through a direct interaction with the 3'UTR. TDP43 is a unique hNFL mRNA-binding protein that is altered in its somatotopic localization in ALS spinal motor neurons and potentially contributes to the formation of NF aggregates in ALS through alterations in NF stoichiometry.","author":[{"dropping-particle":"","family":"Strong","given":"Michael J.","non-dropping-particle":"","parse-names":false,"suffix":""},{"dropping-particle":"","family":"Volkening","given":"Kathryn","non-dropping-particle":"","parse-names":false,"suffix":""},{"dropping-particle":"","family":"Hammond","given":"Robert","non-dropping-particle":"","parse-names":false,"suffix":""},{"dropping-particle":"","family":"Yang","given":"Wencheng","non-dropping-particle":"","parse-names":false,"suffix":""},{"dropping-particle":"","family":"Strong","given":"Wendy","non-dropping-particle":"","parse-names":false,"suffix":""},{"dropping-particle":"","family":"Leystra-Lantz","given":"Cheryl","non-dropping-particle":"","parse-names":false,"suffix":""},{"dropping-particle":"","family":"Shoesmith","given":"Christen","non-dropping-particle":"","parse-names":false,"suffix":""}],"container-title":"Molecular and cellular neurosciences","id":"ITEM-1","issue":"2","issued":{"date-parts":[["2007","6"]]},"page":"320-7","title":"TDP43 is a human low molecular weight neurofilament (hNFL) mRNA-binding protein.","type":"article-journal","volume":"35"},"uris":["http://www.mendeley.com/documents/?uuid=70b8826d-9c33-403b-b50f-046e91d3ad97"]},{"id":"ITEM-2","itemData":{"DOI":"10.1242/jcs.038950","ISSN":"0021-9533","PMID":"18957508","abstract":"TDP-43 (also known as TARDBP) regulates different processes of gene expression, including transcription and splicing, through RNA and DNA binding. Moreover, recent reports have shown that the protein interacts with the 3'UTRs of specific mRNAs. The aberrant cellular distribution and aggregation of TDP-43 were recently reported in neurodegenerative diseases, namely frontotemporal lobar degeneration (FTLD) and amyotrophic lateral sclerosis (ALS). A detailed description of the determinants for cellular localization has yet to emerge, including information on how the known functions of TDP-43 and cellular targeting affect each other. We provide the first experimental evidence that TDP-43 continuously shuttles between nucleus and cytoplasm in a transcription-dependent manner. Furthermore, we investigate the role of the functional TDP-43 domains in determining cellular targeting through a combination of immunofluorescence and biochemical fractionation methods. Our analyses indicate that the C-terminus is essential for solubility and cellular localization, because its deletion results in the formation of large nuclear and cytoplasmic aggregates. Disruption of the RNA-recognition domain required for RNA and DNA binding, however, alters nuclear distribution by decreasing TDP-43 presence in the nucleoplasm. Our findings suggest that TDP-43 solubility and localization are particularly sensitive to disruptions that extend beyond the newly found nuclear localization signal and depend on a combination of factors that are closely connected to the functional properties of this protein.","author":[{"dropping-particle":"","family":"Ayala","given":"Youhna M","non-dropping-particle":"","parse-names":false,"suffix":""},{"dropping-particle":"","family":"Zago","given":"Paola","non-dropping-particle":"","parse-names":false,"suffix":""},{"dropping-particle":"","family":"D'Ambrogio","given":"Andrea","non-dropping-particle":"","parse-names":false,"suffix":""},{"dropping-particle":"","family":"Xu","given":"Ya-Fei","non-dropping-particle":"","parse-names":false,"suffix":""},{"dropping-particle":"","family":"Petrucelli","given":"Leonard","non-dropping-particle":"","parse-names":false,"suffix":""},{"dropping-particle":"","family":"Buratti","given":"Emanuele","non-dropping-particle":"","parse-names":false,"suffix":""},{"dropping-particle":"","family":"Baralle","given":"Francisco E","non-dropping-particle":"","parse-names":false,"suffix":""}],"container-title":"Journal of cell science","id":"ITEM-2","issue":"Pt 22","issued":{"date-parts":[["2008","11","15"]]},"page":"3778-85","title":"Structural determinants of the cellular localization and shuttling of TDP-43.","type":"article-journal","volume":"121"},"uris":["http://www.mendeley.com/documents/?uuid=990855f1-a7f9-4a8f-a6d4-dec44effece4"]}],"mendeley":{"formattedCitation":"&lt;sup&gt;96,105&lt;/sup&gt;","plainTextFormattedCitation":"96,105","previouslyFormattedCitation":"&lt;sup&gt;96,105&lt;/sup&gt;"},"properties":{"noteIndex":0},"schema":"https://github.com/citation-style-language/schema/raw/master/csl-citation.json"}</w:instrText>
      </w:r>
      <w:r w:rsidR="00020A6C" w:rsidRPr="0082680A">
        <w:rPr>
          <w:lang w:val="en-GB"/>
        </w:rPr>
        <w:fldChar w:fldCharType="separate"/>
      </w:r>
      <w:r w:rsidR="00426B19" w:rsidRPr="00426B19">
        <w:rPr>
          <w:noProof/>
          <w:vertAlign w:val="superscript"/>
          <w:lang w:val="en-GB"/>
        </w:rPr>
        <w:t>96,105</w:t>
      </w:r>
      <w:r w:rsidR="00020A6C" w:rsidRPr="0082680A">
        <w:rPr>
          <w:lang w:val="en-GB"/>
        </w:rPr>
        <w:fldChar w:fldCharType="end"/>
      </w:r>
      <w:r w:rsidRPr="0082680A">
        <w:rPr>
          <w:lang w:val="en-GB"/>
        </w:rPr>
        <w:t xml:space="preserve">. As well as mRNAs, hnRNPs such as TDP-43 eventually became implicated in the processing of microRNAs (miRNAs). Initial investigation of TDP-43 uncovered interactions with the miRNAs let-7b, miR-663, miR-574-5p and miR-558, however further investigation revealed a more significant role within Drosha and Dicer complexes for miRNA biogenesis. The role of the Drosha complex is to crop miRNA precursors, called pri-miRNAs, into an intermediary molecule called a pre-miRNA. The proposed role of TDP-43 is recruitment of </w:t>
      </w:r>
      <w:proofErr w:type="spellStart"/>
      <w:r w:rsidRPr="0082680A">
        <w:rPr>
          <w:lang w:val="en-GB"/>
        </w:rPr>
        <w:t>pri</w:t>
      </w:r>
      <w:proofErr w:type="spellEnd"/>
      <w:r w:rsidRPr="0082680A">
        <w:rPr>
          <w:lang w:val="en-GB"/>
        </w:rPr>
        <w:t xml:space="preserve">-mRNAs into the Drosha complex. Once formed, the </w:t>
      </w:r>
      <w:r w:rsidR="008F142B" w:rsidRPr="0082680A">
        <w:rPr>
          <w:lang w:val="en-GB"/>
        </w:rPr>
        <w:t xml:space="preserve">resultant </w:t>
      </w:r>
      <w:r w:rsidRPr="0082680A">
        <w:rPr>
          <w:lang w:val="en-GB"/>
        </w:rPr>
        <w:t>pre-miRNAs are then exported out of the nucleus into the cytoplasm where the Dicer complex initiates their conversion into mature miRNAs. TDP-43 has also been shown to bind to pre-miRNAs during this maturation, suggesting a role within the Dicer complex process</w:t>
      </w:r>
      <w:r w:rsidR="008F142B" w:rsidRPr="0082680A">
        <w:rPr>
          <w:lang w:val="en-GB"/>
        </w:rPr>
        <w:t xml:space="preserve"> also</w:t>
      </w:r>
      <w:r w:rsidRPr="0082680A">
        <w:rPr>
          <w:lang w:val="en-GB"/>
        </w:rPr>
        <w:t xml:space="preserve"> </w:t>
      </w:r>
      <w:r w:rsidR="008F142B" w:rsidRPr="0082680A">
        <w:rPr>
          <w:lang w:val="en-GB"/>
        </w:rPr>
        <w:fldChar w:fldCharType="begin" w:fldLock="1"/>
      </w:r>
      <w:r w:rsidR="000507BA">
        <w:rPr>
          <w:lang w:val="en-GB"/>
        </w:rPr>
        <w:instrText>ADDIN CSL_CITATION {"citationItems":[{"id":"ITEM-1","itemData":{"DOI":"10.1111/j.1742-4658.2010.07643.x","ISSN":"1742-4658","PMID":"20423455","abstract":"TDP-43 has recently been described as the major component of the inclusions found in the brain of patients with a variety of neurodegenerative diseases, such as frontotemporal lobar degeneration and amyotrophic lateral sclerosis. TDP-43 is a ubiquitous protein whose specific functions are probably crucial to establishing its pathogenic role. Apart from its involvement in transcription, splicing and mRNA stability, TDP-43 has also been described as a Drosha-associated protein. However, our knowledge of the role of TDP-43 in the microRNA (miRNA) synthesis pathway is limited to the association mentioned above. Here we report for the first time which changes occur in the total miRNA population following TDP-43 knockdown in culture cells. In particular, we have observed that let-7b and miR-663 expression levels are down- and upregulated, respectively. Interestingly, both miRNAs are capable of binding directly to TDP-43 in different positions: within the miRNA sequence itself (let-7b) or in the hairpin precursor (miR-663). Using microarray data and real-time PCR we have also identified several candidate transcripts whose expression levels are selectively affected by these TDP-43-miRNA interactions.","author":[{"dropping-particle":"","family":"Buratti","given":"Emanuele","non-dropping-particle":"","parse-names":false,"suffix":""},{"dropping-particle":"","family":"Conti","given":"Laura","non-dropping-particle":"De","parse-names":false,"suffix":""},{"dropping-particle":"","family":"Stuani","given":"Cristiana","non-dropping-particle":"","parse-names":false,"suffix":""},{"dropping-particle":"","family":"Romano","given":"Maurizio","non-dropping-particle":"","parse-names":false,"suffix":""},{"dropping-particle":"","family":"Baralle","given":"Marco","non-dropping-particle":"","parse-names":false,"suffix":""},{"dropping-particle":"","family":"Baralle","given":"Francisco","non-dropping-particle":"","parse-names":false,"suffix":""}],"container-title":"The FEBS journal","id":"ITEM-1","issue":"10","issued":{"date-parts":[["2010","5"]]},"page":"2268-81","title":"Nuclear factor TDP-43 can affect selected microRNA levels.","type":"article-journal","volume":"277"},"uris":["http://www.mendeley.com/documents/?uuid=21cee29d-7e87-445f-841f-f2c7f9eb74d3"]},{"id":"ITEM-2","itemData":{"DOI":"10.1073/pnas.1112427109","ISSN":"1091-6490","PMID":"22323604","abstract":"Although aberrant microRNA (miRNA) expression is linked to human diseases including cancer, the mechanisms that regulate the expression of each individual miRNA remain largely unknown. TAR DNA-binding protein-43 (TDP-43) is homologous to the heterogeneous nuclear ribonucleoproteins (hnRNPs), which are involved in RNA processing, and its abnormal cellular distribution is a key feature of amyotrophic lateral sclerosis (ALS) and frontotemporal lobar degeneration (FTLD), two neurodegenerative diseases. Here, we show that TDP-43 facilitates the production of a subset of precursor miRNAs (pre-miRNAs) by both interacting with the nuclear Drosha complex and binding directly to the relevant primary miRNAs (pri-miRNAs). Furthermore, cytoplasmic TDP-43, which interacts with the Dicer complex, promotes the processing of some of these pre-miRNAs via binding to their terminal loops. Finally, we show that involvement of TDP-43 in miRNA biogenesis is indispensable for neuronal outgrowth. These results support a previously uncharacterized role for TDP-43 in posttranscriptional regulation of miRNA expression in both the nucleus and the cytoplasm.","author":[{"dropping-particle":"","family":"Kawahara","given":"Yukio","non-dropping-particle":"","parse-names":false,"suffix":""},{"dropping-particle":"","family":"Mieda-Sato","given":"Ai","non-dropping-particle":"","parse-names":false,"suffix":""}],"container-title":"Proceedings of the National Academy of Sciences of the United States of America","id":"ITEM-2","issue":"9","issued":{"date-parts":[["2012","2","28"]]},"page":"3347-52","title":"TDP-43 promotes microRNA biogenesis as a component of the Drosha and Dicer complexes.","type":"article-journal","volume":"109"},"uris":["http://www.mendeley.com/documents/?uuid=368f5bd1-ea2a-49bb-b5a3-e905d21aa19c"]}],"mendeley":{"formattedCitation":"&lt;sup&gt;106,107&lt;/sup&gt;","plainTextFormattedCitation":"106,107","previouslyFormattedCitation":"&lt;sup&gt;106,107&lt;/sup&gt;"},"properties":{"noteIndex":0},"schema":"https://github.com/citation-style-language/schema/raw/master/csl-citation.json"}</w:instrText>
      </w:r>
      <w:r w:rsidR="008F142B" w:rsidRPr="0082680A">
        <w:rPr>
          <w:lang w:val="en-GB"/>
        </w:rPr>
        <w:fldChar w:fldCharType="separate"/>
      </w:r>
      <w:r w:rsidR="00426B19" w:rsidRPr="00426B19">
        <w:rPr>
          <w:noProof/>
          <w:vertAlign w:val="superscript"/>
          <w:lang w:val="en-GB"/>
        </w:rPr>
        <w:t>106,107</w:t>
      </w:r>
      <w:r w:rsidR="008F142B" w:rsidRPr="0082680A">
        <w:rPr>
          <w:lang w:val="en-GB"/>
        </w:rPr>
        <w:fldChar w:fldCharType="end"/>
      </w:r>
      <w:r w:rsidRPr="0082680A">
        <w:rPr>
          <w:lang w:val="en-GB"/>
        </w:rPr>
        <w:t>. As Dicer processing of pre-miRNAs occurs in the cytoplasm, this further explains TDP-43’s presence outside of the nucleus.</w:t>
      </w:r>
    </w:p>
    <w:p w14:paraId="7F725B1A" w14:textId="44B9283C" w:rsidR="00EE06E2" w:rsidRPr="0082680A" w:rsidRDefault="00EB41E2" w:rsidP="00EB41E2">
      <w:pPr>
        <w:rPr>
          <w:lang w:val="en-GB"/>
        </w:rPr>
      </w:pPr>
      <w:r w:rsidRPr="0082680A">
        <w:rPr>
          <w:lang w:val="en-GB"/>
        </w:rPr>
        <w:lastRenderedPageBreak/>
        <w:t xml:space="preserve">The downstream effects of TDP-43 activity have been illustrated in several cellular processes. TDP-43 has been shown to regulate protein quality control during cellular stress by disinhibition of the transcription factor FOXO, allowing clearance of misfolded proteins </w:t>
      </w:r>
      <w:r w:rsidR="008F142B" w:rsidRPr="0082680A">
        <w:rPr>
          <w:lang w:val="en-GB"/>
        </w:rPr>
        <w:fldChar w:fldCharType="begin" w:fldLock="1"/>
      </w:r>
      <w:r w:rsidR="000507BA">
        <w:rPr>
          <w:lang w:val="en-GB"/>
        </w:rPr>
        <w:instrText>ADDIN CSL_CITATION {"citationItems":[{"id":"ITEM-1","itemData":{"DOI":"10.1371/journal.pgen.1004693","ISBN":"10.1371/journal.pgen.1004693","ISSN":"1553-7404","PMID":"25329970","abstract":"Protein homeostasis is critical for cell survival and functions during stress and is regulated at both RNA and protein levels. However, how the cell integrates RNA-processing programs with post-translational protein quality control systems is unknown. Transactive response DNA-binding protein (TARDBP/TDP-43) is an RNA-processing protein that is involved in the pathogenesis of major neurodegenerative diseases, including amyotrophic lateral sclerosis (ALS) and frontotemporal dementia (FTD). Here, we report a conserved role for TDP-43, from C. elegans to mammals, in the regulation of protein clearance via activation of FOXO transcription factors. In response to proteotoxic insults, TDP-43 redistributes from the nucleus to the cytoplasm, promoting nuclear translocation of FOXOs and relieving an inhibition of FOXO activity in the nucleus. The interaction between TDP-43 and the FOXO pathway in mammalian cells is mediated by their competitive binding to 14-3-3 proteins. Consistent with FOXO-dependent protein quality control, TDP-43 regulates the levels of misfolded proteins. Therefore, TDP-43 mediates stress responses and couples the regulation of RNA metabolism and protein quality control in a FOXO-dependent manner. The results suggest that compromising the function of TDP-43 in regulating protein homeostasis may contribute to the pathogenesis of related neurodegenerative diseases.","author":[{"dropping-particle":"","family":"Zhang","given":"Tao","non-dropping-particle":"","parse-names":false,"suffix":""},{"dropping-particle":"","family":"Baldie","given":"Gerard","non-dropping-particle":"","parse-names":false,"suffix":""},{"dropping-particle":"","family":"Periz","given":"Goran","non-dropping-particle":"","parse-names":false,"suffix":""},{"dropping-particle":"","family":"Wang","given":"Jiou","non-dropping-particle":"","parse-names":false,"suffix":""}],"container-title":"PLoS genetics","id":"ITEM-1","issue":"10","issued":{"date-parts":[["2014","10","16"]]},"page":"e1004693","publisher":"Public Library of Science","title":"RNA-processing protein TDP-43 regulates FOXO-dependent protein quality control in stress response.","type":"article-journal","volume":"10"},"uris":["http://www.mendeley.com/documents/?uuid=9961dbd8-9d6b-4d7a-8c3c-254e0e6526c0"]}],"mendeley":{"formattedCitation":"&lt;sup&gt;108&lt;/sup&gt;","plainTextFormattedCitation":"108","previouslyFormattedCitation":"&lt;sup&gt;108&lt;/sup&gt;"},"properties":{"noteIndex":0},"schema":"https://github.com/citation-style-language/schema/raw/master/csl-citation.json"}</w:instrText>
      </w:r>
      <w:r w:rsidR="008F142B" w:rsidRPr="0082680A">
        <w:rPr>
          <w:lang w:val="en-GB"/>
        </w:rPr>
        <w:fldChar w:fldCharType="separate"/>
      </w:r>
      <w:r w:rsidR="00426B19" w:rsidRPr="00426B19">
        <w:rPr>
          <w:noProof/>
          <w:vertAlign w:val="superscript"/>
          <w:lang w:val="en-GB"/>
        </w:rPr>
        <w:t>108</w:t>
      </w:r>
      <w:r w:rsidR="008F142B" w:rsidRPr="0082680A">
        <w:rPr>
          <w:lang w:val="en-GB"/>
        </w:rPr>
        <w:fldChar w:fldCharType="end"/>
      </w:r>
      <w:r w:rsidRPr="0082680A">
        <w:rPr>
          <w:lang w:val="en-GB"/>
        </w:rPr>
        <w:t xml:space="preserve">. As is suggested by its high concentration in brain tissue, TDP-43 also has neuron-specific roles, including regulation of axon growth and neuronal plasticity </w:t>
      </w:r>
      <w:r w:rsidR="008F142B" w:rsidRPr="0082680A">
        <w:rPr>
          <w:lang w:val="en-GB"/>
        </w:rPr>
        <w:fldChar w:fldCharType="begin" w:fldLock="1"/>
      </w:r>
      <w:r w:rsidR="000507BA">
        <w:rPr>
          <w:lang w:val="en-GB"/>
        </w:rPr>
        <w:instrText>ADDIN CSL_CITATION {"citationItems":[{"id":"ITEM-1","itemData":{"DOI":"10.1016/j.nbd.2014.01.004","ISSN":"1095-953X","PMID":"24423647","abstract":"Intracellular inclusions of the TAR-DNA binding protein 43 (TDP-43) have been reported in amyotrophic lateral sclerosis (ALS) and frontotemporal dementia (FTD-TDP). Rare mutations in TARDBP have been linked to both ALS and FTD-TDP suggesting that TDP-43 dysfunction is mechanistic in causing disease. TDP-43 is a predominantly nuclear protein with roles in regulating RNA transcription, splicing, stability and transport. In ALS, TDP-43 aberrantly accumulates in the cytoplasm of motor neurons where it forms aggregates. However it has until recently been unclear whether the toxic effects of TDP-43 involve recruitment to motor axons, and what effects this might have on axonal growth and integrity. Here we use chick embryonic motor neurons, in vivo and in vitro, to model the acute effects of TDP-43. We show that wild-type and two TDP-43 mutant proteins cause toxicity in chick embryonic motor neurons in vivo. Moreover, TDP-43 is increasingly mislocalised to axons over time in vivo, axon growth to peripheral targets is truncated, and expression of neurofilament-associated antigen is reduced relative to control motor neurons. In primary spinal motor neurons in vitro, a progressive translocation of TDP-43 to the cytoplasm occurs over time, similar to that observed in vivo. This coincides with the appearance of cytoplasmic aggregates, a reduction in the axonal length, and cellular toxicity, which was most striking for neurons expressing TDP-43 mutant forms. These observations suggest that the capacity of spinal motor neurons to produce and maintain an axon is compromised by dysregulation of TDP-43 and that the disruption of cytoskeletal integrity may play a role in the pathogenesis of ALS and FTD-TDP.","author":[{"dropping-particle":"","family":"Tripathi","given":"Vineeta Bhasker","non-dropping-particle":"","parse-names":false,"suffix":""},{"dropping-particle":"","family":"Baskaran","given":"Pranetha","non-dropping-particle":"","parse-names":false,"suffix":""},{"dropping-particle":"","family":"Shaw","given":"Christopher E","non-dropping-particle":"","parse-names":false,"suffix":""},{"dropping-particle":"","family":"Guthrie","given":"Sarah","non-dropping-particle":"","parse-names":false,"suffix":""}],"container-title":"Neurobiology of disease","id":"ITEM-1","issued":{"date-parts":[["2014","5"]]},"page":"25-34","title":"Tar DNA-binding protein-43 (TDP-43) regulates axon growth in vitro and in vivo.","type":"article-journal","volume":"65"},"uris":["http://www.mendeley.com/documents/?uuid=cb246028-49d7-457f-9a88-079b4cc16a4f"]},{"id":"ITEM-2","itemData":{"DOI":"10.1111/j.1471-4159.2007.05190.x","ISSN":"1471-4159","PMID":"18088371","abstract":"TDP-43, recently identified as a signature protein of the pathogenic inclusions in the brains cells of frontotemporal lobar degeneration patients, is a 43 kDa RNA-binding protein. It has been known mainly as a nuclear factor capable of repressing transcription and promoting exon exclusion. TDP-43 also forms distinct nuclear substructures linking different types of nuclear bodies. In this study, we provide the first evidence supporting TDP-43 as a neuronal activity-responsive factor in the dendrites of hippocampal neurons. In particular, TDP-43 resides in the somatodendrites mainly in the form of RNA granules colocalized with the post-synaptic protein PSD-95. These granules also contain RNAs including at least the beta-actin mRNA and CaMKIIalpha mRNA. Furthermore, TDP-43 is localized in the dendritic processing (P) body and it behaves as a translational repressor in an in vitro assay. Related to this, repetitive stimuli by KCl greatly enhance the colocalization of TDP-43 granules with FMRP and Staufen 1, two RNA-binding proteins known to regulate mRNA transport and local translation in neurons. These data together suggest that TDP-43 is a neuronal activity-responsive factor functioning in the regulation of neuronal plasticity, the impairment of which would lead to the development of certain forms of neurodegenerative diseases including frontotemporal lobar degeneration.","author":[{"dropping-particle":"","family":"Wang","given":"I-Fan","non-dropping-particle":"","parse-names":false,"suffix":""},{"dropping-particle":"","family":"Wu","given":"Lien-Szn","non-dropping-particle":"","parse-names":false,"suffix":""},{"dropping-particle":"","family":"Chang","given":"Hsiang-Yu","non-dropping-particle":"","parse-names":false,"suffix":""},{"dropping-particle":"","family":"Shen","given":"C-K James","non-dropping-particle":"","parse-names":false,"suffix":""}],"container-title":"Journal of neurochemistry","id":"ITEM-2","issue":"3","issued":{"date-parts":[["2008","5"]]},"page":"797-806","title":"TDP-43, the signature protein of FTLD-U, is a neuronal activity-responsive factor.","type":"article-journal","volume":"105"},"uris":["http://www.mendeley.com/documents/?uuid=16947e86-da23-4733-a74e-9040448b4b8d"]}],"mendeley":{"formattedCitation":"&lt;sup&gt;109,110&lt;/sup&gt;","plainTextFormattedCitation":"109,110","previouslyFormattedCitation":"&lt;sup&gt;109,110&lt;/sup&gt;"},"properties":{"noteIndex":0},"schema":"https://github.com/citation-style-language/schema/raw/master/csl-citation.json"}</w:instrText>
      </w:r>
      <w:r w:rsidR="008F142B" w:rsidRPr="0082680A">
        <w:rPr>
          <w:lang w:val="en-GB"/>
        </w:rPr>
        <w:fldChar w:fldCharType="separate"/>
      </w:r>
      <w:r w:rsidR="00426B19" w:rsidRPr="00426B19">
        <w:rPr>
          <w:noProof/>
          <w:vertAlign w:val="superscript"/>
          <w:lang w:val="en-GB"/>
        </w:rPr>
        <w:t>109,110</w:t>
      </w:r>
      <w:r w:rsidR="008F142B" w:rsidRPr="0082680A">
        <w:rPr>
          <w:lang w:val="en-GB"/>
        </w:rPr>
        <w:fldChar w:fldCharType="end"/>
      </w:r>
      <w:r w:rsidRPr="0082680A">
        <w:rPr>
          <w:lang w:val="en-GB"/>
        </w:rPr>
        <w:t xml:space="preserve">. </w:t>
      </w:r>
    </w:p>
    <w:p w14:paraId="190A6962" w14:textId="77777777" w:rsidR="00C92239" w:rsidRPr="0082680A" w:rsidRDefault="00C92239" w:rsidP="00EB41E2">
      <w:pPr>
        <w:rPr>
          <w:lang w:val="en-GB"/>
        </w:rPr>
      </w:pPr>
    </w:p>
    <w:p w14:paraId="51EF5C20" w14:textId="6AF7DB96" w:rsidR="00EB41E2" w:rsidRPr="00691215" w:rsidRDefault="00691215" w:rsidP="00691215">
      <w:pPr>
        <w:pStyle w:val="Heading3"/>
      </w:pPr>
      <w:bookmarkStart w:id="45" w:name="_z28vv9zli4t" w:colFirst="0" w:colLast="0"/>
      <w:bookmarkEnd w:id="45"/>
      <w:r w:rsidRPr="00691215">
        <w:t xml:space="preserve"> </w:t>
      </w:r>
      <w:bookmarkStart w:id="46" w:name="_Toc3211328"/>
      <w:r w:rsidR="00EB41E2" w:rsidRPr="00691215">
        <w:t>TDP-43 and Neurodegeneration</w:t>
      </w:r>
      <w:bookmarkEnd w:id="46"/>
    </w:p>
    <w:p w14:paraId="66AE2B76" w14:textId="4EDBF1C3" w:rsidR="00EB41E2" w:rsidRDefault="00EB41E2" w:rsidP="00EB41E2">
      <w:pPr>
        <w:rPr>
          <w:lang w:val="en-GB"/>
        </w:rPr>
      </w:pPr>
      <w:r w:rsidRPr="0082680A">
        <w:rPr>
          <w:lang w:val="en-GB"/>
        </w:rPr>
        <w:t xml:space="preserve">During the investigation of the contents of inclusions in post-mortem brain cells of frontotemporal lobar degeneration (FTLD) patients, two unknown proteins of 24kDa and 26kDa were identified </w:t>
      </w:r>
      <w:r w:rsidR="007771B9" w:rsidRPr="0082680A">
        <w:rPr>
          <w:lang w:val="en-GB"/>
        </w:rPr>
        <w:fldChar w:fldCharType="begin" w:fldLock="1"/>
      </w:r>
      <w:r w:rsidR="000507BA">
        <w:rPr>
          <w:lang w:val="en-GB"/>
        </w:rPr>
        <w:instrText>ADDIN CSL_CITATION {"citationItems":[{"id":"ITEM-1","itemData":{"DOI":"10.1126/science.1134108","ISSN":"1095-9203","PMID":"17023659","abstract":"Ubiquitin-positive, tau- and alpha-synuclein-negative inclusions are hallmarks of frontotemporal lobar degeneration with ubiquitin-positive inclusions and amyotrophic lateral sclerosis. Although the identity of the ubiquitinated protein specific to either disorder was unknown, we showed that TDP-43 is the major disease protein in both disorders. Pathologic TDP-43 was hyper-phosphorylated, ubiquitinated, and cleaved to generate C-terminal fragments and was recovered only from affected central nervous system regions, including hippocampus, neocortex, and spinal cord. TDP-43 represents the common pathologic substrate linking these neurodegenerative disorders.","author":[{"dropping-particle":"","family":"Neumann","given":"Manuela","non-dropping-particle":"","parse-names":false,"suffix":""},{"dropping-particle":"","family":"Sampathu","given":"Deepak M","non-dropping-particle":"","parse-names":false,"suffix":""},{"dropping-particle":"","family":"Kwong","given":"Linda K","non-dropping-particle":"","parse-names":false,"suffix":""},{"dropping-particle":"","family":"Truax","given":"Adam C","non-dropping-particle":"","parse-names":false,"suffix":""},{"dropping-particle":"","family":"Micsenyi","given":"Matthew C","non-dropping-particle":"","parse-names":false,"suffix":""},{"dropping-particle":"","family":"Chou","given":"Thomas T","non-dropping-particle":"","parse-names":false,"suffix":""},{"dropping-particle":"","family":"Bruce","given":"Jennifer","non-dropping-particle":"","parse-names":false,"suffix":""},{"dropping-particle":"","family":"Schuck","given":"Theresa","non-dropping-particle":"","parse-names":false,"suffix":""},{"dropping-particle":"","family":"Grossman","given":"Murray","non-dropping-particle":"","parse-names":false,"suffix":""},{"dropping-particle":"","family":"Clark","given":"Christopher M","non-dropping-particle":"","parse-names":false,"suffix":""},{"dropping-particle":"","family":"McCluskey","given":"Leo F","non-dropping-particle":"","parse-names":false,"suffix":""},{"dropping-particle":"","family":"Miller","given":"Bruce L","non-dropping-particle":"","parse-names":false,"suffix":""},{"dropping-particle":"","family":"Masliah","given":"Eliezer","non-dropping-particle":"","parse-names":false,"suffix":""},{"dropping-particle":"","family":"Mackenzie","given":"Ian R","non-dropping-particle":"","parse-names":false,"suffix":""},{"dropping-particle":"","family":"Feldman","given":"Howard","non-dropping-particle":"","parse-names":false,"suffix":""},{"dropping-particle":"","family":"Feiden","given":"Wolfgang","non-dropping-particle":"","parse-names":false,"suffix":""},{"dropping-particle":"","family":"Kretzschmar","given":"Hans A","non-dropping-particle":"","parse-names":false,"suffix":""},{"dropping-particle":"","family":"Trojanowski","given":"John Q","non-dropping-particle":"","parse-names":false,"suffix":""},{"dropping-particle":"","family":"Lee","given":"Virginia M-Y","non-dropping-particle":"","parse-names":false,"suffix":""}],"container-title":"Science (New York, N.Y.)","id":"ITEM-1","issue":"5796","issued":{"date-parts":[["2006","10"]]},"page":"130-3","title":"Ubiquitinated TDP-43 in frontotemporal lobar degeneration and amyotrophic lateral sclerosis.","type":"article-journal","volume":"314"},"uris":["http://www.mendeley.com/documents/?uuid=48e51f0a-60a1-4cd4-b35f-6522d06f2cae"]}],"mendeley":{"formattedCitation":"&lt;sup&gt;111&lt;/sup&gt;","plainTextFormattedCitation":"111","previouslyFormattedCitation":"&lt;sup&gt;111&lt;/sup&gt;"},"properties":{"noteIndex":0},"schema":"https://github.com/citation-style-language/schema/raw/master/csl-citation.json"}</w:instrText>
      </w:r>
      <w:r w:rsidR="007771B9" w:rsidRPr="0082680A">
        <w:rPr>
          <w:lang w:val="en-GB"/>
        </w:rPr>
        <w:fldChar w:fldCharType="separate"/>
      </w:r>
      <w:r w:rsidR="00426B19" w:rsidRPr="00426B19">
        <w:rPr>
          <w:noProof/>
          <w:vertAlign w:val="superscript"/>
          <w:lang w:val="en-GB"/>
        </w:rPr>
        <w:t>111</w:t>
      </w:r>
      <w:r w:rsidR="007771B9" w:rsidRPr="0082680A">
        <w:rPr>
          <w:lang w:val="en-GB"/>
        </w:rPr>
        <w:fldChar w:fldCharType="end"/>
      </w:r>
      <w:r w:rsidRPr="0082680A">
        <w:rPr>
          <w:lang w:val="en-GB"/>
        </w:rPr>
        <w:t>. These proteins were revealed to be truncated portions of TDP-43’s C-terminus. In addition, anti-TDP-43 antibodies identified a 45kDa protein, which was later shown to be hyperphosphorylated full-length protein. TDP-43 pathology has been identified in the post-mortem tissue of over a dozen neurodegenerative conditions, which will be briefly introduced here.</w:t>
      </w:r>
      <w:r w:rsidR="0061081A">
        <w:rPr>
          <w:lang w:val="en-GB"/>
        </w:rPr>
        <w:t xml:space="preserve"> Table 2 indicates percentages of these populations exhibiting TDP-43 pathology.</w:t>
      </w:r>
    </w:p>
    <w:p w14:paraId="45E50AE9" w14:textId="7EE05E8A" w:rsidR="00B6670E" w:rsidRDefault="00B6670E" w:rsidP="00EB41E2">
      <w:pPr>
        <w:rPr>
          <w:lang w:val="en-GB"/>
        </w:rPr>
      </w:pPr>
    </w:p>
    <w:p w14:paraId="30EB1443" w14:textId="77777777" w:rsidR="00B6670E" w:rsidRDefault="00B6670E" w:rsidP="00B6670E">
      <w:pPr>
        <w:pStyle w:val="NoSpacing"/>
      </w:pPr>
      <w:r>
        <w:rPr>
          <w:noProof/>
          <w:lang w:val="en-GB"/>
        </w:rPr>
        <w:drawing>
          <wp:inline distT="0" distB="0" distL="0" distR="0" wp14:anchorId="02AFD331" wp14:editId="7B7D073D">
            <wp:extent cx="5000312" cy="3470222"/>
            <wp:effectExtent l="0" t="0" r="381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athdisease.pdf"/>
                    <pic:cNvPicPr/>
                  </pic:nvPicPr>
                  <pic:blipFill rotWithShape="1">
                    <a:blip r:embed="rId45">
                      <a:extLst>
                        <a:ext uri="{28A0092B-C50C-407E-A947-70E740481C1C}">
                          <a14:useLocalDpi xmlns:a14="http://schemas.microsoft.com/office/drawing/2010/main" val="0"/>
                        </a:ext>
                      </a:extLst>
                    </a:blip>
                    <a:srcRect r="2135"/>
                    <a:stretch/>
                  </pic:blipFill>
                  <pic:spPr bwMode="auto">
                    <a:xfrm>
                      <a:off x="0" y="0"/>
                      <a:ext cx="5005873" cy="3474082"/>
                    </a:xfrm>
                    <a:prstGeom prst="rect">
                      <a:avLst/>
                    </a:prstGeom>
                    <a:ln>
                      <a:noFill/>
                    </a:ln>
                    <a:extLst>
                      <a:ext uri="{53640926-AAD7-44D8-BBD7-CCE9431645EC}">
                        <a14:shadowObscured xmlns:a14="http://schemas.microsoft.com/office/drawing/2010/main"/>
                      </a:ext>
                    </a:extLst>
                  </pic:spPr>
                </pic:pic>
              </a:graphicData>
            </a:graphic>
          </wp:inline>
        </w:drawing>
      </w:r>
    </w:p>
    <w:p w14:paraId="0097C26E" w14:textId="72AB973A" w:rsidR="00B6670E" w:rsidRDefault="00B6670E" w:rsidP="00B6670E">
      <w:pPr>
        <w:pStyle w:val="Caption"/>
        <w:rPr>
          <w:b w:val="0"/>
        </w:rPr>
      </w:pPr>
      <w:bookmarkStart w:id="47" w:name="_Toc3225916"/>
      <w:r>
        <w:t xml:space="preserve">Table </w:t>
      </w:r>
      <w:fldSimple w:instr=" SEQ Table \* ARABIC ">
        <w:r w:rsidR="00066B5A">
          <w:rPr>
            <w:noProof/>
          </w:rPr>
          <w:t>2</w:t>
        </w:r>
      </w:fldSimple>
      <w:r>
        <w:t xml:space="preserve">: </w:t>
      </w:r>
      <w:r w:rsidRPr="00B6670E">
        <w:rPr>
          <w:b w:val="0"/>
        </w:rPr>
        <w:t>A summary of prevalence rates of TDP-43 pathology in various neurodegenerative conditions.</w:t>
      </w:r>
      <w:bookmarkEnd w:id="47"/>
    </w:p>
    <w:p w14:paraId="3999A2B1" w14:textId="52CDFEFB" w:rsidR="00B6670E" w:rsidRPr="00C050E3" w:rsidRDefault="00B6670E" w:rsidP="00C050E3">
      <w:pPr>
        <w:rPr>
          <w:b/>
        </w:rPr>
      </w:pPr>
      <w:r>
        <w:rPr>
          <w:b/>
        </w:rPr>
        <w:br w:type="page"/>
      </w:r>
    </w:p>
    <w:p w14:paraId="42C64707" w14:textId="2AF3062F" w:rsidR="00EB41E2" w:rsidRPr="0082680A" w:rsidRDefault="00EB41E2" w:rsidP="00691215">
      <w:pPr>
        <w:pStyle w:val="Heading4"/>
        <w:rPr>
          <w:lang w:val="en-GB"/>
        </w:rPr>
      </w:pPr>
      <w:bookmarkStart w:id="48" w:name="_wu5wou7z2ezq" w:colFirst="0" w:colLast="0"/>
      <w:bookmarkStart w:id="49" w:name="_Toc3211329"/>
      <w:bookmarkEnd w:id="48"/>
      <w:r w:rsidRPr="00691215">
        <w:lastRenderedPageBreak/>
        <w:t>Amyotrophic</w:t>
      </w:r>
      <w:r w:rsidRPr="0082680A">
        <w:rPr>
          <w:lang w:val="en-GB"/>
        </w:rPr>
        <w:t xml:space="preserve"> Lateral Sclerosis</w:t>
      </w:r>
      <w:bookmarkEnd w:id="49"/>
    </w:p>
    <w:p w14:paraId="4B9FA65E" w14:textId="4F7216F1" w:rsidR="00EB41E2" w:rsidRPr="0082680A" w:rsidRDefault="00EB41E2" w:rsidP="00EB41E2">
      <w:pPr>
        <w:rPr>
          <w:lang w:val="en-GB"/>
        </w:rPr>
      </w:pPr>
      <w:r w:rsidRPr="0082680A">
        <w:rPr>
          <w:lang w:val="en-GB"/>
        </w:rPr>
        <w:t xml:space="preserve">Amyotrophic lateral sclerosis (ALS) is a neurodegenerative disease characterised by the atrophy of both upper and lower motor neurons. Symptoms of ALS include muscle weakness, paralysis, and wastage. Those suffering from ALS have a life expectancy of 2-5 years post-diagnosis, and as of yet there is only one treatment option, </w:t>
      </w:r>
      <w:proofErr w:type="spellStart"/>
      <w:r w:rsidRPr="0082680A">
        <w:rPr>
          <w:lang w:val="en-GB"/>
        </w:rPr>
        <w:t>Riluzole</w:t>
      </w:r>
      <w:proofErr w:type="spellEnd"/>
      <w:r w:rsidRPr="0082680A">
        <w:rPr>
          <w:lang w:val="en-GB"/>
        </w:rPr>
        <w:t>, which achieves a modest 2 month</w:t>
      </w:r>
      <w:r w:rsidR="0099318B" w:rsidRPr="0082680A">
        <w:rPr>
          <w:lang w:val="en-GB"/>
        </w:rPr>
        <w:t xml:space="preserve"> average</w:t>
      </w:r>
      <w:r w:rsidRPr="0082680A">
        <w:rPr>
          <w:lang w:val="en-GB"/>
        </w:rPr>
        <w:t xml:space="preserve"> increase in survival </w:t>
      </w:r>
      <w:r w:rsidR="008B2416" w:rsidRPr="0082680A">
        <w:rPr>
          <w:lang w:val="en-GB"/>
        </w:rPr>
        <w:fldChar w:fldCharType="begin" w:fldLock="1"/>
      </w:r>
      <w:r w:rsidR="000507BA">
        <w:rPr>
          <w:lang w:val="en-GB"/>
        </w:rPr>
        <w:instrText>ADDIN CSL_CITATION {"citationItems":[{"id":"ITEM-1","itemData":{"abstract":"BACKGROUND: Riluzole 100 mg probably prolongs survival in patients with amyotrophic lateral sclerosis by about two months and the safety of the drug is not a major concern. The evidence from randomized controlled trials indicates that patients taking riluzole probably survive longer than patients taking placebo. The beneficial effects are very modest and the drug is expensive. Adverse effects from riluzole are relatively minor and for the most part reversible after stopping the drug. Riluzole has been approved for treatment of patients with amyotrophic lateral sclerosis in many countries but not all. Questions persist about its clinical utility because of high cost, modest efficacy and concern over adverse effects.OBJECTIVES: To examine the efficacy of riluzole in prolonging survival, and in delaying the use of surrogates (tracheostomy and mechanical ventilation) to sustain survival.SEARCH STRATEGY: Search of the Cochrane Neuromuscular Disease Group Register for randomized trials and enquiry from authors ...","author":[{"dropping-particle":"","family":"Miller","given":"RG","non-dropping-particle":"","parse-names":false,"suffix":""},{"dropping-particle":"","family":"Mitchell","given":"RD","non-dropping-particle":"","parse-names":false,"suffix":""},{"dropping-particle":"","family":"Lyon","given":"M","non-dropping-particle":"","parse-names":false,"suffix":""},{"dropping-particle":"","family":"Moore","given":"DH","non-dropping-particle":"","parse-names":false,"suffix":""}],"container-title":"Amyotrophic Lateral Sclerosis and Other Motor Neuron Disorders","id":"ITEM-1","issued":{"date-parts":[["2009","7","10"]]},"language":"en","publisher":"Taylor &amp; Francis","title":"Riluzole for amyotrophic lateral sclerosis (ALS)/motor neuron disease (MND)","type":"article-journal"},"uris":["http://www.mendeley.com/documents/?uuid=3c337e08-5b44-49fa-ab3e-41f6ee652fd6"]}],"mendeley":{"formattedCitation":"&lt;sup&gt;112&lt;/sup&gt;","plainTextFormattedCitation":"112","previouslyFormattedCitation":"&lt;sup&gt;112&lt;/sup&gt;"},"properties":{"noteIndex":0},"schema":"https://github.com/citation-style-language/schema/raw/master/csl-citation.json"}</w:instrText>
      </w:r>
      <w:r w:rsidR="008B2416" w:rsidRPr="0082680A">
        <w:rPr>
          <w:lang w:val="en-GB"/>
        </w:rPr>
        <w:fldChar w:fldCharType="separate"/>
      </w:r>
      <w:r w:rsidR="00426B19" w:rsidRPr="00426B19">
        <w:rPr>
          <w:noProof/>
          <w:vertAlign w:val="superscript"/>
          <w:lang w:val="en-GB"/>
        </w:rPr>
        <w:t>112</w:t>
      </w:r>
      <w:r w:rsidR="008B2416" w:rsidRPr="0082680A">
        <w:rPr>
          <w:lang w:val="en-GB"/>
        </w:rPr>
        <w:fldChar w:fldCharType="end"/>
      </w:r>
      <w:r w:rsidRPr="0082680A">
        <w:rPr>
          <w:lang w:val="en-GB"/>
        </w:rPr>
        <w:t>.</w:t>
      </w:r>
    </w:p>
    <w:p w14:paraId="71D712D9" w14:textId="77777777" w:rsidR="004449ED" w:rsidRPr="0082680A" w:rsidRDefault="004449ED" w:rsidP="00EB41E2">
      <w:pPr>
        <w:rPr>
          <w:lang w:val="en-GB"/>
        </w:rPr>
      </w:pPr>
    </w:p>
    <w:p w14:paraId="46BE4149" w14:textId="685F7494" w:rsidR="00EB41E2" w:rsidRPr="0082680A" w:rsidRDefault="00EB41E2" w:rsidP="00EB41E2">
      <w:pPr>
        <w:rPr>
          <w:lang w:val="en-GB"/>
        </w:rPr>
      </w:pPr>
      <w:r w:rsidRPr="0082680A">
        <w:rPr>
          <w:lang w:val="en-GB"/>
        </w:rPr>
        <w:t>ALS can be subdivided into two groups; sporadic (</w:t>
      </w:r>
      <w:proofErr w:type="spellStart"/>
      <w:r w:rsidRPr="0082680A">
        <w:rPr>
          <w:lang w:val="en-GB"/>
        </w:rPr>
        <w:t>sALS</w:t>
      </w:r>
      <w:proofErr w:type="spellEnd"/>
      <w:r w:rsidRPr="0082680A">
        <w:rPr>
          <w:lang w:val="en-GB"/>
        </w:rPr>
        <w:t>) or familial (</w:t>
      </w:r>
      <w:proofErr w:type="spellStart"/>
      <w:r w:rsidRPr="0082680A">
        <w:rPr>
          <w:lang w:val="en-GB"/>
        </w:rPr>
        <w:t>fALS</w:t>
      </w:r>
      <w:proofErr w:type="spellEnd"/>
      <w:r w:rsidRPr="0082680A">
        <w:rPr>
          <w:lang w:val="en-GB"/>
        </w:rPr>
        <w:t xml:space="preserve">). Those with </w:t>
      </w:r>
      <w:proofErr w:type="spellStart"/>
      <w:r w:rsidRPr="0082680A">
        <w:rPr>
          <w:lang w:val="en-GB"/>
        </w:rPr>
        <w:t>sALS</w:t>
      </w:r>
      <w:proofErr w:type="spellEnd"/>
      <w:r w:rsidRPr="0082680A">
        <w:rPr>
          <w:lang w:val="en-GB"/>
        </w:rPr>
        <w:t xml:space="preserve"> have no family history of the disease, and constitute 95% of ALS cases </w:t>
      </w:r>
      <w:r w:rsidR="008B2416" w:rsidRPr="0082680A">
        <w:rPr>
          <w:lang w:val="en-GB"/>
        </w:rPr>
        <w:fldChar w:fldCharType="begin" w:fldLock="1"/>
      </w:r>
      <w:r w:rsidR="000507BA">
        <w:rPr>
          <w:lang w:val="en-GB"/>
        </w:rPr>
        <w:instrText>ADDIN CSL_CITATION {"citationItems":[{"id":"ITEM-1","itemData":{"DOI":"10.1136/jnnp.2010.224501","ISSN":"1468-330X","PMID":"21047878","abstract":"BACKGROUND: The population rate of familial amyotrophic lateral sclerosis (FALS) is frequently reported as 10%. However, a systematic review and meta-analysis of the true population based frequency of FALS has never been performed. METHOD: A Medline literature review identified all original articles reporting a rate of FALS. Studies were grouped according to the type of data presented and examined for sources of case ascertainment. A systematic review and meta-analysis of reported rates of FALS was then conducted to facilitate comparison between studies and calculate a pooled rate of FALS. RESULTS: 38 papers reported a rate of FALS. Thirty-three papers were included in analysis and the rate of FALS for all studies was 4.6% (95% CI 3.9% to 5.5%). Restricting the analysis to prospective population based registry data revealed a rate of 5.1% (95% CI 4.1% to 6.1%). The incidence of FALS was lower in southern Europe. There was no correlation between rate of FALS and reported SOD1 mutation rates. CONCLUSION: The rate of FALS among prospective population based registries is 5.1% (CI 4.1 to 6.1%), and not 10% as is often stated. Further detailed prospective population based studies of familial ALS are required to confirm this rate.","author":[{"dropping-particle":"","family":"Byrne","given":"Susan","non-dropping-particle":"","parse-names":false,"suffix":""},{"dropping-particle":"","family":"Walsh","given":"Cathal","non-dropping-particle":"","parse-names":false,"suffix":""},{"dropping-particle":"","family":"Lynch","given":"Catherine","non-dropping-particle":"","parse-names":false,"suffix":""},{"dropping-particle":"","family":"Bede","given":"Peter","non-dropping-particle":"","parse-names":false,"suffix":""},{"dropping-particle":"","family":"Elamin","given":"Marwa","non-dropping-particle":"","parse-names":false,"suffix":""},{"dropping-particle":"","family":"Kenna","given":"Kevin","non-dropping-particle":"","parse-names":false,"suffix":""},{"dropping-particle":"","family":"McLaughlin","given":"Russell","non-dropping-particle":"","parse-names":false,"suffix":""},{"dropping-particle":"","family":"Hardiman","given":"Orla","non-dropping-particle":"","parse-names":false,"suffix":""}],"container-title":"Journal of neurology, neurosurgery, and psychiatry","id":"ITEM-1","issue":"6","issued":{"date-parts":[["2011","6"]]},"page":"623-7","title":"Rate of familial amyotrophic lateral sclerosis: a systematic review and meta-analysis.","type":"article-journal","volume":"82"},"uris":["http://www.mendeley.com/documents/?uuid=e39f112d-d06d-4125-9cb2-4543d3954580"]}],"mendeley":{"formattedCitation":"&lt;sup&gt;113&lt;/sup&gt;","plainTextFormattedCitation":"113","previouslyFormattedCitation":"&lt;sup&gt;113&lt;/sup&gt;"},"properties":{"noteIndex":0},"schema":"https://github.com/citation-style-language/schema/raw/master/csl-citation.json"}</w:instrText>
      </w:r>
      <w:r w:rsidR="008B2416" w:rsidRPr="0082680A">
        <w:rPr>
          <w:lang w:val="en-GB"/>
        </w:rPr>
        <w:fldChar w:fldCharType="separate"/>
      </w:r>
      <w:r w:rsidR="00426B19" w:rsidRPr="00426B19">
        <w:rPr>
          <w:noProof/>
          <w:vertAlign w:val="superscript"/>
          <w:lang w:val="en-GB"/>
        </w:rPr>
        <w:t>113</w:t>
      </w:r>
      <w:r w:rsidR="008B2416" w:rsidRPr="0082680A">
        <w:rPr>
          <w:lang w:val="en-GB"/>
        </w:rPr>
        <w:fldChar w:fldCharType="end"/>
      </w:r>
      <w:r w:rsidRPr="0082680A">
        <w:rPr>
          <w:lang w:val="en-GB"/>
        </w:rPr>
        <w:t xml:space="preserve">. The remaining 5% are patients with </w:t>
      </w:r>
      <w:proofErr w:type="spellStart"/>
      <w:r w:rsidRPr="0082680A">
        <w:rPr>
          <w:lang w:val="en-GB"/>
        </w:rPr>
        <w:t>fALS</w:t>
      </w:r>
      <w:proofErr w:type="spellEnd"/>
      <w:r w:rsidRPr="0082680A">
        <w:rPr>
          <w:lang w:val="en-GB"/>
        </w:rPr>
        <w:t xml:space="preserve">, who tend to acquire disease through inheritance of a mutated autosomal dominant gene. These genes include </w:t>
      </w:r>
      <w:r w:rsidRPr="0082680A">
        <w:rPr>
          <w:i/>
          <w:lang w:val="en-GB"/>
        </w:rPr>
        <w:t>C9orf72</w:t>
      </w:r>
      <w:r w:rsidRPr="0082680A">
        <w:rPr>
          <w:lang w:val="en-GB"/>
        </w:rPr>
        <w:t xml:space="preserve">, </w:t>
      </w:r>
      <w:r w:rsidRPr="0082680A">
        <w:rPr>
          <w:i/>
          <w:lang w:val="en-GB"/>
        </w:rPr>
        <w:t>SOD1</w:t>
      </w:r>
      <w:r w:rsidRPr="0082680A">
        <w:rPr>
          <w:lang w:val="en-GB"/>
        </w:rPr>
        <w:t xml:space="preserve">, </w:t>
      </w:r>
      <w:r w:rsidRPr="0082680A">
        <w:rPr>
          <w:i/>
          <w:lang w:val="en-GB"/>
        </w:rPr>
        <w:t>FUS</w:t>
      </w:r>
      <w:r w:rsidRPr="0082680A">
        <w:rPr>
          <w:lang w:val="en-GB"/>
        </w:rPr>
        <w:t xml:space="preserve">, </w:t>
      </w:r>
      <w:r w:rsidRPr="0082680A">
        <w:rPr>
          <w:i/>
          <w:lang w:val="en-GB"/>
        </w:rPr>
        <w:t>CHMP2B,</w:t>
      </w:r>
      <w:r w:rsidRPr="0082680A">
        <w:rPr>
          <w:lang w:val="en-GB"/>
        </w:rPr>
        <w:t xml:space="preserve"> as well as </w:t>
      </w:r>
      <w:r w:rsidRPr="0082680A">
        <w:rPr>
          <w:i/>
          <w:lang w:val="en-GB"/>
        </w:rPr>
        <w:t xml:space="preserve">TARDBP </w:t>
      </w:r>
      <w:r w:rsidRPr="0082680A">
        <w:rPr>
          <w:lang w:val="en-GB"/>
        </w:rPr>
        <w:t>itself. It is believed that approximately 97% of all ALS cases present with TDP-43 proteinopathy, with the exception of two groups; those with mutations in the superoxide dismutase 1 (</w:t>
      </w:r>
      <w:r w:rsidRPr="0082680A">
        <w:rPr>
          <w:i/>
          <w:lang w:val="en-GB"/>
        </w:rPr>
        <w:t>SOD1</w:t>
      </w:r>
      <w:r w:rsidRPr="0082680A">
        <w:rPr>
          <w:lang w:val="en-GB"/>
        </w:rPr>
        <w:t>) gene, or in the fused in sarcoma (</w:t>
      </w:r>
      <w:r w:rsidRPr="0082680A">
        <w:rPr>
          <w:i/>
          <w:lang w:val="en-GB"/>
        </w:rPr>
        <w:t>FUS</w:t>
      </w:r>
      <w:r w:rsidRPr="0082680A">
        <w:rPr>
          <w:lang w:val="en-GB"/>
        </w:rPr>
        <w:t xml:space="preserve">) gene. For this subset of ALS patients, their pathology is classified by the </w:t>
      </w:r>
      <w:r w:rsidRPr="0082680A">
        <w:rPr>
          <w:i/>
          <w:lang w:val="en-GB"/>
        </w:rPr>
        <w:t>SOD1</w:t>
      </w:r>
      <w:r w:rsidRPr="0082680A">
        <w:rPr>
          <w:lang w:val="en-GB"/>
        </w:rPr>
        <w:t xml:space="preserve"> and </w:t>
      </w:r>
      <w:r w:rsidRPr="0082680A">
        <w:rPr>
          <w:i/>
          <w:lang w:val="en-GB"/>
        </w:rPr>
        <w:t>FUS</w:t>
      </w:r>
      <w:r w:rsidRPr="0082680A">
        <w:rPr>
          <w:lang w:val="en-GB"/>
        </w:rPr>
        <w:t xml:space="preserve"> proteins themselves </w:t>
      </w:r>
      <w:r w:rsidR="00083C53" w:rsidRPr="0082680A">
        <w:rPr>
          <w:lang w:val="en-GB"/>
        </w:rPr>
        <w:fldChar w:fldCharType="begin" w:fldLock="1"/>
      </w:r>
      <w:r w:rsidR="000507BA">
        <w:rPr>
          <w:lang w:val="en-GB"/>
        </w:rPr>
        <w:instrText>ADDIN CSL_CITATION {"citationItems":[{"id":"ITEM-1","itemData":{"DOI":"10.1002/ana.21147","ISSN":"0364-5134","PMID":"17469116","abstract":"OBJECTIVE: Amyotrophic lateral sclerosis (ALS) is a common, fatal motor neuron disorder with no effective treatment. Approximately 10% of cases are familial ALS (FALS), and the most common genetic abnormality is superoxide dismutase-1 (SOD1) mutations. Most ALS research in the past decade has focused on the neurotoxicity of mutant SOD1, and this knowledge has directed therapeutic strategies. We recently identified TDP-43 as the major pathological protein in sporadic ALS. In this study, we investigated TDP-43 in a larger series of ALS cases (n = 111), including familial cases with and without SOD1 mutations.\n\nMETHODS: Ubiquitin and TDP-43 immunohistochemistry was performed on postmortem tissue from sporadic ALS (n = 59), ALS with SOD1 mutations (n = 15), SOD-1-negative FALS (n = 11), and ALS with dementia (n = 26). Biochemical analysis was performed on representative cases from each group.\n\nRESULTS: All cases of sporadic ALS, ALS with dementia, and SOD1-negative FALS had neuronal and glial inclusions that were immunoreactive for both ubiquitin and TDP-43. Cases with SOD1 mutations had ubiquitin-positive neuronal inclusions; however, no cases were immunoreactive for TDP-43. Biochemical analysis of postmortem tissue from sporadic ALS and SOD1-negative FALS demonstrated pathological forms of TDP-43 that were absent in cases with SOD1 mutations.\n\nINTERPRETATION: These findings implicate pathological TDP-43 in the pathogenesis of sporadic ALS. In contrast, the absence of pathological TDP-43 in cases with SOD1 mutations implies that motor neuron degeneration in these cases may result from a different mechanism, and that cases with SOD1 mutations may not be the familial counterpart of sporadic ALS.","author":[{"dropping-particle":"","family":"Mackenzie","given":"Ian R A","non-dropping-particle":"","parse-names":false,"suffix":""},{"dropping-particle":"","family":"Bigio","given":"Eileen H","non-dropping-particle":"","parse-names":false,"suffix":""},{"dropping-particle":"","family":"Ince","given":"Paul G","non-dropping-particle":"","parse-names":false,"suffix":""},{"dropping-particle":"","family":"Geser","given":"Felix","non-dropping-particle":"","parse-names":false,"suffix":""},{"dropping-particle":"","family":"Neumann","given":"Manuela","non-dropping-particle":"","parse-names":false,"suffix":""},{"dropping-particle":"","family":"Cairns","given":"Nigel J","non-dropping-particle":"","parse-names":false,"suffix":""},{"dropping-particle":"","family":"Kwong","given":"Linda K","non-dropping-particle":"","parse-names":false,"suffix":""},{"dropping-particle":"","family":"Forman","given":"Mark S","non-dropping-particle":"","parse-names":false,"suffix":""},{"dropping-particle":"","family":"Ravits","given":"John","non-dropping-particle":"","parse-names":false,"suffix":""},{"dropping-particle":"","family":"Stewart","given":"Heather","non-dropping-particle":"","parse-names":false,"suffix":""},{"dropping-particle":"","family":"Eisen","given":"Andrew","non-dropping-particle":"","parse-names":false,"suffix":""},{"dropping-particle":"","family":"McClusky","given":"Leo","non-dropping-particle":"","parse-names":false,"suffix":""},{"dropping-particle":"","family":"Kretzschmar","given":"Hans A","non-dropping-particle":"","parse-names":false,"suffix":""},{"dropping-particle":"","family":"Monoranu","given":"Camelia M","non-dropping-particle":"","parse-names":false,"suffix":""},{"dropping-particle":"","family":"Highley","given":"J Robin","non-dropping-particle":"","parse-names":false,"suffix":""},{"dropping-particle":"","family":"Kirby","given":"Janine","non-dropping-particle":"","parse-names":false,"suffix":""},{"dropping-particle":"","family":"Siddique","given":"Teepu","non-dropping-particle":"","parse-names":false,"suffix":""},{"dropping-particle":"","family":"Shaw","given":"Pamela J","non-dropping-particle":"","parse-names":false,"suffix":""},{"dropping-particle":"","family":"Lee","given":"Virginia M-Y","non-dropping-particle":"","parse-names":false,"suffix":""},{"dropping-particle":"","family":"Trojanowski","given":"John Q","non-dropping-particle":"","parse-names":false,"suffix":""}],"container-title":"Annals of neurology","id":"ITEM-1","issue":"5","issued":{"date-parts":[["2007","5"]]},"page":"427-34","title":"Pathological TDP-43 distinguishes sporadic amyotrophic lateral sclerosis from amyotrophic lateral sclerosis with SOD1 mutations.","type":"article-journal","volume":"61"},"uris":["http://www.mendeley.com/documents/?uuid=cd574ef3-8521-4c9e-b3fd-beee82829718"]},{"id":"ITEM-2","itemData":{"DOI":"10.1126/science.1165942","ISSN":"0036-8075","PMID":"19251628","abstract":"Amyotrophic lateral sclerosis (ALS) is a fatal neurodegenerative disease that is familial in 10% of cases. We have identified a missense mutation in the gene encoding fused in sarcoma (FUS) in a British kindred, linked to ALS6. In a survey of 197 familial ALS index cases, we identified two further missense mutations in eight families. Postmortem analysis of three cases with FUS mutations showed FUS-immunoreactive cytoplasmic inclusions and predominantly lower motor neuron degeneration. Cellular expression studies revealed aberrant localization of mutant FUS protein. FUS is involved in the regulation of transcription and RNA splicing and transport, and it has functional homology to another ALS gene, TARDBP, which suggests that a common mechanism may underlie motor neuron degeneration.","author":[{"dropping-particle":"","family":"Vance","given":"C.","non-dropping-particle":"","parse-names":false,"suffix":""},{"dropping-particle":"","family":"Rogelj","given":"B.","non-dropping-particle":"","parse-names":false,"suffix":""},{"dropping-particle":"","family":"Hortobagyi","given":"T.","non-dropping-particle":"","parse-names":false,"suffix":""},{"dropping-particle":"","family":"Vos","given":"K. J.","non-dropping-particle":"De","parse-names":false,"suffix":""},{"dropping-particle":"","family":"Nishimura","given":"A. L.","non-dropping-particle":"","parse-names":false,"suffix":""},{"dropping-particle":"","family":"Sreedharan","given":"J.","non-dropping-particle":"","parse-names":false,"suffix":""},{"dropping-particle":"","family":"Hu","given":"X.","non-dropping-particle":"","parse-names":false,"suffix":""},{"dropping-particle":"","family":"Smith","given":"B.","non-dropping-particle":"","parse-names":false,"suffix":""},{"dropping-particle":"","family":"Ruddy","given":"D.","non-dropping-particle":"","parse-names":false,"suffix":""},{"dropping-particle":"","family":"Wright","given":"P.","non-dropping-particle":"","parse-names":false,"suffix":""},{"dropping-particle":"","family":"Ganesalingam","given":"J.","non-dropping-particle":"","parse-names":false,"suffix":""},{"dropping-particle":"","family":"Williams","given":"K. L.","non-dropping-particle":"","parse-names":false,"suffix":""},{"dropping-particle":"","family":"Tripathi","given":"V.","non-dropping-particle":"","parse-names":false,"suffix":""},{"dropping-particle":"","family":"Al-Saraj","given":"S.","non-dropping-particle":"","parse-names":false,"suffix":""},{"dropping-particle":"","family":"Al-Chalabi","given":"A.","non-dropping-particle":"","parse-names":false,"suffix":""},{"dropping-particle":"","family":"Leigh","given":"P. N.","non-dropping-particle":"","parse-names":false,"suffix":""},{"dropping-particle":"","family":"Blair","given":"I. P.","non-dropping-particle":"","parse-names":false,"suffix":""},{"dropping-particle":"","family":"Nicholson","given":"G.","non-dropping-particle":"","parse-names":false,"suffix":""},{"dropping-particle":"","family":"Belleroche","given":"J.","non-dropping-particle":"de","parse-names":false,"suffix":""},{"dropping-particle":"","family":"Gallo","given":"J.-M.","non-dropping-particle":"","parse-names":false,"suffix":""},{"dropping-particle":"","family":"Miller","given":"C. C.","non-dropping-particle":"","parse-names":false,"suffix":""},{"dropping-particle":"","family":"Shaw","given":"C. E.","non-dropping-particle":"","parse-names":false,"suffix":""}],"container-title":"Science","id":"ITEM-2","issue":"5918","issued":{"date-parts":[["2009","2","27"]]},"page":"1208-1211","title":"Mutations in FUS, an RNA Processing Protein, Cause Familial Amyotrophic Lateral Sclerosis Type 6","type":"article-journal","volume":"323"},"uris":["http://www.mendeley.com/documents/?uuid=b135de64-9d52-414e-9b27-91f21e3098e1"]}],"mendeley":{"formattedCitation":"&lt;sup&gt;114,115&lt;/sup&gt;","plainTextFormattedCitation":"114,115","previouslyFormattedCitation":"&lt;sup&gt;114,115&lt;/sup&gt;"},"properties":{"noteIndex":0},"schema":"https://github.com/citation-style-language/schema/raw/master/csl-citation.json"}</w:instrText>
      </w:r>
      <w:r w:rsidR="00083C53" w:rsidRPr="0082680A">
        <w:rPr>
          <w:lang w:val="en-GB"/>
        </w:rPr>
        <w:fldChar w:fldCharType="separate"/>
      </w:r>
      <w:r w:rsidR="00426B19" w:rsidRPr="00426B19">
        <w:rPr>
          <w:noProof/>
          <w:vertAlign w:val="superscript"/>
          <w:lang w:val="en-GB"/>
        </w:rPr>
        <w:t>114,115</w:t>
      </w:r>
      <w:r w:rsidR="00083C53" w:rsidRPr="0082680A">
        <w:rPr>
          <w:lang w:val="en-GB"/>
        </w:rPr>
        <w:fldChar w:fldCharType="end"/>
      </w:r>
      <w:r w:rsidRPr="0082680A">
        <w:rPr>
          <w:lang w:val="en-GB"/>
        </w:rPr>
        <w:t xml:space="preserve">. </w:t>
      </w:r>
    </w:p>
    <w:p w14:paraId="0BDB5EE5" w14:textId="48410534" w:rsidR="00EB41E2" w:rsidRPr="0082680A" w:rsidRDefault="00EB41E2" w:rsidP="00842FD0">
      <w:pPr>
        <w:pStyle w:val="Heading4"/>
        <w:rPr>
          <w:lang w:val="en-GB"/>
        </w:rPr>
      </w:pPr>
      <w:bookmarkStart w:id="50" w:name="_72e02l231miu" w:colFirst="0" w:colLast="0"/>
      <w:bookmarkStart w:id="51" w:name="_Toc3211330"/>
      <w:bookmarkEnd w:id="50"/>
      <w:r w:rsidRPr="0082680A">
        <w:rPr>
          <w:lang w:val="en-GB"/>
        </w:rPr>
        <w:t>Frontotemporal Dementia</w:t>
      </w:r>
      <w:bookmarkEnd w:id="51"/>
    </w:p>
    <w:p w14:paraId="79D434B4" w14:textId="6AE1C151" w:rsidR="00EB41E2" w:rsidRPr="0082680A" w:rsidRDefault="00EB41E2" w:rsidP="00EB41E2">
      <w:pPr>
        <w:rPr>
          <w:lang w:val="en-GB"/>
        </w:rPr>
      </w:pPr>
      <w:r w:rsidRPr="0082680A">
        <w:rPr>
          <w:lang w:val="en-GB"/>
        </w:rPr>
        <w:t xml:space="preserve">FTLD is characterised by atrophy of the frontal and temporal lobes, resulting in symptoms such as antisocial behaviour, aphasia, and dementia. There are three subtypes of FTLD, of which TDP-43 pathology is observed in one – ubiquitin-positive, tau-negative FTLD (FTLD-U). Like ALS, FTLD-U can also be familial or sporadic, and approximately 50% of all FTLD patients exhibit TDP-43 pathology. Mutated genes associated with TDP-43 pathology in FTLD-U include </w:t>
      </w:r>
      <w:r w:rsidRPr="0082680A">
        <w:rPr>
          <w:i/>
          <w:lang w:val="en-GB"/>
        </w:rPr>
        <w:t>C9orf72</w:t>
      </w:r>
      <w:r w:rsidRPr="0082680A">
        <w:rPr>
          <w:lang w:val="en-GB"/>
        </w:rPr>
        <w:t xml:space="preserve">, </w:t>
      </w:r>
      <w:r w:rsidRPr="0082680A">
        <w:rPr>
          <w:i/>
          <w:lang w:val="en-GB"/>
        </w:rPr>
        <w:t>PGRN</w:t>
      </w:r>
      <w:r w:rsidRPr="0082680A">
        <w:rPr>
          <w:lang w:val="en-GB"/>
        </w:rPr>
        <w:t xml:space="preserve">, </w:t>
      </w:r>
      <w:r w:rsidRPr="0082680A">
        <w:rPr>
          <w:i/>
          <w:lang w:val="en-GB"/>
        </w:rPr>
        <w:t>TARDBP</w:t>
      </w:r>
      <w:r w:rsidRPr="0082680A">
        <w:rPr>
          <w:lang w:val="en-GB"/>
        </w:rPr>
        <w:t xml:space="preserve"> and </w:t>
      </w:r>
      <w:r w:rsidRPr="0082680A">
        <w:rPr>
          <w:i/>
          <w:lang w:val="en-GB"/>
        </w:rPr>
        <w:t>VCP</w:t>
      </w:r>
      <w:r w:rsidRPr="0082680A">
        <w:rPr>
          <w:lang w:val="en-GB"/>
        </w:rPr>
        <w:t xml:space="preserve">. Interestingly, </w:t>
      </w:r>
      <w:r w:rsidRPr="0082680A">
        <w:rPr>
          <w:i/>
          <w:lang w:val="en-GB"/>
        </w:rPr>
        <w:t>CHMP2B</w:t>
      </w:r>
      <w:r w:rsidRPr="0082680A">
        <w:rPr>
          <w:lang w:val="en-GB"/>
        </w:rPr>
        <w:t xml:space="preserve"> mutations do not cause TDP-43 pathology in FTLD, but do in ALS </w:t>
      </w:r>
      <w:r w:rsidR="00083C53" w:rsidRPr="0082680A">
        <w:rPr>
          <w:lang w:val="en-GB"/>
        </w:rPr>
        <w:fldChar w:fldCharType="begin" w:fldLock="1"/>
      </w:r>
      <w:r w:rsidR="000507BA">
        <w:rPr>
          <w:lang w:val="en-GB"/>
        </w:rPr>
        <w:instrText>ADDIN CSL_CITATION {"citationItems":[{"id":"ITEM-1","itemData":{"DOI":"10.2353/ajpath.2007.070182","ISSN":"0002-9440","PMID":"17591968","abstract":"TAR DNA-binding protein 43 (TDP-43) is a major pathological protein of sporadic and familial frontotemporal lobar degeneration with ubiquitin-positive, tau-negative inclusions (FTLD-U) with or without motor neuron disease (MND). Thus, TDP-43 defines a novel class of neurodegenerative diseases called TDP-43 proteinopathies. We performed ubiquitin and TDP-43 immunohistochemistry on 193 cases of familial and sporadic FTLD with or without MND. On selected cases, immunoelectron microscopy and biochemistry were performed. Clinically defined frontotemporal dementias (FTDs) included four groups: 1) familial FTD with mutations in progranulin (n = 36), valosin-containing protein (n = 5), charged multivesicular body protein 2B (n = 4), and linked to chromosome 9p (n = 7); 2) familial cases of FTD with unknown gene association (n = 29); 3) sporadic FTD (n = 72); and 4) familial and sporadic FTD with MND (n = 40). Our studies confirm that the spectrum of TDP-43 proteinopathies includes most cases of sporadic and familial FTLD-U with and without MND and expand this disease spectrum to include reported families with FTD linked to chromosome 9p but not FTD with charged multivesicular body protein 2B mutations. Thus, despite significant clinical, genetic, and neuropathological heterogeneity of FTLD-U, TDP-43 is a common pathological substrate underlying a large subset of these disorders, thereby implicating TDP-43 in novel and unifying mechanisms of FTLD pathogenesis.","author":[{"dropping-particle":"","family":"Cairns","given":"Nigel J","non-dropping-particle":"","parse-names":false,"suffix":""},{"dropping-particle":"","family":"Neumann","given":"Manuela","non-dropping-particle":"","parse-names":false,"suffix":""},{"dropping-particle":"","family":"Bigio","given":"Eileen H","non-dropping-particle":"","parse-names":false,"suffix":""},{"dropping-particle":"","family":"Holm","given":"Ida E","non-dropping-particle":"","parse-names":false,"suffix":""},{"dropping-particle":"","family":"Troost","given":"Dirk","non-dropping-particle":"","parse-names":false,"suffix":""},{"dropping-particle":"","family":"Hatanpaa","given":"Kimmo J","non-dropping-particle":"","parse-names":false,"suffix":""},{"dropping-particle":"","family":"Foong","given":"Chan","non-dropping-particle":"","parse-names":false,"suffix":""},{"dropping-particle":"","family":"White","given":"Charles L","non-dropping-particle":"","parse-names":false,"suffix":""},{"dropping-particle":"","family":"Schneider","given":"Julie A","non-dropping-particle":"","parse-names":false,"suffix":""},{"dropping-particle":"","family":"Kretzschmar","given":"Hans A","non-dropping-particle":"","parse-names":false,"suffix":""},{"dropping-particle":"","family":"Carter","given":"Deborah","non-dropping-particle":"","parse-names":false,"suffix":""},{"dropping-particle":"","family":"Taylor-Reinwald","given":"Lisa","non-dropping-particle":"","parse-names":false,"suffix":""},{"dropping-particle":"","family":"Paulsmeyer","given":"Katherine","non-dropping-particle":"","parse-names":false,"suffix":""},{"dropping-particle":"","family":"Strider","given":"Jeffrey","non-dropping-particle":"","parse-names":false,"suffix":""},{"dropping-particle":"","family":"Gitcho","given":"Michael","non-dropping-particle":"","parse-names":false,"suffix":""},{"dropping-particle":"","family":"Goate","given":"Alison M","non-dropping-particle":"","parse-names":false,"suffix":""},{"dropping-particle":"","family":"Morris","given":"John C","non-dropping-particle":"","parse-names":false,"suffix":""},{"dropping-particle":"","family":"Mishra","given":"Manjari","non-dropping-particle":"","parse-names":false,"suffix":""},{"dropping-particle":"","family":"Kwong","given":"Linda K","non-dropping-particle":"","parse-names":false,"suffix":""},{"dropping-particle":"","family":"Stieber","given":"Anna","non-dropping-particle":"","parse-names":false,"suffix":""},{"dropping-particle":"","family":"Xu","given":"Yan","non-dropping-particle":"","parse-names":false,"suffix":""},{"dropping-particle":"","family":"Forman","given":"Mark S","non-dropping-particle":"","parse-names":false,"suffix":""},{"dropping-particle":"","family":"Trojanowski","given":"John Q","non-dropping-particle":"","parse-names":false,"suffix":""},{"dropping-particle":"","family":"Lee","given":"Virginia M-Y","non-dropping-particle":"","parse-names":false,"suffix":""},{"dropping-particle":"","family":"Mackenzie","given":"Ian R A","non-dropping-particle":"","parse-names":false,"suffix":""}],"container-title":"The American journal of pathology","id":"ITEM-1","issue":"1","issued":{"date-parts":[["2007","7"]]},"page":"227-40","title":"TDP-43 in familial and sporadic frontotemporal lobar degeneration with ubiquitin inclusions.","type":"article-journal","volume":"171"},"uris":["http://www.mendeley.com/documents/?uuid=5bc11caf-990e-4449-a066-50b9f927a4a5"]}],"mendeley":{"formattedCitation":"&lt;sup&gt;116&lt;/sup&gt;","plainTextFormattedCitation":"116","previouslyFormattedCitation":"&lt;sup&gt;116&lt;/sup&gt;"},"properties":{"noteIndex":0},"schema":"https://github.com/citation-style-language/schema/raw/master/csl-citation.json"}</w:instrText>
      </w:r>
      <w:r w:rsidR="00083C53" w:rsidRPr="0082680A">
        <w:rPr>
          <w:lang w:val="en-GB"/>
        </w:rPr>
        <w:fldChar w:fldCharType="separate"/>
      </w:r>
      <w:r w:rsidR="00426B19" w:rsidRPr="00426B19">
        <w:rPr>
          <w:noProof/>
          <w:vertAlign w:val="superscript"/>
          <w:lang w:val="en-GB"/>
        </w:rPr>
        <w:t>116</w:t>
      </w:r>
      <w:r w:rsidR="00083C53" w:rsidRPr="0082680A">
        <w:rPr>
          <w:lang w:val="en-GB"/>
        </w:rPr>
        <w:fldChar w:fldCharType="end"/>
      </w:r>
      <w:r w:rsidRPr="0082680A">
        <w:rPr>
          <w:lang w:val="en-GB"/>
        </w:rPr>
        <w:t xml:space="preserve">.   </w:t>
      </w:r>
    </w:p>
    <w:p w14:paraId="5CF6E276" w14:textId="0171645A" w:rsidR="00EB41E2" w:rsidRPr="0082680A" w:rsidRDefault="00EB41E2" w:rsidP="00842FD0">
      <w:pPr>
        <w:pStyle w:val="Heading4"/>
        <w:rPr>
          <w:lang w:val="en-GB"/>
        </w:rPr>
      </w:pPr>
      <w:bookmarkStart w:id="52" w:name="_4nplnmyd1qgu" w:colFirst="0" w:colLast="0"/>
      <w:bookmarkStart w:id="53" w:name="_Toc3211331"/>
      <w:bookmarkEnd w:id="52"/>
      <w:r w:rsidRPr="0082680A">
        <w:rPr>
          <w:lang w:val="en-GB"/>
        </w:rPr>
        <w:t>Multisystem Proteinopathy</w:t>
      </w:r>
      <w:bookmarkEnd w:id="53"/>
    </w:p>
    <w:p w14:paraId="065AB97D" w14:textId="4989B7F8" w:rsidR="00EB41E2" w:rsidRPr="0082680A" w:rsidRDefault="00DC2754" w:rsidP="00EB41E2">
      <w:pPr>
        <w:rPr>
          <w:lang w:val="en-GB"/>
        </w:rPr>
      </w:pPr>
      <w:r w:rsidRPr="0082680A">
        <w:rPr>
          <w:lang w:val="en-GB"/>
        </w:rPr>
        <w:t xml:space="preserve">Multisystem proteinopathy (MSP), previously known as Inclusion Body Myopathy with Paget’s disease and Frontotemporal Dementia (IBMPFD), </w:t>
      </w:r>
      <w:r w:rsidR="00EB41E2" w:rsidRPr="0082680A">
        <w:rPr>
          <w:lang w:val="en-GB"/>
        </w:rPr>
        <w:t xml:space="preserve">is characterised by progressive muscle weakness of both proximal and distal muscles, Paget’s disease of bone, and frontotemporal dementia. Six mutations in </w:t>
      </w:r>
      <w:r w:rsidR="00EB41E2" w:rsidRPr="0082680A">
        <w:rPr>
          <w:i/>
          <w:lang w:val="en-GB"/>
        </w:rPr>
        <w:t>VCP</w:t>
      </w:r>
      <w:r w:rsidR="00EB41E2" w:rsidRPr="0082680A">
        <w:rPr>
          <w:lang w:val="en-GB"/>
        </w:rPr>
        <w:t xml:space="preserve">, or </w:t>
      </w:r>
      <w:proofErr w:type="spellStart"/>
      <w:r w:rsidR="00EB41E2" w:rsidRPr="0082680A">
        <w:rPr>
          <w:lang w:val="en-GB"/>
        </w:rPr>
        <w:t>valosin</w:t>
      </w:r>
      <w:proofErr w:type="spellEnd"/>
      <w:r w:rsidR="00EB41E2" w:rsidRPr="0082680A">
        <w:rPr>
          <w:lang w:val="en-GB"/>
        </w:rPr>
        <w:t xml:space="preserve">-containing protein, have been associated with the disease, and account for nearly 50% of affected families </w:t>
      </w:r>
      <w:r w:rsidR="00083C53" w:rsidRPr="0082680A">
        <w:rPr>
          <w:lang w:val="en-GB"/>
        </w:rPr>
        <w:fldChar w:fldCharType="begin" w:fldLock="1"/>
      </w:r>
      <w:r w:rsidR="000507BA">
        <w:rPr>
          <w:lang w:val="en-GB"/>
        </w:rPr>
        <w:instrText>ADDIN CSL_CITATION {"citationItems":[{"id":"ITEM-1","itemData":{"DOI":"10.1038/ng1332","ISSN":"1061-4036","PMID":"15034582","abstract":"Inclusion body myopathy associated with Paget disease of bone and frontotemporal dementia (IBMPFD) is a dominant progressive disorder that maps to chromosome 9p21.1-p12. We investigated 13 families with IBMPFD linked to chromosome 9 using a candidate-gene approach. We found six missense mutations in the gene encoding valosin-containing protein (VCP, a member of the AAA-ATPase superfamily) exclusively in all 61 affected individuals. Haplotype analysis indicated that descent from two founders in two separate North American kindreds accounted for IBMPFD in approximately 50% of affected families. VCP is associated with a variety of cellular activities, including cell cycle control, membrane fusion and the ubiquitin-proteasome degradation pathway. Identification of VCP as causing IBMPFD has important implications for other inclusion-body diseases, including myopathies, dementias and Paget disease of bone (PDB), as it may define a new common pathological ubiquitin-based pathway.","author":[{"dropping-particle":"","family":"Watts","given":"Giles D J","non-dropping-particle":"","parse-names":false,"suffix":""},{"dropping-particle":"","family":"Wymer","given":"Jill","non-dropping-particle":"","parse-names":false,"suffix":""},{"dropping-particle":"","family":"Kovach","given":"Margaret J","non-dropping-particle":"","parse-names":false,"suffix":""},{"dropping-particle":"","family":"Mehta","given":"Sarju G","non-dropping-particle":"","parse-names":false,"suffix":""},{"dropping-particle":"","family":"Mumm","given":"Steven","non-dropping-particle":"","parse-names":false,"suffix":""},{"dropping-particle":"","family":"Darvish","given":"Daniel","non-dropping-particle":"","parse-names":false,"suffix":""},{"dropping-particle":"","family":"Pestronk","given":"Alan","non-dropping-particle":"","parse-names":false,"suffix":""},{"dropping-particle":"","family":"Whyte","given":"Michael P","non-dropping-particle":"","parse-names":false,"suffix":""},{"dropping-particle":"","family":"Kimonis","given":"Virginia E","non-dropping-particle":"","parse-names":false,"suffix":""}],"container-title":"Nature genetics","id":"ITEM-1","issue":"4","issued":{"date-parts":[["2004","4"]]},"page":"377-81","title":"Inclusion body myopathy associated with Paget disease of bone and frontotemporal dementia is caused by mutant valosin-containing protein.","type":"article-journal","volume":"36"},"uris":["http://www.mendeley.com/documents/?uuid=0e4db84e-7c28-40ce-bf5d-50d7568c5745"]}],"mendeley":{"formattedCitation":"&lt;sup&gt;117&lt;/sup&gt;","plainTextFormattedCitation":"117","previouslyFormattedCitation":"&lt;sup&gt;117&lt;/sup&gt;"},"properties":{"noteIndex":0},"schema":"https://github.com/citation-style-language/schema/raw/master/csl-citation.json"}</w:instrText>
      </w:r>
      <w:r w:rsidR="00083C53" w:rsidRPr="0082680A">
        <w:rPr>
          <w:lang w:val="en-GB"/>
        </w:rPr>
        <w:fldChar w:fldCharType="separate"/>
      </w:r>
      <w:r w:rsidR="00426B19" w:rsidRPr="00426B19">
        <w:rPr>
          <w:noProof/>
          <w:vertAlign w:val="superscript"/>
          <w:lang w:val="en-GB"/>
        </w:rPr>
        <w:t>117</w:t>
      </w:r>
      <w:r w:rsidR="00083C53" w:rsidRPr="0082680A">
        <w:rPr>
          <w:lang w:val="en-GB"/>
        </w:rPr>
        <w:fldChar w:fldCharType="end"/>
      </w:r>
      <w:r w:rsidR="00EB41E2" w:rsidRPr="0082680A">
        <w:rPr>
          <w:lang w:val="en-GB"/>
        </w:rPr>
        <w:t xml:space="preserve">. Forty-five percent of MSP patients, however, have no family history of the disease </w:t>
      </w:r>
      <w:r w:rsidR="003B2A1E" w:rsidRPr="0082680A">
        <w:rPr>
          <w:lang w:val="en-GB"/>
        </w:rPr>
        <w:fldChar w:fldCharType="begin" w:fldLock="1"/>
      </w:r>
      <w:r w:rsidR="000507BA">
        <w:rPr>
          <w:lang w:val="en-GB"/>
        </w:rPr>
        <w:instrText>ADDIN CSL_CITATION {"citationItems":[{"id":"ITEM-1","itemData":{"DOI":"10.1016/j.neurobiolaging.2013.09.016","ISSN":"1558-1497","PMID":"24119545","abstract":"hnRNPA2B1 and hnRNPA1 mutations have been recently identified by exome sequencing in three families presenting with multisystem proteinopathy (MSP), a rare complex phenotype associating frontotemporal lobar degeneration (FTLD), Paget disease of bone (PDB), inclusion body myopathy (IBM), and amyotrophic lateral sclerosis (ALS). No study has evaluated the exact frequency of these genes in cohorts of MSP or FTD patients so far. We sequenced both genes in 17 patients with MSP phenotypes, and in 60 patients with FTLD and FTLD-ALS to test whether mutations could be implicated in the pathogenesis of these disorders. No disease-causing mutation was identified. We conclude that hnRNPA2B1 and hnRNPA1 mutations are rare in MSP and FTLD spectrum of diseases, although further investigations in larger populations are needed.","author":[{"dropping-particle":"","family":"Ber","given":"Isabelle","non-dropping-particle":"Le","parse-names":false,"suffix":""},{"dropping-particle":"","family":"Bortel","given":"Inge","non-dropping-particle":"Van","parse-names":false,"suffix":""},{"dropping-particle":"","family":"Nicolas","given":"Gael","non-dropping-particle":"","parse-names":false,"suffix":""},{"dropping-particle":"","family":"Bouya-Ahmed","given":"Kawtar","non-dropping-particle":"","parse-names":false,"suffix":""},{"dropping-particle":"","family":"Camuzat","given":"Agnès","non-dropping-particle":"","parse-names":false,"suffix":""},{"dropping-particle":"","family":"Wallon","given":"David","non-dropping-particle":"","parse-names":false,"suffix":""},{"dropping-particle":"","family":"Septenville","given":"Anne","non-dropping-particle":"De","parse-names":false,"suffix":""},{"dropping-particle":"","family":"Latouche","given":"Morwena","non-dropping-particle":"","parse-names":false,"suffix":""},{"dropping-particle":"","family":"Lattante","given":"Serena","non-dropping-particle":"","parse-names":false,"suffix":""},{"dropping-particle":"","family":"Kabashi","given":"Edor","non-dropping-particle":"","parse-names":false,"suffix":""},{"dropping-particle":"","family":"Jornea","given":"Ludmila","non-dropping-particle":"","parse-names":false,"suffix":""},{"dropping-particle":"","family":"Hannequin","given":"Didier","non-dropping-particle":"","parse-names":false,"suffix":""},{"dropping-particle":"","family":"Brice","given":"Alexis","non-dropping-particle":"","parse-names":false,"suffix":""}],"container-title":"Neurobiology of aging","id":"ITEM-1","issue":"4","issued":{"date-parts":[["2014","4"]]},"page":"934.e5-6","title":"hnRNPA2B1 and hnRNPA1 mutations are rare in patients with \"multisystem proteinopathy\" and frontotemporal lobar degeneration phenotypes.","type":"article-journal","volume":"35"},"uris":["http://www.mendeley.com/documents/?uuid=f44ef033-fd21-4762-85f5-5e3131f51e70"]}],"mendeley":{"formattedCitation":"&lt;sup&gt;118&lt;/sup&gt;","plainTextFormattedCitation":"118","previouslyFormattedCitation":"&lt;sup&gt;118&lt;/sup&gt;"},"properties":{"noteIndex":0},"schema":"https://github.com/citation-style-language/schema/raw/master/csl-citation.json"}</w:instrText>
      </w:r>
      <w:r w:rsidR="003B2A1E" w:rsidRPr="0082680A">
        <w:rPr>
          <w:lang w:val="en-GB"/>
        </w:rPr>
        <w:fldChar w:fldCharType="separate"/>
      </w:r>
      <w:r w:rsidR="00426B19" w:rsidRPr="00426B19">
        <w:rPr>
          <w:noProof/>
          <w:vertAlign w:val="superscript"/>
          <w:lang w:val="en-GB"/>
        </w:rPr>
        <w:t>118</w:t>
      </w:r>
      <w:r w:rsidR="003B2A1E" w:rsidRPr="0082680A">
        <w:rPr>
          <w:lang w:val="en-GB"/>
        </w:rPr>
        <w:fldChar w:fldCharType="end"/>
      </w:r>
      <w:r w:rsidR="00EB41E2" w:rsidRPr="0082680A">
        <w:rPr>
          <w:lang w:val="en-GB"/>
        </w:rPr>
        <w:t xml:space="preserve">. TDP-43 pathology </w:t>
      </w:r>
      <w:r w:rsidR="0099318B" w:rsidRPr="0082680A">
        <w:rPr>
          <w:lang w:val="en-GB"/>
        </w:rPr>
        <w:t>has so far been identified in all investigated cases of MSP</w:t>
      </w:r>
      <w:r w:rsidR="00EB41E2" w:rsidRPr="0082680A">
        <w:rPr>
          <w:lang w:val="en-GB"/>
        </w:rPr>
        <w:t xml:space="preserve"> as both intranuclear and cytoplasmic inclusions, and unlike other neurodegenerative diseases, is present in muscle tissue</w:t>
      </w:r>
      <w:r w:rsidR="004F0D81" w:rsidRPr="0082680A">
        <w:rPr>
          <w:lang w:val="en-GB"/>
        </w:rPr>
        <w:t xml:space="preserve"> </w:t>
      </w:r>
      <w:r w:rsidR="004F0D81" w:rsidRPr="0082680A">
        <w:rPr>
          <w:lang w:val="en-GB"/>
        </w:rPr>
        <w:fldChar w:fldCharType="begin" w:fldLock="1"/>
      </w:r>
      <w:r w:rsidR="000507BA">
        <w:rPr>
          <w:lang w:val="en-GB"/>
        </w:rPr>
        <w:instrText>ADDIN CSL_CITATION {"citationItems":[{"id":"ITEM-1","itemData":{"DOI":"10.1136/jnnp.2007.131334","ISSN":"1468-330X","PMID":"18796596","abstract":"TAR DNA binding protein-43 (TDP-43) is found in ubiquitinated inclusions (UBIs) in some frontotemporal dementias (FTD-U). One form of FTD-U, due to mutations in the valosin containing protein (VCP) gene, occurs with an inclusion body myopathy (IBMPFD). Since IBMPFD brain has TDP-43 in UBIs, we looked for TDP-43 inclusions in IBMPFD muscle. In normal muscle, TDP-43 is present in nuclei. In IBMPFD muscle, TDP-43 is additionally present as large inclusions within UBIs in muscle cytoplasm. TDP-43 inclusions were also found in 78% of sporadic inclusion body myositis (sIBM) muscles. In IBMPFD and sIBM muscle, TDP-43 migrated with an additional band on immunoblot similar to that reported in FTD-U brains. This study adds sIBM and hereditary inclusion body myopathies to the growing list of TDP-43 positive inclusion diseases.","author":[{"dropping-particle":"","family":"Weihl","given":"C C","non-dropping-particle":"","parse-names":false,"suffix":""},{"dropping-particle":"","family":"Temiz","given":"P","non-dropping-particle":"","parse-names":false,"suffix":""},{"dropping-particle":"","family":"Miller","given":"S E","non-dropping-particle":"","parse-names":false,"suffix":""},{"dropping-particle":"","family":"Watts","given":"G","non-dropping-particle":"","parse-names":false,"suffix":""},{"dropping-particle":"","family":"Smith","given":"C","non-dropping-particle":"","parse-names":false,"suffix":""},{"dropping-particle":"","family":"Forman","given":"M","non-dropping-particle":"","parse-names":false,"suffix":""},{"dropping-particle":"","family":"Hanson","given":"P I","non-dropping-particle":"","parse-names":false,"suffix":""},{"dropping-particle":"","family":"Kimonis","given":"V","non-dropping-particle":"","parse-names":false,"suffix":""},{"dropping-particle":"","family":"Pestronk","given":"A","non-dropping-particle":"","parse-names":false,"suffix":""}],"container-title":"Journal of neurology, neurosurgery, and psychiatry","id":"ITEM-1","issue":"10","issued":{"date-parts":[["2008","10"]]},"page":"1186-9","publisher":"NIH Public Access","title":"TDP-43 accumulation in inclusion body myopathy muscle suggests a common pathogenic mechanism with frontotemporal dementia.","type":"article-journal","volume":"79"},"uris":["http://www.mendeley.com/documents/?uuid=71a04526-3b18-36c2-87c4-4a0b8756ee13"]}],"mendeley":{"formattedCitation":"&lt;sup&gt;119&lt;/sup&gt;","plainTextFormattedCitation":"119","previouslyFormattedCitation":"&lt;sup&gt;119&lt;/sup&gt;"},"properties":{"noteIndex":0},"schema":"https://github.com/citation-style-language/schema/raw/master/csl-citation.json"}</w:instrText>
      </w:r>
      <w:r w:rsidR="004F0D81" w:rsidRPr="0082680A">
        <w:rPr>
          <w:lang w:val="en-GB"/>
        </w:rPr>
        <w:fldChar w:fldCharType="separate"/>
      </w:r>
      <w:r w:rsidR="00426B19" w:rsidRPr="00426B19">
        <w:rPr>
          <w:noProof/>
          <w:vertAlign w:val="superscript"/>
          <w:lang w:val="en-GB"/>
        </w:rPr>
        <w:t>119</w:t>
      </w:r>
      <w:r w:rsidR="004F0D81" w:rsidRPr="0082680A">
        <w:rPr>
          <w:lang w:val="en-GB"/>
        </w:rPr>
        <w:fldChar w:fldCharType="end"/>
      </w:r>
      <w:r w:rsidR="00EB41E2" w:rsidRPr="0082680A">
        <w:rPr>
          <w:lang w:val="en-GB"/>
        </w:rPr>
        <w:t>.</w:t>
      </w:r>
    </w:p>
    <w:p w14:paraId="618AA41C" w14:textId="7623769B" w:rsidR="00EB41E2" w:rsidRPr="0082680A" w:rsidRDefault="00EB41E2" w:rsidP="00842FD0">
      <w:pPr>
        <w:pStyle w:val="Heading4"/>
        <w:rPr>
          <w:lang w:val="en-GB"/>
        </w:rPr>
      </w:pPr>
      <w:bookmarkStart w:id="54" w:name="_d7u48ldluu7u" w:colFirst="0" w:colLast="0"/>
      <w:bookmarkStart w:id="55" w:name="_Toc3211332"/>
      <w:bookmarkEnd w:id="54"/>
      <w:r w:rsidRPr="0082680A">
        <w:rPr>
          <w:lang w:val="en-GB"/>
        </w:rPr>
        <w:lastRenderedPageBreak/>
        <w:t>Alexander’s Disease</w:t>
      </w:r>
      <w:bookmarkEnd w:id="55"/>
    </w:p>
    <w:p w14:paraId="1EC6ACC0" w14:textId="6D3675FF" w:rsidR="00EB41E2" w:rsidRPr="0082680A" w:rsidRDefault="00EB41E2" w:rsidP="00EB41E2">
      <w:pPr>
        <w:rPr>
          <w:lang w:val="en-GB"/>
        </w:rPr>
      </w:pPr>
      <w:r w:rsidRPr="0082680A">
        <w:rPr>
          <w:lang w:val="en-GB"/>
        </w:rPr>
        <w:t>Alexander’s disease (</w:t>
      </w:r>
      <w:proofErr w:type="spellStart"/>
      <w:r w:rsidRPr="0082680A">
        <w:rPr>
          <w:lang w:val="en-GB"/>
        </w:rPr>
        <w:t>AxD</w:t>
      </w:r>
      <w:proofErr w:type="spellEnd"/>
      <w:r w:rsidRPr="0082680A">
        <w:rPr>
          <w:lang w:val="en-GB"/>
        </w:rPr>
        <w:t xml:space="preserve">) is a rare neurodegenerative disease that predominantly affects the white matter of the brain. Onset can occur at any point in life, with the infantile form being most prevalent. Symptoms include delayed motor and intellectual development, macrocephaly, and seizures. In 2001, Brenner and colleagues discovered 95% of </w:t>
      </w:r>
      <w:proofErr w:type="spellStart"/>
      <w:r w:rsidRPr="0082680A">
        <w:rPr>
          <w:lang w:val="en-GB"/>
        </w:rPr>
        <w:t>AxD</w:t>
      </w:r>
      <w:proofErr w:type="spellEnd"/>
      <w:r w:rsidRPr="0082680A">
        <w:rPr>
          <w:lang w:val="en-GB"/>
        </w:rPr>
        <w:t xml:space="preserve"> patients had a mutation in the gene encoding glial fibrillary acidic protein (</w:t>
      </w:r>
      <w:r w:rsidRPr="0082680A">
        <w:rPr>
          <w:i/>
          <w:lang w:val="en-GB"/>
        </w:rPr>
        <w:t>GFAP</w:t>
      </w:r>
      <w:r w:rsidRPr="0082680A">
        <w:rPr>
          <w:lang w:val="en-GB"/>
        </w:rPr>
        <w:t xml:space="preserve">), a protein previously identified in astrocytic inclusions known as Rosenthal </w:t>
      </w:r>
      <w:r w:rsidR="008026FD" w:rsidRPr="0082680A">
        <w:rPr>
          <w:lang w:val="en-GB"/>
        </w:rPr>
        <w:t>fibres</w:t>
      </w:r>
      <w:r w:rsidRPr="0082680A">
        <w:rPr>
          <w:lang w:val="en-GB"/>
        </w:rPr>
        <w:t xml:space="preserve"> </w:t>
      </w:r>
      <w:r w:rsidR="008026FD" w:rsidRPr="0082680A">
        <w:rPr>
          <w:lang w:val="en-GB"/>
        </w:rPr>
        <w:fldChar w:fldCharType="begin" w:fldLock="1"/>
      </w:r>
      <w:r w:rsidR="000507BA">
        <w:rPr>
          <w:lang w:val="en-GB"/>
        </w:rPr>
        <w:instrText>ADDIN CSL_CITATION {"citationItems":[{"id":"ITEM-1","itemData":{"DOI":"10.1038/83679","ISSN":"1061-4036","PMID":"11138011","abstract":"Alexander disease is a rare disorder of the central nervous system of unknown etiology. Infants with Alexander disease develop a leukoencephalopathy with macrocephaly, seizures and psychomotor retardation, leading to death usually within the first decade; patients with juvenile or adult forms typically experience ataxia, bulbar signs and spasticity, and a more slowly progressive course. The pathological hallmark of all forms of Alexander disease is the presence of Rosenthal fibers, cytoplasmic inclusions in astrocytes that contain the intermediate filament protein GFAP in association with small heat-shock proteins. We previously found that overexpression of human GFAP in astrocytes of transgenic mice is fatal and accompanied by the presence of inclusion bodies indistinguishable from human Rosenthal fibers. These results suggested that a primary alteration in GFAP may be responsible for Alexander disease. Sequence analysis of DNA samples from patients representing different Alexander disease phenotypes revealed that most cases are associated with non-conservative mutations in the coding region of GFAP. Alexander disease therefore represents the first example of a primary genetic disorder of astrocytes, one of the major cell types in the vertebrate CNS.","author":[{"dropping-particle":"","family":"Brenner","given":"M","non-dropping-particle":"","parse-names":false,"suffix":""},{"dropping-particle":"","family":"Johnson","given":"A B","non-dropping-particle":"","parse-names":false,"suffix":""},{"dropping-particle":"","family":"Boespflug-Tanguy","given":"O","non-dropping-particle":"","parse-names":false,"suffix":""},{"dropping-particle":"","family":"Rodriguez","given":"D","non-dropping-particle":"","parse-names":false,"suffix":""},{"dropping-particle":"","family":"Goldman","given":"J E","non-dropping-particle":"","parse-names":false,"suffix":""},{"dropping-particle":"","family":"Messing","given":"A","non-dropping-particle":"","parse-names":false,"suffix":""}],"container-title":"Nature genetics","id":"ITEM-1","issue":"1","issued":{"date-parts":[["2001","1"]]},"page":"117-20","title":"Mutations in GFAP, encoding glial fibrillary acidic protein, are associated with Alexander disease.","type":"article-journal","volume":"27"},"uris":["http://www.mendeley.com/documents/?uuid=c5445943-cc31-4a8c-a790-d23ebaf35b5f"]}],"mendeley":{"formattedCitation":"&lt;sup&gt;120&lt;/sup&gt;","plainTextFormattedCitation":"120","previouslyFormattedCitation":"&lt;sup&gt;120&lt;/sup&gt;"},"properties":{"noteIndex":0},"schema":"https://github.com/citation-style-language/schema/raw/master/csl-citation.json"}</w:instrText>
      </w:r>
      <w:r w:rsidR="008026FD" w:rsidRPr="0082680A">
        <w:rPr>
          <w:lang w:val="en-GB"/>
        </w:rPr>
        <w:fldChar w:fldCharType="separate"/>
      </w:r>
      <w:r w:rsidR="00426B19" w:rsidRPr="00426B19">
        <w:rPr>
          <w:noProof/>
          <w:vertAlign w:val="superscript"/>
          <w:lang w:val="en-GB"/>
        </w:rPr>
        <w:t>120</w:t>
      </w:r>
      <w:r w:rsidR="008026FD" w:rsidRPr="0082680A">
        <w:rPr>
          <w:lang w:val="en-GB"/>
        </w:rPr>
        <w:fldChar w:fldCharType="end"/>
      </w:r>
      <w:r w:rsidRPr="0082680A">
        <w:rPr>
          <w:lang w:val="en-GB"/>
        </w:rPr>
        <w:t xml:space="preserve">. Recently, investigation of other proteins aggregated in </w:t>
      </w:r>
      <w:proofErr w:type="spellStart"/>
      <w:r w:rsidRPr="0082680A">
        <w:rPr>
          <w:lang w:val="en-GB"/>
        </w:rPr>
        <w:t>AxD</w:t>
      </w:r>
      <w:proofErr w:type="spellEnd"/>
      <w:r w:rsidRPr="0082680A">
        <w:rPr>
          <w:lang w:val="en-GB"/>
        </w:rPr>
        <w:t xml:space="preserve"> revealed the presence of TDP-43 protein </w:t>
      </w:r>
      <w:r w:rsidR="008026FD" w:rsidRPr="0082680A">
        <w:rPr>
          <w:lang w:val="en-GB"/>
        </w:rPr>
        <w:fldChar w:fldCharType="begin" w:fldLock="1"/>
      </w:r>
      <w:r w:rsidR="000507BA">
        <w:rPr>
          <w:lang w:val="en-GB"/>
        </w:rPr>
        <w:instrText xml:space="preserve">ADDIN CSL_CITATION {"citationItems":[{"id":"ITEM-1","itemData":{"DOI":"10.1523/JNEUROSCI.0248-14.2014","ISSN":"1529-2401","PMID":"24806671","abstract":"Alexander disease (AxD) is a rare neurodegenerative disorder characterized pathologically by the presence of eosinophilic inclusions known as Rosenthal fibers (RFs) within astrocytes, and is caused by dominant mutations in the coding region of the gene encoding glial fibrillary acidic protein (GFAP). GFAP is the major astrocytic intermediate filament, and in AxD patient brain tissue GFAP is a major component of RFs. TAR DNA binding protein of 43 kDa (TDP-43) is the major pathological protein in almost all cases of the neurodegenerative disease amyotrophic lateral sclerosis (ALS) and </w:instrText>
      </w:r>
      <w:r w:rsidR="000507BA">
        <w:rPr>
          <w:rFonts w:ascii="Cambria Math" w:hAnsi="Cambria Math" w:cs="Cambria Math"/>
          <w:lang w:val="en-GB"/>
        </w:rPr>
        <w:instrText>∼</w:instrText>
      </w:r>
      <w:r w:rsidR="000507BA">
        <w:rPr>
          <w:lang w:val="en-GB"/>
        </w:rPr>
        <w:instrText>50% of frontotemporal lobar degeneration (FTLD), designated as FTLD-TDP. In ALS and FTLD-TDP, TDP-43 becomes insoluble, ubiquitinated, and pathologically phosphorylated and accumulates in cytoplasmic inclusions in both neurons and glia of affected brain and spinal cord regions. Previously, TDP-43 was detected in RFs of human pilocytic astrocytomas; however, involvement of TDP-43 in AxD has not been determined. Here we show that TDP-43 is present in RFs in AxD patient brains, and that insoluble phosphorylated full-length and high molecular weight TDP-43 accumulates in white matter of such brains. Phosphorylated TDP-43 also accumulates in the detergent-insoluble fraction from affected brain regions of Gfap(R236H/+) knock-in mice, which harbor a GFAP mutation homologous to one that causes AxD in humans, and TDP-43 colocalizes with astrocytic RF pathology in Gfap(R236H/+) mice and transgenic mice overexpressing human wild-type GFAP. These findings suggest common pathogenic mechanisms in ALS, FTLD, and AxD, and this is the first report of TDP-43 involvement in a neurological disorder primarily affecting astrocytes.","author":[{"dropping-particle":"","family":"Walker","given":"Adam K","non-dropping-particle":"","parse-names":false,"suffix":""},{"dropping-particle":"","family":"Daniels","given":"Christine M LaPash","non-dropping-particle":"","parse-names":false,"suffix":""},{"dropping-particle":"","family":"Goldman","given":"James E","non-dropping-particle":"","parse-names":false,"suffix":""},{"dropping-particle":"","family":"Trojanowski","given":"John Q","non-dropping-particle":"","parse-names":false,"suffix":""},{"dropping-particle":"","family":"Lee","given":"Virginia M-Y","non-dropping-particle":"","parse-names":false,"suffix":""},{"dropping-particle":"","family":"Messing","given":"Albee","non-dropping-particle":"","parse-names":false,"suffix":""}],"container-title":"The Journal of neuroscience : the official journal of the Society for Neuroscience","id":"ITEM-1","issue":"19","issued":{"date-parts":[["2014","5","7"]]},"page":"6448-58","title":"Astrocytic TDP-43 pathology in Alexander disease.","type":"article-journal","volume":"34"},"uris":["http://www.mendeley.com/documents/?uuid=5ac744eb-be5c-4820-ae53-f15bf1271d92"]}],"mendeley":{"formattedCitation":"&lt;sup&gt;121&lt;/sup&gt;","plainTextFormattedCitation":"121","previouslyFormattedCitation":"&lt;sup&gt;121&lt;/sup&gt;"},"properties":{"noteIndex":0},"schema":"https://github.com/citation-style-language/schema/raw/master/csl-citation.json"}</w:instrText>
      </w:r>
      <w:r w:rsidR="008026FD" w:rsidRPr="0082680A">
        <w:rPr>
          <w:lang w:val="en-GB"/>
        </w:rPr>
        <w:fldChar w:fldCharType="separate"/>
      </w:r>
      <w:r w:rsidR="00426B19" w:rsidRPr="00426B19">
        <w:rPr>
          <w:noProof/>
          <w:vertAlign w:val="superscript"/>
          <w:lang w:val="en-GB"/>
        </w:rPr>
        <w:t>121</w:t>
      </w:r>
      <w:r w:rsidR="008026FD" w:rsidRPr="0082680A">
        <w:rPr>
          <w:lang w:val="en-GB"/>
        </w:rPr>
        <w:fldChar w:fldCharType="end"/>
      </w:r>
      <w:r w:rsidRPr="0082680A">
        <w:rPr>
          <w:lang w:val="en-GB"/>
        </w:rPr>
        <w:t>. Interestingly, the TDP-43 pathology was not present in the neurons, but was in fact present within the astrocytes, suggesting that TDP-43 aggregation may affect many cell types in the central nervous system.</w:t>
      </w:r>
    </w:p>
    <w:p w14:paraId="46DE0EC7" w14:textId="498A1511" w:rsidR="00EB41E2" w:rsidRPr="0082680A" w:rsidRDefault="00EB41E2" w:rsidP="00842FD0">
      <w:pPr>
        <w:pStyle w:val="Heading4"/>
        <w:rPr>
          <w:lang w:val="en-GB"/>
        </w:rPr>
      </w:pPr>
      <w:bookmarkStart w:id="56" w:name="_yeql6l51ky4i" w:colFirst="0" w:colLast="0"/>
      <w:bookmarkStart w:id="57" w:name="_Toc3211333"/>
      <w:bookmarkEnd w:id="56"/>
      <w:r w:rsidRPr="0082680A">
        <w:rPr>
          <w:lang w:val="en-GB"/>
        </w:rPr>
        <w:t>Alzheimer’s Disease</w:t>
      </w:r>
      <w:bookmarkEnd w:id="57"/>
    </w:p>
    <w:p w14:paraId="4FE9B7A4" w14:textId="703F4F57" w:rsidR="00EB41E2" w:rsidRPr="0082680A" w:rsidRDefault="00EB41E2" w:rsidP="00EB41E2">
      <w:pPr>
        <w:rPr>
          <w:lang w:val="en-GB"/>
        </w:rPr>
      </w:pPr>
      <w:r w:rsidRPr="0082680A">
        <w:rPr>
          <w:lang w:val="en-GB"/>
        </w:rPr>
        <w:t xml:space="preserve">Alzheimer’s disease (AD) is the most common cause of dementia, and its neuropathology is defined by global cerebral atrophy as well as degeneration of some midbrain areas. Other than memory loss, symptoms can include personality changes, aggression and delusions. Only a very small proportion of AD cases can be attributed to genetics, despite a number of genetic loci being associated with the disease </w:t>
      </w:r>
      <w:r w:rsidR="008026FD" w:rsidRPr="0082680A">
        <w:rPr>
          <w:lang w:val="en-GB"/>
        </w:rPr>
        <w:fldChar w:fldCharType="begin" w:fldLock="1"/>
      </w:r>
      <w:r w:rsidR="000507BA">
        <w:rPr>
          <w:lang w:val="en-GB"/>
        </w:rPr>
        <w:instrText>ADDIN CSL_CITATION {"citationItems":[{"id":"ITEM-1","itemData":{"DOI":"10.1038/ng.2802","ISSN":"1546-1718","PMID":"24162737","abstract":"Eleven susceptibility loci for late-onset Alzheimer's disease (LOAD) were identified by previous studies; however, a large portion of the genetic risk for this disease remains unexplained. We conducted a large, two-stage meta-analysis of genome-wide association studies (GWAS) in individuals of European ancestry. In stage 1, we used genotyped and imputed data (7,055,881 SNPs) to perform meta-analysis on 4 previously published GWAS data sets consisting of 17,008 Alzheimer's disease cases and 37,154 controls. In stage 2, 11,632 SNPs were genotyped and tested for association in an independent set of 8,572 Alzheimer's disease cases and 11,312 controls. In addition to the APOE locus (encoding apolipoprotein E), 19 loci reached genome-wide significance (P &lt; 5 × 10(-8)) in the combined stage 1 and stage 2 analysis, of which 11 are newly associated with Alzheimer's disease.","author":[{"dropping-particle":"","family":"Lambert","given":"J C","non-dropping-particle":"","parse-names":false,"suffix":""},{"dropping-particle":"","family":"Ibrahim-Verbaas","given":"C A","non-dropping-particle":"","parse-names":false,"suffix":""},{"dropping-particle":"","family":"Harold","given":"D","non-dropping-particle":"","parse-names":false,"suffix":""},{"dropping-particle":"","family":"Naj","given":"A C","non-dropping-particle":"","parse-names":false,"suffix":""},{"dropping-particle":"","family":"Sims","given":"R","non-dropping-particle":"","parse-names":false,"suffix":""},{"dropping-particle":"","family":"Bellenguez","given":"C","non-dropping-particle":"","parse-names":false,"suffix":""},{"dropping-particle":"","family":"DeStafano","given":"A L","non-dropping-particle":"","parse-names":false,"suffix":""},{"dropping-particle":"","family":"Bis","given":"J C","non-dropping-particle":"","parse-names":false,"suffix":""},{"dropping-particle":"","family":"Beecham","given":"G W","non-dropping-particle":"","parse-names":false,"suffix":""},{"dropping-particle":"","family":"Grenier-Boley","given":"B","non-dropping-particle":"","parse-names":false,"suffix":""},{"dropping-particle":"","family":"Russo","given":"G","non-dropping-particle":"","parse-names":false,"suffix":""},{"dropping-particle":"","family":"Thorton-Wells","given":"T A","non-dropping-particle":"","parse-names":false,"suffix":""},{"dropping-particle":"","family":"Jones","given":"N","non-dropping-particle":"","parse-names":false,"suffix":""},{"dropping-particle":"V","family":"Smith","given":"A","non-dropping-particle":"","parse-names":false,"suffix":""},{"dropping-particle":"","family":"Chouraki","given":"V","non-dropping-particle":"","parse-names":false,"suffix":""},{"dropping-particle":"","family":"Thomas","given":"C","non-dropping-particle":"","parse-names":false,"suffix":""},{"dropping-particle":"","family":"Ikram","given":"M A","non-dropping-particle":"","parse-names":false,"suffix":""},{"dropping-particle":"","family":"Zelenika","given":"D","non-dropping-particle":"","parse-names":false,"suffix":""},{"dropping-particle":"","family":"Vardarajan","given":"B N","non-dropping-particle":"","parse-names":false,"suffix":""},{"dropping-particle":"","family":"Kamatani","given":"Y","non-dropping-particle":"","parse-names":false,"suffix":""},{"dropping-particle":"","family":"Lin","given":"C F","non-dropping-particle":"","parse-names":false,"suffix":""},{"dropping-particle":"","family":"Gerrish","given":"A","non-dropping-particle":"","parse-names":false,"suffix":""},{"dropping-particle":"","family":"Schmidt","given":"H","non-dropping-particle":"","parse-names":false,"suffix":""},{"dropping-particle":"","family":"Kunkle","given":"B","non-dropping-particle":"","parse-names":false,"suffix":""},{"dropping-particle":"","family":"Dunstan","given":"M L","non-dropping-particle":"","parse-names":false,"suffix":""},{"dropping-particle":"","family":"Ruiz","given":"A","non-dropping-particle":"","parse-names":false,"suffix":""},{"dropping-particle":"","family":"Bihoreau","given":"M T","non-dropping-particle":"","parse-names":false,"suffix":""},{"dropping-particle":"","family":"Choi","given":"S H","non-dropping-particle":"","parse-names":false,"suffix":""},{"dropping-particle":"","family":"Reitz","given":"C","non-dropping-particle":"","parse-names":false,"suffix":""},{"dropping-particle":"","family":"Pasquier","given":"F","non-dropping-particle":"","parse-names":false,"suffix":""},{"dropping-particle":"","family":"Cruchaga","given":"C","non-dropping-particle":"","parse-names":false,"suffix":""},{"dropping-particle":"","family":"Craig","given":"D","non-dropping-particle":"","parse-names":false,"suffix":""},{"dropping-particle":"","family":"Amin","given":"N","non-dropping-particle":"","parse-names":false,"suffix":""},{"dropping-particle":"","family":"Berr","given":"C","non-dropping-particle":"","parse-names":false,"suffix":""},{"dropping-particle":"","family":"Lopez","given":"O L","non-dropping-particle":"","parse-names":false,"suffix":""},{"dropping-particle":"","family":"Jager","given":"P L","non-dropping-particle":"De","parse-names":false,"suffix":""},{"dropping-particle":"","family":"Deramecourt","given":"V","non-dropping-particle":"","parse-names":false,"suffix":""},{"dropping-particle":"","family":"Johnston","given":"J A","non-dropping-particle":"","parse-names":false,"suffix":""},{"dropping-particle":"","family":"Evans","given":"D","non-dropping-particle":"","parse-names":false,"suffix":""},{"dropping-particle":"","family":"Lovestone","given":"S","non-dropping-particle":"","parse-names":false,"suffix":""},{"dropping-particle":"","family":"Letenneur","given":"L","non-dropping-particle":"","parse-names":false,"suffix":""},{"dropping-particle":"","family":"Morón","given":"F J","non-dropping-particle":"","parse-names":false,"suffix":""},{"dropping-particle":"","family":"Rubinsztein","given":"D C","non-dropping-particle":"","parse-names":false,"suffix":""},{"dropping-particle":"","family":"Eiriksdottir","given":"G","non-dropping-particle":"","parse-names":false,"suffix":""},{"dropping-particle":"","family":"Sleegers","given":"K","non-dropping-particle":"","parse-names":false,"suffix":""},{"dropping-particle":"","family":"Goate","given":"A M","non-dropping-particle":"","parse-names":false,"suffix":""},{"dropping-particle":"","family":"Fiévet","given":"N","non-dropping-particle":"","parse-names":false,"suffix":""},{"dropping-particle":"","family":"Huentelman","given":"M W","non-dropping-particle":"","parse-names":false,"suffix":""},{"dropping-particle":"","family":"Gill","given":"M","non-dropping-particle":"","parse-names":false,"suffix":""},{"dropping-particle":"","family":"Brown","given":"K","non-dropping-particle":"","parse-names":false,"suffix":""},{"dropping-particle":"","family":"Kamboh","given":"M I","non-dropping-particle":"","parse-names":false,"suffix":""},{"dropping-particle":"","family":"Keller","given":"L","non-dropping-particle":"","parse-names":false,"suffix":""},{"dropping-particle":"","family":"Barberger-Gateau","given":"P","non-dropping-particle":"","parse-names":false,"suffix":""},{"dropping-particle":"","family":"McGuiness","given":"B","non-dropping-particle":"","parse-names":false,"suffix":""},{"dropping-particle":"","family":"Larson","given":"E B","non-dropping-particle":"","parse-names":false,"suffix":""},{"dropping-particle":"","family":"Green","given":"R","non-dropping-particle":"","parse-names":false,"suffix":""},{"dropping-particle":"","family":"Myers","given":"A J","non-dropping-particle":"","parse-names":false,"suffix":""},{"dropping-particle":"","family":"Dufouil","given":"C","non-dropping-particle":"","parse-names":false,"suffix":""},{"dropping-particle":"","family":"Todd","given":"S","non-dropping-particle":"","parse-names":false,"suffix":""},{"dropping-particle":"","family":"Wallon","given":"D","non-dropping-particle":"","parse-names":false,"suffix":""},{"dropping-particle":"","family":"Love","given":"S","non-dropping-particle":"","parse-names":false,"suffix":""},{"dropping-particle":"","family":"Rogaeva","given":"E","non-dropping-particle":"","parse-names":false,"suffix":""},{"dropping-particle":"","family":"Gallacher","given":"J","non-dropping-particle":"","parse-names":false,"suffix":""},{"dropping-particle":"","family":"St George-Hyslop","given":"P","non-dropping-particle":"","parse-names":false,"suffix":""},{"dropping-particle":"","family":"Clarimon","given":"J","non-dropping-particle":"","parse-names":false,"suffix":""},{"dropping-particle":"","family":"Lleo","given":"A","non-dropping-particle":"","parse-names":false,"suffix":""},{"dropping-particle":"","family":"Bayer","given":"A","non-dropping-particle":"","parse-names":false,"suffix":""},{"dropping-particle":"","family":"Tsuang","given":"D W","non-dropping-particle":"","parse-names":false,"suffix":""},{"dropping-particle":"","family":"Yu","given":"L","non-dropping-particle":"","parse-names":false,"suffix":""},{"dropping-particle":"","family":"Tsolaki","given":"M","non-dropping-particle":"","parse-names":false,"suffix":""},{"dropping-particle":"","family":"Bossù","given":"P","non-dropping-particle":"","parse-names":false,"suffix":""},{"dropping-particle":"","family":"Spalletta","given":"G","non-dropping-particle":"","parse-names":false,"suffix":""},{"dropping-particle":"","family":"Proitsi","given":"P","non-dropping-particle":"","parse-names":false,"suffix":""},{"dropping-particle":"","family":"Collinge","given":"J","non-dropping-particle":"","parse-names":false,"suffix":""},{"dropping-particle":"","family":"Sorbi","given":"S","non-dropping-particle":"","parse-names":false,"suffix":""},{"dropping-particle":"","family":"Sanchez-Garcia","given":"F","non-dropping-particle":"","parse-names":false,"suffix":""},{"dropping-particle":"","family":"Fox","given":"N C","non-dropping-particle":"","parse-names":false,"suffix":""},{"dropping-particle":"","family":"Hardy","given":"J","non-dropping-particle":"","parse-names":false,"suffix":""},{"dropping-particle":"","family":"Deniz Naranjo","given":"M C","non-dropping-particle":"","parse-names":false,"suffix":""},{"dropping-particle":"","family":"Bosco","given":"P","non-dropping-particle":"","parse-names":false,"suffix":""},{"dropping-particle":"","family":"Clarke","given":"R","non-dropping-particle":"","parse-names":false,"suffix":""},{"dropping-particle":"","family":"Brayne","given":"C","non-dropping-particle":"","parse-names":false,"suffix":""},{"dropping-particle":"","family":"Galimberti","given":"D","non-dropping-particle":"","parse-names":false,"suffix":""},{"dropping-particle":"","family":"Mancuso","given":"M","non-dropping-particle":"","parse-names":false,"suffix":""},{"dropping-particle":"","family":"Matthews","given":"F","non-dropping-particle":"","parse-names":false,"suffix":""},{"dropping-particle":"","family":"Moebus","given":"S","non-dropping-particle":"","parse-names":false,"suffix":""},{"dropping-particle":"","family":"Mecocci","given":"P","non-dropping-particle":"","parse-names":false,"suffix":""},{"dropping-particle":"","family":"Zompo","given":"M","non-dropping-particle":"Del","parse-names":false,"suffix":""},{"dropping-particle":"","family":"Maier","given":"W","non-dropping-particle":"","parse-names":false,"suffix":""},{"dropping-particle":"","family":"Hampel","given":"H","non-dropping-particle":"","parse-names":false,"suffix":""},{"dropping-particle":"","family":"Pilotto","given":"A","non-dropping-particle":"","parse-names":false,"suffix":""},{"dropping-particle":"","family":"Bullido","given":"M","non-dropping-particle":"","parse-names":false,"suffix":""},{"dropping-particle":"","family":"Panza","given":"F","non-dropping-particle":"","parse-names":false,"suffix":""},{"dropping-particle":"","family":"Caffarra","given":"P","non-dropping-particle":"","parse-names":false,"suffix":""},{"dropping-particle":"","family":"Nacmias","given":"B","non-dropping-particle":"","parse-names":false,"suffix":""},{"dropping-particle":"","family":"Gilbert","given":"J R","non-dropping-particle":"","parse-names":false,"suffix":""},{"dropping-particle":"","family":"Mayhaus","given":"M","non-dropping-particle":"","parse-names":false,"suffix":""},{"dropping-particle":"","family":"Lannefelt","given":"L","non-dropping-particle":"","parse-names":false,"suffix":""},{"dropping-particle":"","family":"Hakonarson","given":"H","non-dropping-particle":"","parse-names":false,"suffix":""},{"dropping-particle":"","family":"Pichler","given":"S","non-dropping-particle":"","parse-names":false,"suffix":""},{"dropping-particle":"","family":"Carrasquillo","given":"M M","non-dropping-particle":"","parse-names":false,"suffix":""},{"dropping-particle":"","family":"Ingelsson","given":"M","non-dropping-particle":"","parse-names":false,"suffix":""},{"dropping-particle":"","family":"Beekly","given":"D","non-dropping-particle":"","parse-names":false,"suffix":""},{"dropping-particle":"","family":"Alvarez","given":"V","non-dropping-particle":"","parse-names":false,"suffix":""},{"dropping-particle":"","family":"Zou","given":"F","non-dropping-particle":"","parse-names":false,"suffix":""},{"dropping-particle":"","family":"Valladares","given":"O","non-dropping-particle":"","parse-names":false,"suffix":""},{"dropping-particle":"","family":"Younkin","given":"S G","non-dropping-particle":"","parse-names":false,"suffix":""},{"dropping-particle":"","family":"Coto","given":"E","non-dropping-particle":"","parse-names":false,"suffix":""},{"dropping-particle":"","family":"Hamilton-Nelson","given":"K L","non-dropping-particle":"","parse-names":false,"suffix":""},{"dropping-particle":"","family":"Gu","given":"W","non-dropping-particle":"","parse-names":false,"suffix":""},{"dropping-particle":"","family":"Razquin","given":"C","non-dropping-particle":"","parse-names":false,"suffix":""},{"dropping-particle":"","family":"Pastor","given":"P","non-dropping-particle":"","parse-names":false,"suffix":""},{"dropping-particle":"","family":"Mateo","given":"I","non-dropping-particle":"","parse-names":false,"suffix":""},{"dropping-particle":"","family":"Owen","given":"M J","non-dropping-particle":"","parse-names":false,"suffix":""},{"dropping-particle":"","family":"Faber","given":"K M","non-dropping-particle":"","parse-names":false,"suffix":""},{"dropping-particle":"V","family":"Jonsson","given":"P","non-dropping-particle":"","parse-names":false,"suffix":""},{"dropping-particle":"","family":"Combarros","given":"O","non-dropping-particle":"","parse-names":false,"suffix":""},{"dropping-particle":"","family":"O'Donovan","given":"M C","non-dropping-particle":"","parse-names":false,"suffix":""},{"dropping-particle":"","family":"Cantwell","given":"L B","non-dropping-particle":"","parse-names":false,"suffix":""},{"dropping-particle":"","family":"Soininen","given":"H","non-dropping-particle":"","parse-names":false,"suffix":""},{"dropping-particle":"","family":"Blacker","given":"D","non-dropping-particle":"","parse-names":false,"suffix":""},{"dropping-particle":"","family":"Mead","given":"S","non-dropping-particle":"","parse-names":false,"suffix":""},{"dropping-particle":"","family":"Mosley","given":"T H","non-dropping-particle":"","parse-names":false,"suffix":""},{"dropping-particle":"","family":"Bennett","given":"D A","non-dropping-particle":"","parse-names":false,"suffix":""},{"dropping-particle":"","family":"Harris","given":"T B","non-dropping-particle":"","parse-names":false,"suffix":""},{"dropping-particle":"","family":"Fratiglioni","given":"L","non-dropping-particle":"","parse-names":false,"suffix":""},{"dropping-particle":"","family":"Holmes","given":"C","non-dropping-particle":"","parse-names":false,"suffix":""},{"dropping-particle":"","family":"Bruijn","given":"R F","non-dropping-particle":"de","parse-names":false,"suffix":""},{"dropping-particle":"","family":"Passmore","given":"P","non-dropping-particle":"","parse-names":false,"suffix":""},{"dropping-particle":"","family":"Montine","given":"T J","non-dropping-particle":"","parse-names":false,"suffix":""},{"dropping-particle":"","family":"Bettens","given":"K","non-dropping-particle":"","parse-names":false,"suffix":""},{"dropping-particle":"","family":"Rotter","given":"J I","non-dropping-particle":"","parse-names":false,"suffix":""},{"dropping-particle":"","family":"Brice","given":"A","non-dropping-particle":"","parse-names":false,"suffix":""},{"dropping-particle":"","family":"Morgan","given":"K","non-dropping-particle":"","parse-names":false,"suffix":""},{"dropping-particle":"","family":"Foroud","given":"T M","non-dropping-particle":"","parse-names":false,"suffix":""},{"dropping-particle":"","family":"Kukull","given":"W A","non-dropping-particle":"","parse-names":false,"suffix":""},{"dropping-particle":"","family":"Hannequin","given":"D","non-dropping-particle":"","parse-names":false,"suffix":""},{"dropping-particle":"","family":"Powell","given":"J F","non-dropping-particle":"","parse-names":false,"suffix":""},{"dropping-particle":"","family":"Nalls","given":"M A","non-dropping-particle":"","parse-names":false,"suffix":""},{"dropping-particle":"","family":"Ritchie","given":"K","non-dropping-particle":"","parse-names":false,"suffix":""},{"dropping-particle":"","family":"Lunetta","given":"K L","non-dropping-particle":"","parse-names":false,"suffix":""},{"dropping-particle":"","family":"Kauwe","given":"J S","non-dropping-particle":"","parse-names":false,"suffix":""},{"dropping-particle":"","family":"Boerwinkle","given":"E","non-dropping-particle":"","parse-names":false,"suffix":""},{"dropping-particle":"","family":"Riemenschneider","given":"M","non-dropping-particle":"","parse-names":false,"suffix":""},{"dropping-particle":"","family":"Boada","given":"M","non-dropping-particle":"","parse-names":false,"suffix":""},{"dropping-particle":"","family":"Hiltuenen","given":"M","non-dropping-particle":"","parse-names":false,"suffix":""},{"dropping-particle":"","family":"Martin","given":"E R","non-dropping-particle":"","parse-names":false,"suffix":""},{"dropping-particle":"","family":"Schmidt","given":"R","non-dropping-particle":"","parse-names":false,"suffix":""},{"dropping-particle":"","family":"Rujescu","given":"D","non-dropping-particle":"","parse-names":false,"suffix":""},{"dropping-particle":"","family":"Wang","given":"L S","non-dropping-particle":"","parse-names":false,"suffix":""},{"dropping-particle":"","family":"Dartigues","given":"J F","non-dropping-particle":"","parse-names":false,"suffix":""},{"dropping-particle":"","family":"Mayeux","given":"R","non-dropping-particle":"","parse-names":false,"suffix":""},{"dropping-particle":"","family":"Tzourio","given":"C","non-dropping-particle":"","parse-names":false,"suffix":""},{"dropping-particle":"","family":"Hofman","given":"A","non-dropping-particle":"","parse-names":false,"suffix":""},{"dropping-particle":"","family":"Nöthen","given":"M M","non-dropping-particle":"","parse-names":false,"suffix":""},{"dropping-particle":"","family":"Graff","given":"C","non-dropping-particle":"","parse-names":false,"suffix":""},{"dropping-particle":"","family":"Psaty","given":"B M","non-dropping-particle":"","parse-names":false,"suffix":""},{"dropping-particle":"","family":"Jones","given":"L","non-dropping-particle":"","parse-names":false,"suffix":""},{"dropping-particle":"","family":"Haines","given":"J L","non-dropping-particle":"","parse-names":false,"suffix":""},{"dropping-particle":"","family":"Holmans","given":"P A","non-dropping-particle":"","parse-names":false,"suffix":""},{"dropping-particle":"","family":"Lathrop","given":"M","non-dropping-particle":"","parse-names":false,"suffix":""},{"dropping-particle":"","family":"Pericak-Vance","given":"M A","non-dropping-particle":"","parse-names":false,"suffix":""},{"dropping-particle":"","family":"Launer","given":"L J","non-dropping-particle":"","parse-names":false,"suffix":""},{"dropping-particle":"","family":"Farrer","given":"L A","non-dropping-particle":"","parse-names":false,"suffix":""},{"dropping-particle":"","family":"Duijn","given":"C M","non-dropping-particle":"van","parse-names":false,"suffix":""},{"dropping-particle":"","family":"Broeckhoven","given":"C","non-dropping-particle":"Van","parse-names":false,"suffix":""},{"dropping-particle":"","family":"Moskvina","given":"V","non-dropping-particle":"","parse-names":false,"suffix":""},{"dropping-particle":"","family":"Seshadri","given":"S","non-dropping-particle":"","parse-names":false,"suffix":""},{"dropping-particle":"","family":"Williams","given":"J","non-dropping-particle":"","parse-names":false,"suffix":""},{"dropping-particle":"","family":"Schellenberg","given":"G D","non-dropping-particle":"","parse-names":false,"suffix":""},{"dropping-particle":"","family":"Amouyel","given":"P","non-dropping-particle":"","parse-names":false,"suffix":""}],"container-title":"Nature genetics","id":"ITEM-1","issue":"12","issued":{"date-parts":[["2013","12"]]},"page":"1452-8","title":"Meta-analysis of 74,046 individuals identifies 11 new susceptibility loci for Alzheimer's disease.","type":"article-journal","volume":"45"},"uris":["http://www.mendeley.com/documents/?uuid=2c570a66-6f5e-470f-9fdf-5eee852b7f80"]}],"mendeley":{"formattedCitation":"&lt;sup&gt;122&lt;/sup&gt;","plainTextFormattedCitation":"122","previouslyFormattedCitation":"&lt;sup&gt;122&lt;/sup&gt;"},"properties":{"noteIndex":0},"schema":"https://github.com/citation-style-language/schema/raw/master/csl-citation.json"}</w:instrText>
      </w:r>
      <w:r w:rsidR="008026FD" w:rsidRPr="0082680A">
        <w:rPr>
          <w:lang w:val="en-GB"/>
        </w:rPr>
        <w:fldChar w:fldCharType="separate"/>
      </w:r>
      <w:r w:rsidR="00426B19" w:rsidRPr="00426B19">
        <w:rPr>
          <w:noProof/>
          <w:vertAlign w:val="superscript"/>
          <w:lang w:val="en-GB"/>
        </w:rPr>
        <w:t>122</w:t>
      </w:r>
      <w:r w:rsidR="008026FD" w:rsidRPr="0082680A">
        <w:rPr>
          <w:lang w:val="en-GB"/>
        </w:rPr>
        <w:fldChar w:fldCharType="end"/>
      </w:r>
      <w:r w:rsidRPr="0082680A">
        <w:rPr>
          <w:lang w:val="en-GB"/>
        </w:rPr>
        <w:t xml:space="preserve">. Histologically, cells from patients with AD show two distinct proteinopathies; amyloid plaques and neurofibrillary tangles (NFT). In approximately one third of AD cases, TDP-43 pathology has been shown to localize within the NFTs, predominantly in the amygdala, hippocampus and dentate gyrus </w:t>
      </w:r>
      <w:r w:rsidR="008026FD" w:rsidRPr="0082680A">
        <w:rPr>
          <w:lang w:val="en-GB"/>
        </w:rPr>
        <w:fldChar w:fldCharType="begin" w:fldLock="1"/>
      </w:r>
      <w:r w:rsidR="000507BA">
        <w:rPr>
          <w:lang w:val="en-GB"/>
        </w:rPr>
        <w:instrText>ADDIN CSL_CITATION {"citationItems":[{"id":"ITEM-1","itemData":{"DOI":"10.1016/j.brainres.2007.09.048","ISSN":"0006-8993","PMID":"17963732","abstract":"TAR-DNA-binding protein 43 (TDP-43) has been identified as a major component protein of ubiquitin-positive inclusions in brains from patients with frontotemporal lobar degeneration with ubiquitin-positive inclusions (FTLD-U) and amyotrophic lateral sclerosis. To obtain the precise prevalence of TDP-43 pathology in neurodegenerative disorders, we examined brains from patients with tauopathies and synucleinopathies as well as FTLD-U using immunohistochemical analysis. Consequently, TDP-43-positive inclusions within neurons and oligodendroglia were found in brains from patients with Alzheimer's disease (AD) and dementia with Lewy bodies (DLB) in addition to FTLD-U, but not with Parkinson's disease, Pick's disease, progressive supranuclear palsy, corticobasal degeneration or FTDP-17. The amygdala and hippocampus that were vulnerable to tau or alpha-synuclein pathology demonstrated more severe TDP-43 pathology in AD and DLB cases than in FTLD-U cases. In contrast, in the frontal cortex and basal ganglia that were vulnerable to TDP-43 pathology in FTLD-U, TDP-43 pathology was not observed in AD and DLB cases. Thus, the neuroanatomical distribution of TDP-43 pathology in AD and DLB cases was obviously different from that in FTLD-U cases. Furthermore, a subset of TDP-43-positive inclusions co-existed with neurofibrillary tangles (NFTs) or Lewy bodies (LBs) in the same neurons. Upon double-immunofluorescent labeling analysis, TDP-43 was hardly superimposed with tau, while TDP-43 was partially superimposed with alpha-synuclein, suggesting that neither NFTs nor LBs themselves show TDP-43 immunoreactivity and that TDP-43 pathology found in this study may be related in some way to AD and LB pathology. This study will provide a more in-depth understanding of the various pathogenic pathways leading to neurodegenerative disorders.","author":[{"dropping-particle":"","family":"Higashi","given":"Shinji","non-dropping-particle":"","parse-names":false,"suffix":""},{"dropping-particle":"","family":"Iseki","given":"Eizo","non-dropping-particle":"","parse-names":false,"suffix":""},{"dropping-particle":"","family":"Yamamoto","given":"Ryoko","non-dropping-particle":"","parse-names":false,"suffix":""},{"dropping-particle":"","family":"Minegishi","given":"Michiko","non-dropping-particle":"","parse-names":false,"suffix":""},{"dropping-particle":"","family":"Hino","given":"Hiroaki","non-dropping-particle":"","parse-names":false,"suffix":""},{"dropping-particle":"","family":"Fujisawa","given":"Koshiro","non-dropping-particle":"","parse-names":false,"suffix":""},{"dropping-particle":"","family":"Togo","given":"Takashi","non-dropping-particle":"","parse-names":false,"suffix":""},{"dropping-particle":"","family":"Katsuse","given":"Omi","non-dropping-particle":"","parse-names":false,"suffix":""},{"dropping-particle":"","family":"Uchikado","given":"Hirotake","non-dropping-particle":"","parse-names":false,"suffix":""},{"dropping-particle":"","family":"Furukawa","given":"Yoshiko","non-dropping-particle":"","parse-names":false,"suffix":""},{"dropping-particle":"","family":"Kosaka","given":"Kenji","non-dropping-particle":"","parse-names":false,"suffix":""},{"dropping-particle":"","family":"Arai","given":"Heii","non-dropping-particle":"","parse-names":false,"suffix":""}],"container-title":"Brain research","id":"ITEM-1","issued":{"date-parts":[["2007","12","12"]]},"page":"284-94","title":"Concurrence of TDP-43, tau and alpha-synuclein pathology in brains of Alzheimer's disease and dementia with Lewy bodies.","type":"article-journal","volume":"1184"},"uris":["http://www.mendeley.com/documents/?uuid=2bdc42c0-3359-4d32-8d75-71531cee628c"]}],"mendeley":{"formattedCitation":"&lt;sup&gt;123&lt;/sup&gt;","plainTextFormattedCitation":"123","previouslyFormattedCitation":"&lt;sup&gt;123&lt;/sup&gt;"},"properties":{"noteIndex":0},"schema":"https://github.com/citation-style-language/schema/raw/master/csl-citation.json"}</w:instrText>
      </w:r>
      <w:r w:rsidR="008026FD" w:rsidRPr="0082680A">
        <w:rPr>
          <w:lang w:val="en-GB"/>
        </w:rPr>
        <w:fldChar w:fldCharType="separate"/>
      </w:r>
      <w:r w:rsidR="00426B19" w:rsidRPr="00426B19">
        <w:rPr>
          <w:noProof/>
          <w:vertAlign w:val="superscript"/>
          <w:lang w:val="en-GB"/>
        </w:rPr>
        <w:t>123</w:t>
      </w:r>
      <w:r w:rsidR="008026FD" w:rsidRPr="0082680A">
        <w:rPr>
          <w:lang w:val="en-GB"/>
        </w:rPr>
        <w:fldChar w:fldCharType="end"/>
      </w:r>
      <w:r w:rsidRPr="0082680A">
        <w:rPr>
          <w:lang w:val="en-GB"/>
        </w:rPr>
        <w:t>. There is no indication as to which patients will develop TDP-43 pathology.</w:t>
      </w:r>
    </w:p>
    <w:p w14:paraId="5436F621" w14:textId="6CF40C09" w:rsidR="00EB41E2" w:rsidRPr="0082680A" w:rsidRDefault="00EB41E2" w:rsidP="00842FD0">
      <w:pPr>
        <w:pStyle w:val="Heading4"/>
        <w:rPr>
          <w:lang w:val="en-GB"/>
        </w:rPr>
      </w:pPr>
      <w:bookmarkStart w:id="58" w:name="_nf7nbbbgvlii" w:colFirst="0" w:colLast="0"/>
      <w:bookmarkStart w:id="59" w:name="_Toc3211334"/>
      <w:bookmarkEnd w:id="58"/>
      <w:r w:rsidRPr="0082680A">
        <w:rPr>
          <w:lang w:val="en-GB"/>
        </w:rPr>
        <w:t>Parkinson’s Disease</w:t>
      </w:r>
      <w:bookmarkEnd w:id="59"/>
    </w:p>
    <w:p w14:paraId="5B8D2AE0" w14:textId="2C1499E0" w:rsidR="00EB41E2" w:rsidRPr="0082680A" w:rsidRDefault="00EB41E2" w:rsidP="00EB41E2">
      <w:pPr>
        <w:rPr>
          <w:lang w:val="en-GB"/>
        </w:rPr>
      </w:pPr>
      <w:r w:rsidRPr="0082680A">
        <w:rPr>
          <w:lang w:val="en-GB"/>
        </w:rPr>
        <w:t xml:space="preserve">Parkinson’s disease (PD) is a condition characterised by the loss of dopaminergic neurons in the substantia nigra; a region of the basal ganglia. The loss of dopaminergic function exhibits a symptomology of muscle tremors, rigidity, and slow movement. Neuropathology of PD is predominantly comprised of aggregations of the protein α-synuclein, however 7-19% of patients will also demonstrate TDP-43 pathology </w:t>
      </w:r>
      <w:r w:rsidR="008026FD" w:rsidRPr="0082680A">
        <w:rPr>
          <w:lang w:val="en-GB"/>
        </w:rPr>
        <w:fldChar w:fldCharType="begin" w:fldLock="1"/>
      </w:r>
      <w:r w:rsidR="000507BA">
        <w:rPr>
          <w:lang w:val="en-GB"/>
        </w:rPr>
        <w:instrText>ADDIN CSL_CITATION {"citationItems":[{"id":"ITEM-1","itemData":{"DOI":"10.1007/s00401-007-0261-2","ISSN":"0001-6322","author":[{"dropping-particle":"","family":"Nakashima-Yasuda","given":"Hanae","non-dropping-particle":"","parse-names":false,"suffix":""},{"dropping-particle":"","family":"Uryu","given":"Kunihiro","non-dropping-particle":"","parse-names":false,"suffix":""},{"dropping-particle":"","family":"Robinson","given":"John","non-dropping-particle":"","parse-names":false,"suffix":""},{"dropping-particle":"","family":"Xie","given":"Sharon X.","non-dropping-particle":"","parse-names":false,"suffix":""},{"dropping-particle":"","family":"Hurtig","given":"Howard","non-dropping-particle":"","parse-names":false,"suffix":""},{"dropping-particle":"","family":"Duda","given":"John E.","non-dropping-particle":"","parse-names":false,"suffix":""},{"dropping-particle":"","family":"Arnold","given":"Steven E.","non-dropping-particle":"","parse-names":false,"suffix":""},{"dropping-particle":"","family":"Siderowf","given":"Andrew","non-dropping-particle":"","parse-names":false,"suffix":""},{"dropping-particle":"","family":"Grossman","given":"Murray","non-dropping-particle":"","parse-names":false,"suffix":""},{"dropping-particle":"","family":"Leverenz","given":"James B.","non-dropping-particle":"","parse-names":false,"suffix":""},{"dropping-particle":"","family":"Woltjer","given":"Randy","non-dropping-particle":"","parse-names":false,"suffix":""},{"dropping-particle":"","family":"Lopez","given":"Oscar L.","non-dropping-particle":"","parse-names":false,"suffix":""},{"dropping-particle":"","family":"Hamilton","given":"Ronald","non-dropping-particle":"","parse-names":false,"suffix":""},{"dropping-particle":"","family":"Tsuang","given":"Debby W.","non-dropping-particle":"","parse-names":false,"suffix":""},{"dropping-particle":"","family":"Galasko","given":"Douglas","non-dropping-particle":"","parse-names":false,"suffix":""},{"dropping-particle":"","family":"Masliah","given":"Eliezer","non-dropping-particle":"","parse-names":false,"suffix":""},{"dropping-particle":"","family":"Kaye","given":"Jeffrey","non-dropping-particle":"","parse-names":false,"suffix":""},{"dropping-particle":"","family":"Clark","given":"Christopher M.","non-dropping-particle":"","parse-names":false,"suffix":""},{"dropping-particle":"","family":"Montine","given":"Thomas J.","non-dropping-particle":"","parse-names":false,"suffix":""},{"dropping-particle":"","family":"Lee","given":"Virginia M. -Y.","non-dropping-particle":"","parse-names":false,"suffix":""},{"dropping-particle":"","family":"Trojanowski","given":"John Q.","non-dropping-particle":"","parse-names":false,"suffix":""}],"container-title":"Acta Neuropathologica","id":"ITEM-1","issue":"3","issued":{"date-parts":[["2007","8","3"]]},"page":"221-229","publisher":"Springer-Verlag","title":"Co-morbidity of TDP-43 proteinopathy in Lewy body related diseases","type":"article-journal","volume":"114"},"uris":["http://www.mendeley.com/documents/?uuid=a570046d-94d5-3ca5-9fc9-cc7aa1a7918a"]}],"mendeley":{"formattedCitation":"&lt;sup&gt;124&lt;/sup&gt;","plainTextFormattedCitation":"124","previouslyFormattedCitation":"&lt;sup&gt;124&lt;/sup&gt;"},"properties":{"noteIndex":0},"schema":"https://github.com/citation-style-language/schema/raw/master/csl-citation.json"}</w:instrText>
      </w:r>
      <w:r w:rsidR="008026FD" w:rsidRPr="0082680A">
        <w:rPr>
          <w:lang w:val="en-GB"/>
        </w:rPr>
        <w:fldChar w:fldCharType="separate"/>
      </w:r>
      <w:r w:rsidR="00426B19" w:rsidRPr="00426B19">
        <w:rPr>
          <w:noProof/>
          <w:vertAlign w:val="superscript"/>
          <w:lang w:val="en-GB"/>
        </w:rPr>
        <w:t>124</w:t>
      </w:r>
      <w:r w:rsidR="008026FD" w:rsidRPr="0082680A">
        <w:rPr>
          <w:lang w:val="en-GB"/>
        </w:rPr>
        <w:fldChar w:fldCharType="end"/>
      </w:r>
      <w:r w:rsidRPr="0082680A">
        <w:rPr>
          <w:lang w:val="en-GB"/>
        </w:rPr>
        <w:t>. Interestingly, the prevalence of TDP-43 pathology increased if patients exhibited dementia symptoms.</w:t>
      </w:r>
    </w:p>
    <w:p w14:paraId="51B2B9E0" w14:textId="02F43078" w:rsidR="00EB41E2" w:rsidRPr="0082680A" w:rsidRDefault="00EB41E2" w:rsidP="00842FD0">
      <w:pPr>
        <w:pStyle w:val="Heading4"/>
        <w:rPr>
          <w:lang w:val="en-GB"/>
        </w:rPr>
      </w:pPr>
      <w:bookmarkStart w:id="60" w:name="_v55896qx39mp" w:colFirst="0" w:colLast="0"/>
      <w:bookmarkStart w:id="61" w:name="_Toc3211335"/>
      <w:bookmarkEnd w:id="60"/>
      <w:r w:rsidRPr="0082680A">
        <w:rPr>
          <w:lang w:val="en-GB"/>
        </w:rPr>
        <w:t>Lewy Body Dementia</w:t>
      </w:r>
      <w:bookmarkEnd w:id="61"/>
    </w:p>
    <w:p w14:paraId="5091B2CC" w14:textId="56E669D3" w:rsidR="00EB41E2" w:rsidRPr="0082680A" w:rsidRDefault="00EB41E2" w:rsidP="00EB41E2">
      <w:pPr>
        <w:rPr>
          <w:lang w:val="en-GB"/>
        </w:rPr>
      </w:pPr>
      <w:r w:rsidRPr="0082680A">
        <w:rPr>
          <w:lang w:val="en-GB"/>
        </w:rPr>
        <w:t xml:space="preserve">Lewy body dementia (LBD) is sometimes considered a hybrid of Alzheimer’s and Parkinson’s diseases, due to the presence </w:t>
      </w:r>
      <w:proofErr w:type="spellStart"/>
      <w:r w:rsidR="005443C9">
        <w:rPr>
          <w:lang w:val="en-GB"/>
        </w:rPr>
        <w:t>et</w:t>
      </w:r>
      <w:r w:rsidRPr="0082680A">
        <w:rPr>
          <w:lang w:val="en-GB"/>
        </w:rPr>
        <w:t>of</w:t>
      </w:r>
      <w:proofErr w:type="spellEnd"/>
      <w:r w:rsidRPr="0082680A">
        <w:rPr>
          <w:lang w:val="en-GB"/>
        </w:rPr>
        <w:t xml:space="preserve"> AD psychological symptomology and Lewy bodies. Lewy bodies are aggregations of proteins alpha-synuclein and ubiquitin, </w:t>
      </w:r>
      <w:r w:rsidRPr="0082680A">
        <w:rPr>
          <w:lang w:val="en-GB"/>
        </w:rPr>
        <w:lastRenderedPageBreak/>
        <w:t xml:space="preserve">and in 45% of cases, TDP-43 </w:t>
      </w:r>
      <w:r w:rsidR="008026FD" w:rsidRPr="0082680A">
        <w:rPr>
          <w:lang w:val="en-GB"/>
        </w:rPr>
        <w:fldChar w:fldCharType="begin" w:fldLock="1"/>
      </w:r>
      <w:r w:rsidR="000507BA">
        <w:rPr>
          <w:lang w:val="en-GB"/>
        </w:rPr>
        <w:instrText>ADDIN CSL_CITATION {"citationItems":[{"id":"ITEM-1","itemData":{"DOI":"10.1016/j.brainres.2007.09.048","ISSN":"0006-8993","PMID":"17963732","abstract":"TAR-DNA-binding protein 43 (TDP-43) has been identified as a major component protein of ubiquitin-positive inclusions in brains from patients with frontotemporal lobar degeneration with ubiquitin-positive inclusions (FTLD-U) and amyotrophic lateral sclerosis. To obtain the precise prevalence of TDP-43 pathology in neurodegenerative disorders, we examined brains from patients with tauopathies and synucleinopathies as well as FTLD-U using immunohistochemical analysis. Consequently, TDP-43-positive inclusions within neurons and oligodendroglia were found in brains from patients with Alzheimer's disease (AD) and dementia with Lewy bodies (DLB) in addition to FTLD-U, but not with Parkinson's disease, Pick's disease, progressive supranuclear palsy, corticobasal degeneration or FTDP-17. The amygdala and hippocampus that were vulnerable to tau or alpha-synuclein pathology demonstrated more severe TDP-43 pathology in AD and DLB cases than in FTLD-U cases. In contrast, in the frontal cortex and basal ganglia that were vulnerable to TDP-43 pathology in FTLD-U, TDP-43 pathology was not observed in AD and DLB cases. Thus, the neuroanatomical distribution of TDP-43 pathology in AD and DLB cases was obviously different from that in FTLD-U cases. Furthermore, a subset of TDP-43-positive inclusions co-existed with neurofibrillary tangles (NFTs) or Lewy bodies (LBs) in the same neurons. Upon double-immunofluorescent labeling analysis, TDP-43 was hardly superimposed with tau, while TDP-43 was partially superimposed with alpha-synuclein, suggesting that neither NFTs nor LBs themselves show TDP-43 immunoreactivity and that TDP-43 pathology found in this study may be related in some way to AD and LB pathology. This study will provide a more in-depth understanding of the various pathogenic pathways leading to neurodegenerative disorders.","author":[{"dropping-particle":"","family":"Higashi","given":"Shinji","non-dropping-particle":"","parse-names":false,"suffix":""},{"dropping-particle":"","family":"Iseki","given":"Eizo","non-dropping-particle":"","parse-names":false,"suffix":""},{"dropping-particle":"","family":"Yamamoto","given":"Ryoko","non-dropping-particle":"","parse-names":false,"suffix":""},{"dropping-particle":"","family":"Minegishi","given":"Michiko","non-dropping-particle":"","parse-names":false,"suffix":""},{"dropping-particle":"","family":"Hino","given":"Hiroaki","non-dropping-particle":"","parse-names":false,"suffix":""},{"dropping-particle":"","family":"Fujisawa","given":"Koshiro","non-dropping-particle":"","parse-names":false,"suffix":""},{"dropping-particle":"","family":"Togo","given":"Takashi","non-dropping-particle":"","parse-names":false,"suffix":""},{"dropping-particle":"","family":"Katsuse","given":"Omi","non-dropping-particle":"","parse-names":false,"suffix":""},{"dropping-particle":"","family":"Uchikado","given":"Hirotake","non-dropping-particle":"","parse-names":false,"suffix":""},{"dropping-particle":"","family":"Furukawa","given":"Yoshiko","non-dropping-particle":"","parse-names":false,"suffix":""},{"dropping-particle":"","family":"Kosaka","given":"Kenji","non-dropping-particle":"","parse-names":false,"suffix":""},{"dropping-particle":"","family":"Arai","given":"Heii","non-dropping-particle":"","parse-names":false,"suffix":""}],"container-title":"Brain research","id":"ITEM-1","issued":{"date-parts":[["2007","12","12"]]},"page":"284-94","title":"Concurrence of TDP-43, tau and alpha-synuclein pathology in brains of Alzheimer's disease and dementia with Lewy bodies.","type":"article-journal","volume":"1184"},"uris":["http://www.mendeley.com/documents/?uuid=2bdc42c0-3359-4d32-8d75-71531cee628c"]}],"mendeley":{"formattedCitation":"&lt;sup&gt;123&lt;/sup&gt;","plainTextFormattedCitation":"123","previouslyFormattedCitation":"&lt;sup&gt;123&lt;/sup&gt;"},"properties":{"noteIndex":0},"schema":"https://github.com/citation-style-language/schema/raw/master/csl-citation.json"}</w:instrText>
      </w:r>
      <w:r w:rsidR="008026FD" w:rsidRPr="0082680A">
        <w:rPr>
          <w:lang w:val="en-GB"/>
        </w:rPr>
        <w:fldChar w:fldCharType="separate"/>
      </w:r>
      <w:r w:rsidR="00426B19" w:rsidRPr="00426B19">
        <w:rPr>
          <w:noProof/>
          <w:vertAlign w:val="superscript"/>
          <w:lang w:val="en-GB"/>
        </w:rPr>
        <w:t>123</w:t>
      </w:r>
      <w:r w:rsidR="008026FD" w:rsidRPr="0082680A">
        <w:rPr>
          <w:lang w:val="en-GB"/>
        </w:rPr>
        <w:fldChar w:fldCharType="end"/>
      </w:r>
      <w:r w:rsidRPr="0082680A">
        <w:rPr>
          <w:lang w:val="en-GB"/>
        </w:rPr>
        <w:t xml:space="preserve">. As in AD, inclusions in LBD were localized to midbrain areas but not the cortex, which contrasts with pathology identified in other TDP-43 proteinopathies, such as FTLD and ALS. </w:t>
      </w:r>
    </w:p>
    <w:p w14:paraId="00850F95" w14:textId="47FFF7E3" w:rsidR="00EB41E2" w:rsidRPr="0082680A" w:rsidRDefault="00EB41E2" w:rsidP="00842FD0">
      <w:pPr>
        <w:pStyle w:val="Heading4"/>
        <w:rPr>
          <w:lang w:val="en-GB"/>
        </w:rPr>
      </w:pPr>
      <w:bookmarkStart w:id="62" w:name="_pmrurgugu019" w:colFirst="0" w:colLast="0"/>
      <w:bookmarkStart w:id="63" w:name="_Toc3211336"/>
      <w:bookmarkEnd w:id="62"/>
      <w:r w:rsidRPr="0082680A">
        <w:rPr>
          <w:lang w:val="en-GB"/>
        </w:rPr>
        <w:t>Parkinsonism-Dementia Complex of Guam</w:t>
      </w:r>
      <w:bookmarkEnd w:id="63"/>
    </w:p>
    <w:p w14:paraId="0BB387F2" w14:textId="6B8A498A" w:rsidR="00EB41E2" w:rsidRPr="0082680A" w:rsidRDefault="00EB41E2" w:rsidP="00EB41E2">
      <w:pPr>
        <w:rPr>
          <w:lang w:val="en-GB"/>
        </w:rPr>
      </w:pPr>
      <w:r w:rsidRPr="0082680A">
        <w:rPr>
          <w:lang w:val="en-GB"/>
        </w:rPr>
        <w:t xml:space="preserve">In 1954, a paper was published in the United States Armed Forces Medical Journal documenting a surprisingly high prevalence of Parkinsonism with dementia in the Chamorro people of Guam </w:t>
      </w:r>
      <w:r w:rsidR="008026FD" w:rsidRPr="0082680A">
        <w:rPr>
          <w:lang w:val="en-GB"/>
        </w:rPr>
        <w:fldChar w:fldCharType="begin" w:fldLock="1"/>
      </w:r>
      <w:r w:rsidR="000507BA">
        <w:rPr>
          <w:lang w:val="en-GB"/>
        </w:rPr>
        <w:instrText>ADDIN CSL_CITATION {"citationItems":[{"id":"ITEM-1","itemData":{"ISSN":"0566-0777","PMID":"13217119","author":[{"dropping-particle":"","family":"Mulder","given":"D W","non-dropping-particle":"","parse-names":false,"suffix":""},{"dropping-particle":"","family":"Kurland","given":"L T","non-dropping-particle":"","parse-names":false,"suffix":""},{"dropping-particle":"","family":"Iriarte","given":"L L","non-dropping-particle":"","parse-names":false,"suffix":""}],"container-title":"United States Armed Forces Medical Journal","id":"ITEM-1","issue":"12","issued":{"date-parts":[["1954","12"]]},"page":"1724-39","title":"Neurologic diseases on the island of Guam.","type":"article-journal","volume":"5"},"uris":["http://www.mendeley.com/documents/?uuid=276b9115-f67e-3dcf-8148-16abb17e84b2"]}],"mendeley":{"formattedCitation":"&lt;sup&gt;125&lt;/sup&gt;","plainTextFormattedCitation":"125","previouslyFormattedCitation":"&lt;sup&gt;125&lt;/sup&gt;"},"properties":{"noteIndex":0},"schema":"https://github.com/citation-style-language/schema/raw/master/csl-citation.json"}</w:instrText>
      </w:r>
      <w:r w:rsidR="008026FD" w:rsidRPr="0082680A">
        <w:rPr>
          <w:lang w:val="en-GB"/>
        </w:rPr>
        <w:fldChar w:fldCharType="separate"/>
      </w:r>
      <w:r w:rsidR="00426B19" w:rsidRPr="00426B19">
        <w:rPr>
          <w:noProof/>
          <w:vertAlign w:val="superscript"/>
          <w:lang w:val="en-GB"/>
        </w:rPr>
        <w:t>125</w:t>
      </w:r>
      <w:r w:rsidR="008026FD" w:rsidRPr="0082680A">
        <w:rPr>
          <w:lang w:val="en-GB"/>
        </w:rPr>
        <w:fldChar w:fldCharType="end"/>
      </w:r>
      <w:r w:rsidRPr="0082680A">
        <w:rPr>
          <w:lang w:val="en-GB"/>
        </w:rPr>
        <w:t xml:space="preserve">. Subsequent decades of research revealed the individuals suffered from a mixture of the physical effects of PD, paired with the cognitive deficits associated with dementia. The neuropathology of Parkinsonism-Dementia Complex (PDC) is complicated, resembling a mixture of ALS, FTLD, AD and PD pathology. Of the small numbers of PDC patients whose tissue has been analysed, aggregations positively identified are tau, ubiquitin, Aβ, α-synuclein and TDP-43, though not all necessarily co-localise </w:t>
      </w:r>
      <w:r w:rsidR="008026FD" w:rsidRPr="0082680A">
        <w:rPr>
          <w:lang w:val="en-GB"/>
        </w:rPr>
        <w:fldChar w:fldCharType="begin" w:fldLock="1"/>
      </w:r>
      <w:r w:rsidR="000507BA">
        <w:rPr>
          <w:lang w:val="en-GB"/>
        </w:rPr>
        <w:instrText>ADDIN CSL_CITATION {"citationItems":[{"id":"ITEM-1","itemData":{"DOI":"10.1093/brain/awm065","ISSN":"0006-8950","author":[{"dropping-particle":"","family":"Hasegawa","given":"M.","non-dropping-particle":"","parse-names":false,"suffix":""},{"dropping-particle":"","family":"Arai","given":"T.","non-dropping-particle":"","parse-names":false,"suffix":""},{"dropping-particle":"","family":"Akiyama","given":"H.","non-dropping-particle":"","parse-names":false,"suffix":""},{"dropping-particle":"","family":"Nonaka","given":"T.","non-dropping-particle":"","parse-names":false,"suffix":""},{"dropping-particle":"","family":"Mori","given":"H.","non-dropping-particle":"","parse-names":false,"suffix":""},{"dropping-particle":"","family":"Hashimoto","given":"T.","non-dropping-particle":"","parse-names":false,"suffix":""},{"dropping-particle":"","family":"Yamazaki","given":"M.","non-dropping-particle":"","parse-names":false,"suffix":""},{"dropping-particle":"","family":"Oyanagi","given":"K.","non-dropping-particle":"","parse-names":false,"suffix":""}],"container-title":"Brain","id":"ITEM-1","issue":"5","issued":{"date-parts":[["2007","4","2"]]},"page":"1386-1394","publisher":"Oxford University Press","title":"TDP-43 is deposited in the Guam parkinsonism-dementia complex brains","type":"article-journal","volume":"130"},"uris":["http://www.mendeley.com/documents/?uuid=e7e3d0b5-e616-3792-bb9c-530a3aa4f2cd"]},{"id":"ITEM-2","itemData":{"DOI":"10.1007/s00401-007-0257-y","ISSN":"0001-6322","author":[{"dropping-particle":"","family":"Geser","given":"Felix","non-dropping-particle":"","parse-names":false,"suffix":""},{"dropping-particle":"","family":"Winton","given":"Matthew J.","non-dropping-particle":"","parse-names":false,"suffix":""},{"dropping-particle":"","family":"Kwong","given":"Linda K.","non-dropping-particle":"","parse-names":false,"suffix":""},{"dropping-particle":"","family":"Xu","given":"Yan","non-dropping-particle":"","parse-names":false,"suffix":""},{"dropping-particle":"","family":"Xie","given":"Sharon X.","non-dropping-particle":"","parse-names":false,"suffix":""},{"dropping-particle":"","family":"Igaz","given":"Lionel M.","non-dropping-particle":"","parse-names":false,"suffix":""},{"dropping-particle":"","family":"Garruto","given":"Ralph M.","non-dropping-particle":"","parse-names":false,"suffix":""},{"dropping-particle":"","family":"Perl","given":"Daniel P.","non-dropping-particle":"","parse-names":false,"suffix":""},{"dropping-particle":"","family":"Galasko","given":"Douglas","non-dropping-particle":"","parse-names":false,"suffix":""},{"dropping-particle":"","family":"Lee","given":"Virginia M.-Y.","non-dropping-particle":"","parse-names":false,"suffix":""},{"dropping-particle":"","family":"Trojanowski","given":"John Q.","non-dropping-particle":"","parse-names":false,"suffix":""}],"container-title":"Acta Neuropathologica","id":"ITEM-2","issue":"1","issued":{"date-parts":[["2007","11","29"]]},"page":"133-145","publisher":"Springer-Verlag","title":"Pathological TDP-43 in parkinsonism–dementia complex and amyotrophic lateral sclerosis of Guam","type":"article-journal","volume":"115"},"uris":["http://www.mendeley.com/documents/?uuid=34f498d4-1863-3e1a-ba75-adb6ec4386ee"]},{"id":"ITEM-3","itemData":{"DOI":"10.1007/s00401-008-0439-2","ISSN":"0001-6322","author":[{"dropping-particle":"","family":"Miklossy","given":"Judith","non-dropping-particle":"","parse-names":false,"suffix":""},{"dropping-particle":"","family":"Steele","given":"John C.","non-dropping-particle":"","parse-names":false,"suffix":""},{"dropping-particle":"","family":"Yu","given":"Sheng","non-dropping-particle":"","parse-names":false,"suffix":""},{"dropping-particle":"","family":"McCall","given":"Sherman","non-dropping-particle":"","parse-names":false,"suffix":""},{"dropping-particle":"","family":"Sandberg","given":"Glenn","non-dropping-particle":"","parse-names":false,"suffix":""},{"dropping-particle":"","family":"McGeer","given":"Edith G.","non-dropping-particle":"","parse-names":false,"suffix":""},{"dropping-particle":"","family":"McGeer","given":"Patrick L.","non-dropping-particle":"","parse-names":false,"suffix":""}],"container-title":"Acta Neuropathologica","id":"ITEM-3","issue":"6","issued":{"date-parts":[["2008","12","9"]]},"page":"625-637","publisher":"Springer-Verlag","title":"Enduring involvement of tau, β-amyloid, α-synuclein, ubiquitin and TDP-43 pathology in the amyotrophic lateral sclerosis/parkinsonism–dementia complex of Guam (ALS/PDC)","type":"article-journal","volume":"116"},"uris":["http://www.mendeley.com/documents/?uuid=1cec9638-d3c0-3cc9-9d51-d27947b85442"]}],"mendeley":{"formattedCitation":"&lt;sup&gt;126–128&lt;/sup&gt;","plainTextFormattedCitation":"126–128","previouslyFormattedCitation":"&lt;sup&gt;126–128&lt;/sup&gt;"},"properties":{"noteIndex":0},"schema":"https://github.com/citation-style-language/schema/raw/master/csl-citation.json"}</w:instrText>
      </w:r>
      <w:r w:rsidR="008026FD" w:rsidRPr="0082680A">
        <w:rPr>
          <w:lang w:val="en-GB"/>
        </w:rPr>
        <w:fldChar w:fldCharType="separate"/>
      </w:r>
      <w:r w:rsidR="00426B19" w:rsidRPr="00426B19">
        <w:rPr>
          <w:noProof/>
          <w:vertAlign w:val="superscript"/>
          <w:lang w:val="en-GB"/>
        </w:rPr>
        <w:t>126–128</w:t>
      </w:r>
      <w:r w:rsidR="008026FD" w:rsidRPr="0082680A">
        <w:rPr>
          <w:lang w:val="en-GB"/>
        </w:rPr>
        <w:fldChar w:fldCharType="end"/>
      </w:r>
      <w:r w:rsidRPr="0082680A">
        <w:rPr>
          <w:lang w:val="en-GB"/>
        </w:rPr>
        <w:t>. As of yet, all PDC patients exhibit some form of TDP-43 aggregation.</w:t>
      </w:r>
    </w:p>
    <w:p w14:paraId="017306F7" w14:textId="0A8FC186" w:rsidR="00EB41E2" w:rsidRPr="0082680A" w:rsidRDefault="00EB41E2" w:rsidP="00842FD0">
      <w:pPr>
        <w:pStyle w:val="Heading4"/>
        <w:rPr>
          <w:lang w:val="en-GB"/>
        </w:rPr>
      </w:pPr>
      <w:bookmarkStart w:id="64" w:name="_kxjpbgt3ez6e" w:colFirst="0" w:colLast="0"/>
      <w:bookmarkStart w:id="65" w:name="_Toc3211337"/>
      <w:bookmarkEnd w:id="64"/>
      <w:r w:rsidRPr="0082680A">
        <w:rPr>
          <w:lang w:val="en-GB"/>
        </w:rPr>
        <w:t>Huntington’s Disease</w:t>
      </w:r>
      <w:bookmarkEnd w:id="65"/>
    </w:p>
    <w:p w14:paraId="34DEEB9D" w14:textId="0D0ACC60" w:rsidR="00EB41E2" w:rsidRPr="0082680A" w:rsidRDefault="00EB41E2" w:rsidP="00EB41E2">
      <w:pPr>
        <w:rPr>
          <w:lang w:val="en-GB"/>
        </w:rPr>
      </w:pPr>
      <w:r w:rsidRPr="0082680A">
        <w:rPr>
          <w:lang w:val="en-GB"/>
        </w:rPr>
        <w:t xml:space="preserve">Like PD, Huntington’s Disease (HD) is a neurodegenerative condition predominantly affecting the basal ganglia. In HD however, neurodegeneration can spread to the cortex, hippocampus, and cerebellum </w:t>
      </w:r>
      <w:r w:rsidR="00526405" w:rsidRPr="0082680A">
        <w:rPr>
          <w:lang w:val="en-GB"/>
        </w:rPr>
        <w:fldChar w:fldCharType="begin" w:fldLock="1"/>
      </w:r>
      <w:r w:rsidR="000507BA">
        <w:rPr>
          <w:lang w:val="en-GB"/>
        </w:rPr>
        <w:instrText>ADDIN CSL_CITATION {"citationItems":[{"id":"ITEM-1","itemData":{"abstract":"We examined the distribution of neuropeptide Y immunoreactive local circuit neurons and nonphosphorylated neurofilament (SMI 32) immunoreactive pyramidal projection neurons in superior frontal cortex of patients with Huntington's disease and age-matched control subjects to determine the histological counterpart of increased neuropeptide Y and decreased glutamate concentrations previously found in the cortex of patients with Huntington's disease. We found no difference between the relative density of neuropeptide Y neurons in Huntington's disease and control brains in regions where the relative density of SMI 32 immunoreactive neurons was significantly reduced. Animal studies show that cortical local circuit neurons are resistant to N-methyl-Baspartate-type excitotoxins such as quinolinic acid. Relative sparing of neuropeptide Y neurons in cerebral cortex with Huntington's disease may, therefore , be a result of excessive N-methyl-Basparate receptor activation. Cudkowicz M, Kowall NW. Degeneration of pyramidal projection neurons in Huntington's disease cortex. Ann Neurol 1990;27:200-204 Huntington's disease (HD) is a hereditary neuro-degenerative disorder marked by progressive motor and behavioral disturbances [ 11. Postmortem microscopic examination characteristically shows neuronal loss and gliosis in the striatum [2). As would be expected, many neurochemical markers including dy-norphin, enkephalin, substance P, and gamma-ami-nobutyric acid (GABA) are depleted in striatum of patients with HD 11, 31. Aronin and others showed, however, that somatostatin concentration is markedly increased in the striatum of these patients, suggesting relative sparing of these neurons 141. Ferrante and associates and Dawburn and colleagues demonstrated sparing of NADPH-diaphorase-, somatostatin-, and neuropeptide Y (NPY)-containing neurons in HD striatum 15-71. These three neurochemical markers coexist in a subset of aspiny local circuit neurons in human striatum 181 and also frequently colocalize in human cerebral cortex 191. While striking and consistent pathological and neu-rochemical changes occur in striatum of patients with HD, there are conflicting observations regarding pathological involvement of the cerebral cortex. Recently, Bed and colleagues examined somatostatin and NPY concentrations in 24 areas of cerebral cortex from patients with H D and found significant increases in the levels of both peptides in the frontal and temporal isocortex 1101. Ellison and ot…","author":[{"dropping-particle":"","family":"Cudkowicz","given":"Merit","non-dropping-particle":"","parse-names":false,"suffix":""},{"dropping-particle":"","family":"Kowall","given":"Neil W","non-dropping-particle":"","parse-names":false,"suffix":""}],"id":"ITEM-1","issued":{"date-parts":[["1990"]]},"title":"Degeneration of Pyramidal Projection Neurons in Huntington's Disease Cortex","type":"report"},"uris":["http://www.mendeley.com/documents/?uuid=77e1d9e4-0721-3982-8d1d-2a97d7bab373"]},{"id":"ITEM-2","itemData":{"DOI":"10.1016/0304-3940(91)90583-F","ISSN":"0304-3940","abstract":"Neuronal loss in the cerebral cortex in Huntington's disease (HD) has not been well documented, nor has its laminar pattern been definitively established. We therefore counted neurons in individual cortical laminae in the dorsal frontal cortex of 5 HD and 5 control autopsy brains. Significant neuronal loss (to 57% of control, P = 0.002) was found in layer VI of HD brains. These cells project principally to the thalamus, the claustrum and other regions of cerebral cortex; thus their loss is unlikely to be the result of retrograde degeneration secondary to striatal pathology. Layer V neurons were also decreased (to 71% of control, P = 0.034). Degeneration of cerebral cortical neurons may be at least partly responsible for some of the non-choreic symptoms of HD, such as dementia, irritability, apathy, and depression.","author":[{"dropping-particle":"","family":"Hedreen","given":"John C.","non-dropping-particle":"","parse-names":false,"suffix":""},{"dropping-particle":"","family":"Peyser","given":"Carol E.","non-dropping-particle":"","parse-names":false,"suffix":""},{"dropping-particle":"","family":"Folstein","given":"Susan E.","non-dropping-particle":"","parse-names":false,"suffix":""},{"dropping-particle":"","family":"Ross","given":"Christopher A.","non-dropping-particle":"","parse-names":false,"suffix":""}],"container-title":"Neuroscience Letters","id":"ITEM-2","issue":"2","issued":{"date-parts":[["1991","12","9"]]},"page":"257-261","publisher":"Elsevier","title":"Neuronal loss in layers V and VI of cerebral cortex in Huntington's disease","type":"article-journal","volume":"133"},"uris":["http://www.mendeley.com/documents/?uuid=65e0d6a7-e459-32c6-b1f1-a28758542328"]},{"id":"ITEM-3","itemData":{"DOI":"10.1136/jnnp.56.5.487","abstract":"The hippocampus is usually affected in primary dementias and the pathological changes may be severe. Knowledge of hippocampal pathology in HIV infection and Huntington's disease (HD), however , is extremely limited. A stereologi-cal technique (the optical \"disector\") has been used to assess neuronal populations in four areas of the hippocampus in 11 patients with HIV infection and in nine patients with HD. The HIV patients died without opportunistic infections or neo-plasms affecting the brain; they had HIV encephalitis or minimal changes. The HD cases were all clinically diagnosed, had a positive family history and showed the characteristic lesions in the caudate nucleus. The neuronal counts were compared with those in nine controls. In the granule cell layer of the dentate, CA3 and CA4, there was no significant difference in the neuronal numerical density between the three groups. A striking difference between the HIV and HD groups was seen in the CAl region. The neu-ronal numerical density in the CAl area was significantly lower in the HD patients than in either the HIV patients or the controls (mean (SD) 37 5 (5.0); 70-1 (13-4); 57.9 (15.4) x 103 per mm3, p &lt; 0001 (Students' t test)). This difference represents a neuronal loss of 35%. In all four hippocampal areas the neuronal density was higher in the HIV group than in the controls but the differences were not significant and can be explained by the higher average age of the control group. These findings contribute to the understanding of the mechanism of dementia in both AIDS and in Huntington's disease.","author":[{"dropping-particle":"","family":"Spargo","given":"Edward","non-dropping-particle":"","parse-names":false,"suffix":""},{"dropping-particle":"","family":"Everall","given":"Ian P","non-dropping-particle":"","parse-names":false,"suffix":""},{"dropping-particle":"","family":"Lantos","given":"Peter L","non-dropping-particle":"","parse-names":false,"suffix":""},{"dropping-particle":"","family":"Everall P L Lantos","given":"I P","non-dropping-particle":"","parse-names":false,"suffix":""},{"dropping-particle":"","family":"Spargo","given":"E","non-dropping-particle":"","parse-names":false,"suffix":""}],"container-title":"Neurol Neurosurg Psychiatry","id":"ITEM-3","issue":"3","issued":{"date-parts":[["1993"]]},"page":"487-491","title":"Neuronal loss in the hippocampus in Huntington's disease: a comparison with HIV infection","type":"article-journal","volume":"56"},"uris":["http://www.mendeley.com/documents/?uuid=5eedecda-11d1-3104-b47b-a7c38e115a8e"]},{"id":"ITEM-4","itemData":{"DOI":"10.1016/0014-4886(84)90162-6","ISSN":"0014-4886","abstract":"We studied, in a “blind” and quantitative fashion, the density of cerebellar Purkinje cells in 17 adult cases of Huntington's disease (HD), 17 patients with other movement disorders, 17 with schizophrenia, and 23 normal controls. There was a highly significant reduction in Purkinje cell density in HD compared with any of the other three groups. A much smaller difference in neuronal density between patients with other movement disorders and normal controls was barely significant. Eight of the 17 HD patients and only 1 of the other 57 subjects had Purjinje cell density less than 50% of the mean for the normal controls. The low density of Purkinje cells in HD could not be attributed to aging, seizures, or cause of death, nor was it merely a part of a generalized brain atrophy. The loss of large Purkinje cells suggests that the neuronal loss in HD may not be restricted to small and medium-size neurons.","author":[{"dropping-particle":"V.","family":"Jeste","given":"Dilip","non-dropping-particle":"","parse-names":false,"suffix":""},{"dropping-particle":"","family":"Barban","given":"Lisa","non-dropping-particle":"","parse-names":false,"suffix":""},{"dropping-particle":"","family":"Parisi","given":"Joseph","non-dropping-particle":"","parse-names":false,"suffix":""}],"container-title":"Experimental Neurology","id":"ITEM-4","issue":"1","issued":{"date-parts":[["1984","7","1"]]},"page":"78-86","publisher":"Academic Press","title":"Reduced Purkinje cell density in Huntington's disease","type":"article-journal","volume":"85"},"uris":["http://www.mendeley.com/documents/?uuid=105dae45-0e76-3422-932b-b343f019686f"]}],"mendeley":{"formattedCitation":"&lt;sup&gt;129–132&lt;/sup&gt;","plainTextFormattedCitation":"129–132","previouslyFormattedCitation":"&lt;sup&gt;129–132&lt;/sup&gt;"},"properties":{"noteIndex":0},"schema":"https://github.com/citation-style-language/schema/raw/master/csl-citation.json"}</w:instrText>
      </w:r>
      <w:r w:rsidR="00526405" w:rsidRPr="0082680A">
        <w:rPr>
          <w:lang w:val="en-GB"/>
        </w:rPr>
        <w:fldChar w:fldCharType="separate"/>
      </w:r>
      <w:r w:rsidR="00426B19" w:rsidRPr="00426B19">
        <w:rPr>
          <w:noProof/>
          <w:vertAlign w:val="superscript"/>
          <w:lang w:val="en-GB"/>
        </w:rPr>
        <w:t>129–132</w:t>
      </w:r>
      <w:r w:rsidR="00526405" w:rsidRPr="0082680A">
        <w:rPr>
          <w:lang w:val="en-GB"/>
        </w:rPr>
        <w:fldChar w:fldCharType="end"/>
      </w:r>
      <w:r w:rsidRPr="0082680A">
        <w:rPr>
          <w:lang w:val="en-GB"/>
        </w:rPr>
        <w:t>. Symptoms are quite varied, but include uncontrolled movements (chorea), abnormal posture and facial expression, and difficulties eating and sleeping. Cognitive decline manifests as difficulties in executive function (planning, imagination, inhibition of inappropriate behaviour), and progresses to memory deficits.</w:t>
      </w:r>
    </w:p>
    <w:p w14:paraId="642CBE8B" w14:textId="77777777" w:rsidR="00526405" w:rsidRPr="0082680A" w:rsidRDefault="00526405" w:rsidP="00EB41E2">
      <w:pPr>
        <w:rPr>
          <w:lang w:val="en-GB"/>
        </w:rPr>
      </w:pPr>
    </w:p>
    <w:p w14:paraId="6701B8DE" w14:textId="0F892C9C" w:rsidR="00EB41E2" w:rsidRPr="0082680A" w:rsidRDefault="00EB41E2" w:rsidP="00EB41E2">
      <w:pPr>
        <w:rPr>
          <w:lang w:val="en-GB"/>
        </w:rPr>
      </w:pPr>
      <w:r w:rsidRPr="0082680A">
        <w:rPr>
          <w:lang w:val="en-GB"/>
        </w:rPr>
        <w:t xml:space="preserve">HD is caused by a CAG repeat mutation in the Huntingtin gene; non-affected individuals will contain between 7 and 35 repeats, with more than 40 invariably resulting in HD manifestation </w:t>
      </w:r>
      <w:r w:rsidR="00526405" w:rsidRPr="0082680A">
        <w:rPr>
          <w:lang w:val="en-GB"/>
        </w:rPr>
        <w:fldChar w:fldCharType="begin" w:fldLock="1"/>
      </w:r>
      <w:r w:rsidR="000507BA">
        <w:rPr>
          <w:lang w:val="en-GB"/>
        </w:rPr>
        <w:instrText>ADDIN CSL_CITATION {"citationItems":[{"id":"ITEM-1","itemData":{"DOI":"10.1038/ng0893-398","ISSN":"1061-4036","abstract":"The relationship between trinucleotide (CAG) repeat length and clinical features of Huntington's disease","author":[{"dropping-particle":"","family":"Andrew","given":"Susan E.","non-dropping-particle":"","parse-names":false,"suffix":""},{"dropping-particle":"","family":"Paul Goldberg","given":"Y.","non-dropping-particle":"","parse-names":false,"suffix":""},{"dropping-particle":"","family":"Kremer","given":"Berry","non-dropping-particle":"","parse-names":false,"suffix":""},{"dropping-particle":"","family":"Telenius","given":"Håkan","non-dropping-particle":"","parse-names":false,"suffix":""},{"dropping-particle":"","family":"Theilmann","given":"Jane","non-dropping-particle":"","parse-names":false,"suffix":""},{"dropping-particle":"","family":"Adam","given":"Shelin","non-dropping-particle":"","parse-names":false,"suffix":""},{"dropping-particle":"","family":"Starr","given":"Elizabeth","non-dropping-particle":"","parse-names":false,"suffix":""},{"dropping-particle":"","family":"Squitieri","given":"Ferdinando","non-dropping-particle":"","parse-names":false,"suffix":""},{"dropping-particle":"","family":"Lin","given":"Biaoyang","non-dropping-particle":"","parse-names":false,"suffix":""},{"dropping-particle":"","family":"Kalchman","given":"Michael A.","non-dropping-particle":"","parse-names":false,"suffix":""},{"dropping-particle":"","family":"Graham","given":"Rona K.","non-dropping-particle":"","parse-names":false,"suffix":""},{"dropping-particle":"","family":"Hayden","given":"Michael R.","non-dropping-particle":"","parse-names":false,"suffix":""}],"container-title":"Nature Genetics","id":"ITEM-1","issue":"4","issued":{"date-parts":[["1993","8","1"]]},"page":"398-403","publisher":"Nature Publishing Group","title":"The relationship between trinucleotide (CAG) repeat length and clinical features of Huntington's disease","type":"article-journal","volume":"4"},"uris":["http://www.mendeley.com/documents/?uuid=4ee28426-3e83-3c8b-bb70-55ee0f0c7092"]},{"id":"ITEM-2","itemData":{"DOI":"10.1038/ng0893-387","ISSN":"1061-4036","abstract":"Trinucleotide repeat length instability and age of onset in Huntington's disease","author":[{"dropping-particle":"","family":"Duyao","given":"M.","non-dropping-particle":"","parse-names":false,"suffix":""},{"dropping-particle":"","family":"Ambrose","given":"C.","non-dropping-particle":"","parse-names":false,"suffix":""},{"dropping-particle":"","family":"Myers","given":"R.","non-dropping-particle":"","parse-names":false,"suffix":""},{"dropping-particle":"","family":"Novelletto","given":"A.","non-dropping-particle":"","parse-names":false,"suffix":""},{"dropping-particle":"","family":"Persichetti","given":"F.","non-dropping-particle":"","parse-names":false,"suffix":""},{"dropping-particle":"","family":"Frontali","given":"M.","non-dropping-particle":"","parse-names":false,"suffix":""},{"dropping-particle":"","family":"Folstein","given":"S.","non-dropping-particle":"","parse-names":false,"suffix":""},{"dropping-particle":"","family":"Ross","given":"C.","non-dropping-particle":"","parse-names":false,"suffix":""},{"dropping-particle":"","family":"Franz","given":"M.","non-dropping-particle":"","parse-names":false,"suffix":""},{"dropping-particle":"","family":"Abbott","given":"M.","non-dropping-particle":"","parse-names":false,"suffix":""},{"dropping-particle":"","family":"Gray","given":"J.","non-dropping-particle":"","parse-names":false,"suffix":""},{"dropping-particle":"","family":"Conneally","given":"P.","non-dropping-particle":"","parse-names":false,"suffix":""},{"dropping-particle":"","family":"Young","given":"A.","non-dropping-particle":"","parse-names":false,"suffix":""},{"dropping-particle":"","family":"Penney","given":"J.","non-dropping-particle":"","parse-names":false,"suffix":""},{"dropping-particle":"","family":"Hollingsworth","given":"Z.","non-dropping-particle":"","parse-names":false,"suffix":""},{"dropping-particle":"","family":"Shoulson","given":"I.","non-dropping-particle":"","parse-names":false,"suffix":""},{"dropping-particle":"","family":"Lazzarini","given":"A.","non-dropping-particle":"","parse-names":false,"suffix":""},{"dropping-particle":"","family":"Falek","given":"A.","non-dropping-particle":"","parse-names":false,"suffix":""},{"dropping-particle":"","family":"Koroshetz","given":"W.","non-dropping-particle":"","parse-names":false,"suffix":""},{"dropping-particle":"","family":"Sax","given":"D.","non-dropping-particle":"","parse-names":false,"suffix":""},{"dropping-particle":"","family":"Bird","given":"E.","non-dropping-particle":"","parse-names":false,"suffix":""},{"dropping-particle":"","family":"Vonsattel","given":"J.","non-dropping-particle":"","parse-names":false,"suffix":""},{"dropping-particle":"","family":"Bonilla","given":"E.","non-dropping-particle":"","parse-names":false,"suffix":""},{"dropping-particle":"","family":"Alvir","given":"J.","non-dropping-particle":"","parse-names":false,"suffix":""},{"dropping-particle":"","family":"Bickham Conde","given":"J.","non-dropping-particle":"","parse-names":false,"suffix":""},{"dropping-particle":"","family":"Cha","given":"J.-H.","non-dropping-particle":"","parse-names":false,"suffix":""},{"dropping-particle":"","family":"Dure","given":"L.","non-dropping-particle":"","parse-names":false,"suffix":""},{"dropping-particle":"","family":"Gomez","given":"F.","non-dropping-particle":"","parse-names":false,"suffix":""},{"dropping-particle":"","family":"Ramos","given":"M.","non-dropping-particle":"","parse-names":false,"suffix":""},{"dropping-particle":"","family":"Sanchez-Ramos","given":"J.","non-dropping-particle":"","parse-names":false,"suffix":""},{"dropping-particle":"","family":"Snodgrass","given":"S.","non-dropping-particle":"","parse-names":false,"suffix":""},{"dropping-particle":"","family":"Young","given":"M.","non-dropping-particle":"de","parse-names":false,"suffix":""},{"dropping-particle":"","family":"Wexler","given":"N.","non-dropping-particle":"","parse-names":false,"suffix":""},{"dropping-particle":"","family":"Moscowitz","given":"C.","non-dropping-particle":"","parse-names":false,"suffix":""},{"dropping-particle":"","family":"Penchaszadeh","given":"G.","non-dropping-particle":"","parse-names":false,"suffix":""},{"dropping-particle":"","family":"MacFarlane","given":"H.","non-dropping-particle":"","parse-names":false,"suffix":""},{"dropping-particle":"","family":"Anderson","given":"M.","non-dropping-particle":"","parse-names":false,"suffix":""},{"dropping-particle":"","family":"Jenkins","given":"B.","non-dropping-particle":"","parse-names":false,"suffix":""},{"dropping-particle":"","family":"Srinidhi","given":"J.","non-dropping-particle":"","parse-names":false,"suffix":""},{"dropping-particle":"","family":"Barnes","given":"G.","non-dropping-particle":"","parse-names":false,"suffix":""},{"dropping-particle":"","family":"Gusella","given":"J.","non-dropping-particle":"","parse-names":false,"suffix":""},{"dropping-particle":"","family":"MacDonald","given":"M.","non-dropping-particle":"","parse-names":false,"suffix":""}],"container-title":"Nature Genetics","id":"ITEM-2","issue":"4","issued":{"date-parts":[["1993","8","1"]]},"page":"387-392","publisher":"Nature Publishing Group","title":"Trinucleotide repeat length instability and age of onset in Huntington's disease","type":"article-journal","volume":"4"},"uris":["http://www.mendeley.com/documents/?uuid=866b53a8-b93b-3ccf-888b-1f642fb64670"]}],"mendeley":{"formattedCitation":"&lt;sup&gt;133,134&lt;/sup&gt;","plainTextFormattedCitation":"133,134","previouslyFormattedCitation":"&lt;sup&gt;133,134&lt;/sup&gt;"},"properties":{"noteIndex":0},"schema":"https://github.com/citation-style-language/schema/raw/master/csl-citation.json"}</w:instrText>
      </w:r>
      <w:r w:rsidR="00526405" w:rsidRPr="0082680A">
        <w:rPr>
          <w:lang w:val="en-GB"/>
        </w:rPr>
        <w:fldChar w:fldCharType="separate"/>
      </w:r>
      <w:r w:rsidR="00426B19" w:rsidRPr="00426B19">
        <w:rPr>
          <w:noProof/>
          <w:vertAlign w:val="superscript"/>
          <w:lang w:val="en-GB"/>
        </w:rPr>
        <w:t>133,134</w:t>
      </w:r>
      <w:r w:rsidR="00526405" w:rsidRPr="0082680A">
        <w:rPr>
          <w:lang w:val="en-GB"/>
        </w:rPr>
        <w:fldChar w:fldCharType="end"/>
      </w:r>
      <w:r w:rsidRPr="0082680A">
        <w:rPr>
          <w:lang w:val="en-GB"/>
        </w:rPr>
        <w:t>. Pathology is characterised as cytoplasmic accumulations of the Huntingtin protein, HTT. Populations studied for the co</w:t>
      </w:r>
      <w:r w:rsidR="0026682D" w:rsidRPr="0082680A">
        <w:rPr>
          <w:lang w:val="en-GB"/>
        </w:rPr>
        <w:t>-</w:t>
      </w:r>
      <w:r w:rsidRPr="0082680A">
        <w:rPr>
          <w:lang w:val="en-GB"/>
        </w:rPr>
        <w:t xml:space="preserve">localisation of HTT and TDP-43 are small, but unanimously demonstrate the presence of TDP-43 pathology </w:t>
      </w:r>
      <w:r w:rsidR="00767DA3" w:rsidRPr="0082680A">
        <w:rPr>
          <w:lang w:val="en-GB"/>
        </w:rPr>
        <w:fldChar w:fldCharType="begin" w:fldLock="1"/>
      </w:r>
      <w:r w:rsidR="000507BA">
        <w:rPr>
          <w:lang w:val="en-GB"/>
        </w:rPr>
        <w:instrText>ADDIN CSL_CITATION {"citationItems":[{"id":"ITEM-1","itemData":{"DOI":"10.1097/NEN.0b013e31818e8951","ISSN":"0022-3069","author":[{"dropping-particle":"","family":"Schwab","given":"Claudia","non-dropping-particle":"","parse-names":false,"suffix":""},{"dropping-particle":"","family":"Arai","given":"Tetsuaki","non-dropping-particle":"","parse-names":false,"suffix":""},{"dropping-particle":"","family":"Hasegawa","given":"Masato","non-dropping-particle":"","parse-names":false,"suffix":""},{"dropping-particle":"","family":"Yu","given":"Sheng","non-dropping-particle":"","parse-names":false,"suffix":""},{"dropping-particle":"","family":"McGeer","given":"Patrick L.","non-dropping-particle":"","parse-names":false,"suffix":""}],"container-title":"Journal of Neuropathology &amp; Experimental Neurology","id":"ITEM-1","issue":"12","issued":{"date-parts":[["2008","12","1"]]},"page":"1159-1165","publisher":"Oxford University Press","title":"Colocalization of Transactivation-Responsive DNA-Binding Protein 43 and Huntingtin in Inclusions of Huntington Disease","type":"article-journal","volume":"67"},"uris":["http://www.mendeley.com/documents/?uuid=47f96191-39b3-3145-a5a7-25b01544bc71"]}],"mendeley":{"formattedCitation":"&lt;sup&gt;135&lt;/sup&gt;","plainTextFormattedCitation":"135","previouslyFormattedCitation":"&lt;sup&gt;135&lt;/sup&gt;"},"properties":{"noteIndex":0},"schema":"https://github.com/citation-style-language/schema/raw/master/csl-citation.json"}</w:instrText>
      </w:r>
      <w:r w:rsidR="00767DA3" w:rsidRPr="0082680A">
        <w:rPr>
          <w:lang w:val="en-GB"/>
        </w:rPr>
        <w:fldChar w:fldCharType="separate"/>
      </w:r>
      <w:r w:rsidR="00426B19" w:rsidRPr="00426B19">
        <w:rPr>
          <w:noProof/>
          <w:vertAlign w:val="superscript"/>
          <w:lang w:val="en-GB"/>
        </w:rPr>
        <w:t>135</w:t>
      </w:r>
      <w:r w:rsidR="00767DA3" w:rsidRPr="0082680A">
        <w:rPr>
          <w:lang w:val="en-GB"/>
        </w:rPr>
        <w:fldChar w:fldCharType="end"/>
      </w:r>
      <w:r w:rsidRPr="0082680A">
        <w:rPr>
          <w:lang w:val="en-GB"/>
        </w:rPr>
        <w:t>.</w:t>
      </w:r>
    </w:p>
    <w:p w14:paraId="481E0DA4" w14:textId="77777777" w:rsidR="00EB41E2" w:rsidRPr="0082680A" w:rsidRDefault="00EB41E2" w:rsidP="00691215">
      <w:pPr>
        <w:pStyle w:val="Heading4"/>
        <w:rPr>
          <w:lang w:val="en-GB"/>
        </w:rPr>
      </w:pPr>
      <w:bookmarkStart w:id="66" w:name="_ejrhxy86ab1r" w:colFirst="0" w:colLast="0"/>
      <w:bookmarkStart w:id="67" w:name="_Toc3211338"/>
      <w:bookmarkEnd w:id="66"/>
      <w:r w:rsidRPr="0082680A">
        <w:rPr>
          <w:lang w:val="en-GB"/>
        </w:rPr>
        <w:t>Corticobasal Degeneration</w:t>
      </w:r>
      <w:bookmarkEnd w:id="67"/>
    </w:p>
    <w:p w14:paraId="43FE231F" w14:textId="2B5C3D92" w:rsidR="00EB41E2" w:rsidRPr="0082680A" w:rsidRDefault="00EB41E2" w:rsidP="00EB41E2">
      <w:pPr>
        <w:rPr>
          <w:lang w:val="en-GB"/>
        </w:rPr>
      </w:pPr>
      <w:r w:rsidRPr="0082680A">
        <w:rPr>
          <w:lang w:val="en-GB"/>
        </w:rPr>
        <w:t xml:space="preserve">Corticobasal degeneration (CBD) is considered another Parkinson’s and Alzheimer’s-like neurodegenerative condition due to the presence of Parkinsonism and dementia symptoms. As its name suggests, CDB predominantly affects the cortex and basal ganglia. CBD is a tauopathy, however unlike other conditions where aggregations are typically found in the neuronal axon, CBD tauopathy </w:t>
      </w:r>
      <w:r w:rsidR="00767DA3" w:rsidRPr="0082680A">
        <w:rPr>
          <w:lang w:val="en-GB"/>
        </w:rPr>
        <w:t xml:space="preserve">also </w:t>
      </w:r>
      <w:r w:rsidRPr="0082680A">
        <w:rPr>
          <w:lang w:val="en-GB"/>
        </w:rPr>
        <w:t xml:space="preserve">presents </w:t>
      </w:r>
      <w:r w:rsidR="00767DA3" w:rsidRPr="0082680A">
        <w:rPr>
          <w:lang w:val="en-GB"/>
        </w:rPr>
        <w:t>with</w:t>
      </w:r>
      <w:r w:rsidRPr="0082680A">
        <w:rPr>
          <w:lang w:val="en-GB"/>
        </w:rPr>
        <w:t xml:space="preserve"> tau-positive plaques in glial cells of the central nervous system </w:t>
      </w:r>
      <w:r w:rsidR="00767DA3" w:rsidRPr="0082680A">
        <w:rPr>
          <w:lang w:val="en-GB"/>
        </w:rPr>
        <w:fldChar w:fldCharType="begin" w:fldLock="1"/>
      </w:r>
      <w:r w:rsidR="000507BA">
        <w:rPr>
          <w:lang w:val="en-GB"/>
        </w:rPr>
        <w:instrText>ADDIN CSL_CITATION {"citationItems":[{"id":"ITEM-1","itemData":{"ISSN":"0002-9440","PMID":"7778678","abstract":"Corticobasal degeneration (CBD) is a rare, progressive neurological disorder characterized by widespread neuronal and glial pathology. Using immunohistochemistry and laser confocal microscopy, we demonstrate that the nonamyloid cortical plaques of CBD are actually collections of abnormal tau in the distal processes of astrocytes. These glial cells express both vimentin and CD44, markers of astrocyte activation. Glial pathology also includes tau-positive cytoplasmic inclusions, here localized to Leu 7-expressing oligodendrocytes. In addition, a wide array of neuronal pathology is defined with tau-positive inclusions in multiple domains of a variety of cortical neurons. CBD thus exhibits widespread glial and neuronal cytoskeletal pathology, including a novel structure, the astrocytic plaque. CBD is a disease of generalized cytoskeletal disruption affecting several cell types and multiple domains of these cells. The further definition of CBD pathology refines the diagnosis and pathophysiological understanding of this unique disease and has important implications for other neurodegenerative diseases, like Alzheimer's disease, characterized by abnormal tau deposition.","author":[{"dropping-particle":"","family":"Feany","given":"M B","non-dropping-particle":"","parse-names":false,"suffix":""},{"dropping-particle":"","family":"Dickson","given":"D W","non-dropping-particle":"","parse-names":false,"suffix":""}],"container-title":"The American journal of pathology","id":"ITEM-1","issue":"6","issued":{"date-parts":[["1995","6"]]},"page":"1388-96","publisher":"American Society for Investigative Pathology","title":"Widespread cytoskeletal pathology characterizes corticobasal degeneration.","type":"article-journal","volume":"146"},"uris":["http://www.mendeley.com/documents/?uuid=0e996cb9-b168-3e2c-9875-2b7502295760"]}],"mendeley":{"formattedCitation":"&lt;sup&gt;136&lt;/sup&gt;","plainTextFormattedCitation":"136","previouslyFormattedCitation":"&lt;sup&gt;136&lt;/sup&gt;"},"properties":{"noteIndex":0},"schema":"https://github.com/citation-style-language/schema/raw/master/csl-citation.json"}</w:instrText>
      </w:r>
      <w:r w:rsidR="00767DA3" w:rsidRPr="0082680A">
        <w:rPr>
          <w:lang w:val="en-GB"/>
        </w:rPr>
        <w:fldChar w:fldCharType="separate"/>
      </w:r>
      <w:r w:rsidR="00426B19" w:rsidRPr="00426B19">
        <w:rPr>
          <w:noProof/>
          <w:vertAlign w:val="superscript"/>
          <w:lang w:val="en-GB"/>
        </w:rPr>
        <w:t>136</w:t>
      </w:r>
      <w:r w:rsidR="00767DA3" w:rsidRPr="0082680A">
        <w:rPr>
          <w:lang w:val="en-GB"/>
        </w:rPr>
        <w:fldChar w:fldCharType="end"/>
      </w:r>
      <w:r w:rsidRPr="0082680A">
        <w:rPr>
          <w:lang w:val="en-GB"/>
        </w:rPr>
        <w:t xml:space="preserve">. Approximately 45% of CBD cases </w:t>
      </w:r>
      <w:r w:rsidRPr="0082680A">
        <w:rPr>
          <w:lang w:val="en-GB"/>
        </w:rPr>
        <w:lastRenderedPageBreak/>
        <w:t xml:space="preserve">will show evidence of TDP-43 pathology somewhere in the brain, with highest incidence mid-brain areas </w:t>
      </w:r>
      <w:r w:rsidR="00767DA3" w:rsidRPr="0082680A">
        <w:rPr>
          <w:lang w:val="en-GB"/>
        </w:rPr>
        <w:fldChar w:fldCharType="begin" w:fldLock="1"/>
      </w:r>
      <w:r w:rsidR="000507BA">
        <w:rPr>
          <w:lang w:val="en-GB"/>
        </w:rPr>
        <w:instrText>ADDIN CSL_CITATION {"citationItems":[{"id":"ITEM-1","itemData":{"DOI":"10.1007/s00401-018-1878-z","ISSN":"0001-6322","PMID":"29926172","abstract":"Corticobasal degeneration (CBD) is a clinically heterogeneous tauopathy, which has overlapping clinicopathologic and genetic characteristics with progressive supranuclear palsy (PSP). This study aimed to elucidate whether transactive response DNA-binding protein of 43 kDa (TDP-43) pathology contributes to clinicopathologic heterogeneity of CBD. Paraffin-embedded sections of the midbrain, pons, subthalamic nucleus, and basal forebrain from 187 autopsy-confirmed CBD cases were screened with immunohistochemistry for phospho-TDP-43. In cases with TDP-43 pathology, additional brain regions (i.e., precentral, cingulate, and superior frontal gyri, hippocampus, medulla, and cerebellum) were immunostained. Hierarchical clustering analysis was performed based on the topographical distribution and severity of TDP-43 pathology, and clinicopathologic and genetic features were compared between the clusters. TDP-43 pathology was observed in 45% of CBD cases, most frequently in midbrain tegmentum (80% of TDP-43-positive cases), followed by subthalamic nucleus (69%). TDP-43-positive CBD was divided into TDP-limited (52%) and TDP-severe (48%) by hierarchical clustering analysis. TDP-severe patients were more likely to have been diagnosed clinically as PSP compared to TDP-limited and TDP-negative patients (80 vs 32 vs 30%, P &lt; 0.001). The presence of downward gaze palsy was the strongest factor for the antemortem diagnosis of PSP, and severe TDP-43 pathology in the midbrain tectum was strongly associated with downward gaze palsy. In addition, tau burden in the olivopontocerebellar system was significantly greater in TDP-positive than TDP-negative CBD. Genetic analyses revealed that MAPT H1/H1 genotype frequency was significantly lower in TDP-severe than in TDP-negative and TDP-limited CBD (65 vs 89 vs 91%, P &lt; 0.001). The homozygous minor allele frequencies in GRN rs5848 and TMEM106B rs3173615 were not significantly different between the three groups. In conclusion, the present study indicates that CBD with severe TDP-43 pathology is a distinct clinicopathologic subtype of CBD, characterized by PSP-like clinical presentations, severe tau pathology in the olivopontocerebellar system, and low frequency of MAPT H1 haplotype.","author":[{"dropping-particle":"","family":"Koga","given":"Shunsuke","non-dropping-particle":"","parse-names":false,"suffix":""},{"dropping-particle":"","family":"Kouri","given":"Naomi","non-dropping-particle":"","parse-names":false,"suffix":""},{"dropping-particle":"","family":"Walton","given":"Ronald L.","non-dropping-particle":"","parse-names":false,"suffix":""},{"dropping-particle":"","family":"Ebbert","given":"Mark T. W.","non-dropping-particle":"","parse-names":false,"suffix":""},{"dropping-particle":"","family":"Josephs","given":"Keith A.","non-dropping-particle":"","parse-names":false,"suffix":""},{"dropping-particle":"","family":"Litvan","given":"Irene","non-dropping-particle":"","parse-names":false,"suffix":""},{"dropping-particle":"","family":"Graff-Radford","given":"Neill","non-dropping-particle":"","parse-names":false,"suffix":""},{"dropping-particle":"","family":"Ahlskog","given":"J. Eric","non-dropping-particle":"","parse-names":false,"suffix":""},{"dropping-particle":"","family":"Uitti","given":"Ryan J.","non-dropping-particle":"","parse-names":false,"suffix":""},{"dropping-particle":"","family":"Gerpen","given":"Jay A.","non-dropping-particle":"van","parse-names":false,"suffix":""},{"dropping-particle":"","family":"Boeve","given":"Bradley F.","non-dropping-particle":"","parse-names":false,"suffix":""},{"dropping-particle":"","family":"Parks","given":"Adam","non-dropping-particle":"","parse-names":false,"suffix":""},{"dropping-particle":"","family":"Ross","given":"Owen A.","non-dropping-particle":"","parse-names":false,"suffix":""},{"dropping-particle":"","family":"Dickson","given":"Dennis W.","non-dropping-particle":"","parse-names":false,"suffix":""}],"container-title":"Acta Neuropathologica","id":"ITEM-1","issued":{"date-parts":[["2018","6","20"]]},"title":"Corticobasal degeneration with TDP-43 pathology presenting with progressive supranuclear palsy syndrome: a distinct clinicopathologic subtype","type":"article-journal"},"uris":["http://www.mendeley.com/documents/?uuid=2e812bf1-dd6c-3e74-862c-e836f7717efd"]}],"mendeley":{"formattedCitation":"&lt;sup&gt;137&lt;/sup&gt;","plainTextFormattedCitation":"137","previouslyFormattedCitation":"&lt;sup&gt;137&lt;/sup&gt;"},"properties":{"noteIndex":0},"schema":"https://github.com/citation-style-language/schema/raw/master/csl-citation.json"}</w:instrText>
      </w:r>
      <w:r w:rsidR="00767DA3" w:rsidRPr="0082680A">
        <w:rPr>
          <w:lang w:val="en-GB"/>
        </w:rPr>
        <w:fldChar w:fldCharType="separate"/>
      </w:r>
      <w:r w:rsidR="00426B19" w:rsidRPr="00426B19">
        <w:rPr>
          <w:noProof/>
          <w:vertAlign w:val="superscript"/>
          <w:lang w:val="en-GB"/>
        </w:rPr>
        <w:t>137</w:t>
      </w:r>
      <w:r w:rsidR="00767DA3" w:rsidRPr="0082680A">
        <w:rPr>
          <w:lang w:val="en-GB"/>
        </w:rPr>
        <w:fldChar w:fldCharType="end"/>
      </w:r>
      <w:r w:rsidRPr="0082680A">
        <w:rPr>
          <w:lang w:val="en-GB"/>
        </w:rPr>
        <w:t>.</w:t>
      </w:r>
    </w:p>
    <w:p w14:paraId="07962E3D" w14:textId="77777777" w:rsidR="00EB41E2" w:rsidRPr="0082680A" w:rsidRDefault="00EB41E2" w:rsidP="00842FD0">
      <w:pPr>
        <w:pStyle w:val="Heading4"/>
        <w:rPr>
          <w:lang w:val="en-GB"/>
        </w:rPr>
      </w:pPr>
      <w:bookmarkStart w:id="68" w:name="_m9t04vyrvwyj" w:colFirst="0" w:colLast="0"/>
      <w:bookmarkStart w:id="69" w:name="_Toc3211339"/>
      <w:bookmarkEnd w:id="68"/>
      <w:r w:rsidRPr="0082680A">
        <w:rPr>
          <w:lang w:val="en-GB"/>
        </w:rPr>
        <w:t>Progressive Supranuclear Palsy</w:t>
      </w:r>
      <w:bookmarkEnd w:id="69"/>
    </w:p>
    <w:p w14:paraId="277882B3" w14:textId="6510F379" w:rsidR="00EB41E2" w:rsidRPr="0082680A" w:rsidRDefault="00EB41E2" w:rsidP="00EB41E2">
      <w:pPr>
        <w:rPr>
          <w:lang w:val="en-GB"/>
        </w:rPr>
      </w:pPr>
      <w:r w:rsidRPr="0082680A">
        <w:rPr>
          <w:lang w:val="en-GB"/>
        </w:rPr>
        <w:t>Clinically, CBD cases are often misidentified as progressive supranuclear palsy (PSP) due to the vast similarities in the presentation of the conditions (Parkinsonism and cognitive decline) as well as the location of neurodegeneration (basal ganglia, cortex and hippocampus). PSP is differentiated from CBD by the existence of supranuclear ophthalmoplegia caused by degeneration of brain stem areas dedicated to ocular control</w:t>
      </w:r>
      <w:r w:rsidR="0050523A" w:rsidRPr="0082680A">
        <w:rPr>
          <w:lang w:val="en-GB"/>
        </w:rPr>
        <w:t>, presenting</w:t>
      </w:r>
      <w:r w:rsidRPr="0082680A">
        <w:rPr>
          <w:lang w:val="en-GB"/>
        </w:rPr>
        <w:t xml:space="preserve"> symptomatically as involuntary eye movements, difficulty with saccadic movement, and looking downwards. TDP-43 pathology has been identified in approximately 26% of PSP cases, where the amygdala and hippocampal dentate gyrus were the most significantly affected </w:t>
      </w:r>
      <w:r w:rsidR="00767DA3" w:rsidRPr="0082680A">
        <w:rPr>
          <w:lang w:val="en-GB"/>
        </w:rPr>
        <w:fldChar w:fldCharType="begin" w:fldLock="1"/>
      </w:r>
      <w:r w:rsidR="000507BA">
        <w:rPr>
          <w:lang w:val="en-GB"/>
        </w:rPr>
        <w:instrText>ADDIN CSL_CITATION {"citationItems":[{"id":"ITEM-1","itemData":{"DOI":"10.1007/s00401-010-0702-1","ISSN":"0001-6322","author":[{"dropping-particle":"","family":"Yokota","given":"Osamu","non-dropping-particle":"","parse-names":false,"suffix":""},{"dropping-particle":"","family":"Davidson","given":"Yvonne","non-dropping-particle":"","parse-names":false,"suffix":""},{"dropping-particle":"","family":"Bigio","given":"Eileen H.","non-dropping-particle":"","parse-names":false,"suffix":""},{"dropping-particle":"","family":"Ishizu","given":"Hideki","non-dropping-particle":"","parse-names":false,"suffix":""},{"dropping-particle":"","family":"Terada","given":"Seishi","non-dropping-particle":"","parse-names":false,"suffix":""},{"dropping-particle":"","family":"Arai","given":"Tetsuaki","non-dropping-particle":"","parse-names":false,"suffix":""},{"dropping-particle":"","family":"Hasegawa","given":"Masato","non-dropping-particle":"","parse-names":false,"suffix":""},{"dropping-particle":"","family":"Akiyama","given":"Haruhiko","non-dropping-particle":"","parse-names":false,"suffix":""},{"dropping-particle":"","family":"Sikkink","given":"Stephen","non-dropping-particle":"","parse-names":false,"suffix":""},{"dropping-particle":"","family":"Pickering-Brown","given":"Stuart","non-dropping-particle":"","parse-names":false,"suffix":""},{"dropping-particle":"","family":"Mann","given":"David M. A.","non-dropping-particle":"","parse-names":false,"suffix":""}],"container-title":"Acta Neuropathologica","id":"ITEM-1","issue":"1","issued":{"date-parts":[["2010","7","30"]]},"page":"55-66","publisher":"Springer-Verlag","title":"Phosphorylated TDP-43 pathology and hippocampal sclerosis in progressive supranuclear palsy","type":"article-journal","volume":"120"},"uris":["http://www.mendeley.com/documents/?uuid=d3a82c93-fe85-3aac-bf6c-5b50c5164cf9"]}],"mendeley":{"formattedCitation":"&lt;sup&gt;138&lt;/sup&gt;","plainTextFormattedCitation":"138","previouslyFormattedCitation":"&lt;sup&gt;138&lt;/sup&gt;"},"properties":{"noteIndex":0},"schema":"https://github.com/citation-style-language/schema/raw/master/csl-citation.json"}</w:instrText>
      </w:r>
      <w:r w:rsidR="00767DA3" w:rsidRPr="0082680A">
        <w:rPr>
          <w:lang w:val="en-GB"/>
        </w:rPr>
        <w:fldChar w:fldCharType="separate"/>
      </w:r>
      <w:r w:rsidR="00426B19" w:rsidRPr="00426B19">
        <w:rPr>
          <w:noProof/>
          <w:vertAlign w:val="superscript"/>
          <w:lang w:val="en-GB"/>
        </w:rPr>
        <w:t>138</w:t>
      </w:r>
      <w:r w:rsidR="00767DA3" w:rsidRPr="0082680A">
        <w:rPr>
          <w:lang w:val="en-GB"/>
        </w:rPr>
        <w:fldChar w:fldCharType="end"/>
      </w:r>
      <w:r w:rsidRPr="0082680A">
        <w:rPr>
          <w:lang w:val="en-GB"/>
        </w:rPr>
        <w:t>.</w:t>
      </w:r>
    </w:p>
    <w:p w14:paraId="553ACAC4" w14:textId="77777777" w:rsidR="00EB41E2" w:rsidRPr="0082680A" w:rsidRDefault="00EB41E2" w:rsidP="00842FD0">
      <w:pPr>
        <w:pStyle w:val="Heading4"/>
        <w:rPr>
          <w:lang w:val="en-GB"/>
        </w:rPr>
      </w:pPr>
      <w:bookmarkStart w:id="70" w:name="_jxtia18x3xct" w:colFirst="0" w:colLast="0"/>
      <w:bookmarkStart w:id="71" w:name="_Toc3211340"/>
      <w:bookmarkEnd w:id="70"/>
      <w:r w:rsidRPr="0082680A">
        <w:rPr>
          <w:lang w:val="en-GB"/>
        </w:rPr>
        <w:t>Hippocampal Sclerosis</w:t>
      </w:r>
      <w:bookmarkEnd w:id="71"/>
    </w:p>
    <w:p w14:paraId="4B81B4D1" w14:textId="6B6C2024" w:rsidR="00EB41E2" w:rsidRPr="0082680A" w:rsidRDefault="00EB41E2" w:rsidP="00EB41E2">
      <w:pPr>
        <w:rPr>
          <w:lang w:val="en-GB"/>
        </w:rPr>
      </w:pPr>
      <w:r w:rsidRPr="0082680A">
        <w:rPr>
          <w:lang w:val="en-GB"/>
        </w:rPr>
        <w:t xml:space="preserve">Hippocampal sclerosis (HS) is a condition in which pyramidal neurons of the CA-1 and subiculum regions of the hippocampus degenerate. HS is often misdiagnosed as AD, as the early symptoms of dementia present and progress at a very similar rate. HS is closely associated with temporal lobe epilepsy, however it is still unclear whether the neurodegeneration is a cause or effect of the epileptic seizures experienced by these patients </w:t>
      </w:r>
      <w:r w:rsidR="00767DA3" w:rsidRPr="0082680A">
        <w:rPr>
          <w:lang w:val="en-GB"/>
        </w:rPr>
        <w:fldChar w:fldCharType="begin" w:fldLock="1"/>
      </w:r>
      <w:r w:rsidR="000507BA">
        <w:rPr>
          <w:lang w:val="en-GB"/>
        </w:rPr>
        <w:instrText>ADDIN CSL_CITATION {"citationItems":[{"id":"ITEM-1","itemData":{"DOI":"10.1093/brain/122.6.1007","ISSN":"14602156","author":[{"dropping-particle":"","family":"Jefferys","given":"J. G. R.","non-dropping-particle":"","parse-names":false,"suffix":""}],"container-title":"Brain","id":"ITEM-1","issue":"6","issued":{"date-parts":[["1999","6","1"]]},"page":"1007-1008","publisher":"Oxford University Press","title":"Hippocampal sclerosis and temporal lobe epilepsy: cause or consequence?","type":"article-journal","volume":"122"},"uris":["http://www.mendeley.com/documents/?uuid=1295519c-c3d9-3445-bf6b-99eb6ba7befe"]}],"mendeley":{"formattedCitation":"&lt;sup&gt;139&lt;/sup&gt;","plainTextFormattedCitation":"139","previouslyFormattedCitation":"&lt;sup&gt;139&lt;/sup&gt;"},"properties":{"noteIndex":0},"schema":"https://github.com/citation-style-language/schema/raw/master/csl-citation.json"}</w:instrText>
      </w:r>
      <w:r w:rsidR="00767DA3" w:rsidRPr="0082680A">
        <w:rPr>
          <w:lang w:val="en-GB"/>
        </w:rPr>
        <w:fldChar w:fldCharType="separate"/>
      </w:r>
      <w:r w:rsidR="00426B19" w:rsidRPr="00426B19">
        <w:rPr>
          <w:noProof/>
          <w:vertAlign w:val="superscript"/>
          <w:lang w:val="en-GB"/>
        </w:rPr>
        <w:t>139</w:t>
      </w:r>
      <w:r w:rsidR="00767DA3" w:rsidRPr="0082680A">
        <w:rPr>
          <w:lang w:val="en-GB"/>
        </w:rPr>
        <w:fldChar w:fldCharType="end"/>
      </w:r>
      <w:r w:rsidRPr="0082680A">
        <w:rPr>
          <w:lang w:val="en-GB"/>
        </w:rPr>
        <w:t xml:space="preserve">. Around 70% of HS patients assay positively for TDP-43 aggregations, with highest concentrations in the hippocampal dentate fascia and extension into the nearby entorhinal, occipitotemporal and inferior temporal cortices </w:t>
      </w:r>
      <w:r w:rsidR="00767DA3" w:rsidRPr="0082680A">
        <w:rPr>
          <w:lang w:val="en-GB"/>
        </w:rPr>
        <w:fldChar w:fldCharType="begin" w:fldLock="1"/>
      </w:r>
      <w:r w:rsidR="000507BA">
        <w:rPr>
          <w:lang w:val="en-GB"/>
        </w:rPr>
        <w:instrText>ADDIN CSL_CITATION {"citationItems":[{"id":"ITEM-1","itemData":{"DOI":"10.1002/ana.21154","ISSN":"03645134","author":[{"dropping-particle":"","family":"Amador-Ortiz","given":"Catalina","non-dropping-particle":"","parse-names":false,"suffix":""},{"dropping-particle":"","family":"Lin","given":"Wen-Lang","non-dropping-particle":"","parse-names":false,"suffix":""},{"dropping-particle":"","family":"Ahmed","given":"Zeshan","non-dropping-particle":"","parse-names":false,"suffix":""},{"dropping-particle":"","family":"Personett","given":"David","non-dropping-particle":"","parse-names":false,"suffix":""},{"dropping-particle":"","family":"Davies","given":"Peter","non-dropping-particle":"","parse-names":false,"suffix":""},{"dropping-particle":"","family":"Duara","given":"Ranjan","non-dropping-particle":"","parse-names":false,"suffix":""},{"dropping-particle":"","family":"Graff-Radford","given":"Neill R.","non-dropping-particle":"","parse-names":false,"suffix":""},{"dropping-particle":"","family":"Hutton","given":"Michael L.","non-dropping-particle":"","parse-names":false,"suffix":""},{"dropping-particle":"","family":"Dickson","given":"Dennis W.","non-dropping-particle":"","parse-names":false,"suffix":""}],"container-title":"Annals of Neurology","id":"ITEM-1","issue":"5","issued":{"date-parts":[["2007","5"]]},"page":"435-445","publisher":"Wiley-Blackwell","title":"TDP-43 immunoreactivity in hippocampal sclerosis and Alzheimer's disease","type":"article-journal","volume":"61"},"uris":["http://www.mendeley.com/documents/?uuid=6165a99d-56d7-372d-ab1f-fd0115312ad5"]}],"mendeley":{"formattedCitation":"&lt;sup&gt;140&lt;/sup&gt;","plainTextFormattedCitation":"140","previouslyFormattedCitation":"&lt;sup&gt;140&lt;/sup&gt;"},"properties":{"noteIndex":0},"schema":"https://github.com/citation-style-language/schema/raw/master/csl-citation.json"}</w:instrText>
      </w:r>
      <w:r w:rsidR="00767DA3" w:rsidRPr="0082680A">
        <w:rPr>
          <w:lang w:val="en-GB"/>
        </w:rPr>
        <w:fldChar w:fldCharType="separate"/>
      </w:r>
      <w:r w:rsidR="00426B19" w:rsidRPr="00426B19">
        <w:rPr>
          <w:noProof/>
          <w:vertAlign w:val="superscript"/>
          <w:lang w:val="en-GB"/>
        </w:rPr>
        <w:t>140</w:t>
      </w:r>
      <w:r w:rsidR="00767DA3" w:rsidRPr="0082680A">
        <w:rPr>
          <w:lang w:val="en-GB"/>
        </w:rPr>
        <w:fldChar w:fldCharType="end"/>
      </w:r>
      <w:r w:rsidRPr="0082680A">
        <w:rPr>
          <w:lang w:val="en-GB"/>
        </w:rPr>
        <w:t xml:space="preserve">. </w:t>
      </w:r>
    </w:p>
    <w:p w14:paraId="4A029A2E" w14:textId="77777777" w:rsidR="00EB41E2" w:rsidRPr="0082680A" w:rsidRDefault="00EB41E2" w:rsidP="00842FD0">
      <w:pPr>
        <w:pStyle w:val="Heading4"/>
        <w:rPr>
          <w:lang w:val="en-GB"/>
        </w:rPr>
      </w:pPr>
      <w:bookmarkStart w:id="72" w:name="_tlra5o26d5wy" w:colFirst="0" w:colLast="0"/>
      <w:bookmarkStart w:id="73" w:name="_Toc3211341"/>
      <w:bookmarkEnd w:id="72"/>
      <w:r w:rsidRPr="0082680A">
        <w:rPr>
          <w:lang w:val="en-GB"/>
        </w:rPr>
        <w:t>Spinocerebellar Ataxia Type 2</w:t>
      </w:r>
      <w:bookmarkEnd w:id="73"/>
    </w:p>
    <w:p w14:paraId="60E1B1E6" w14:textId="574A658A" w:rsidR="00EB41E2" w:rsidRPr="0082680A" w:rsidRDefault="00EB41E2" w:rsidP="00EB41E2">
      <w:pPr>
        <w:rPr>
          <w:lang w:val="en-GB"/>
        </w:rPr>
      </w:pPr>
      <w:r w:rsidRPr="0082680A">
        <w:rPr>
          <w:lang w:val="en-GB"/>
        </w:rPr>
        <w:t xml:space="preserve">Individuals with spinocerebellar ataxia often present with uncoordinated movement of the hands, vocal apparatus, and eyes, caused by neurodegeneration in the cerebellum and spinal cord. As suggested by its name, there are a number of subtypes of spinocerebellar ataxia, of which spinocerebellar ataxia type 2 (SCA2) is one. SCA2 is caused by mutations in the gene </w:t>
      </w:r>
      <w:r w:rsidRPr="0082680A">
        <w:rPr>
          <w:i/>
          <w:lang w:val="en-GB"/>
        </w:rPr>
        <w:t>ATXN2</w:t>
      </w:r>
      <w:r w:rsidRPr="0082680A">
        <w:rPr>
          <w:lang w:val="en-GB"/>
        </w:rPr>
        <w:t xml:space="preserve">, and represents a more aggressive form of the disease with </w:t>
      </w:r>
      <w:r w:rsidR="004D247D" w:rsidRPr="0082680A">
        <w:rPr>
          <w:lang w:val="en-GB"/>
        </w:rPr>
        <w:t xml:space="preserve">disease onset sometimes occurring in teen years </w:t>
      </w:r>
      <w:r w:rsidR="000E262B" w:rsidRPr="0082680A">
        <w:rPr>
          <w:lang w:val="en-GB"/>
        </w:rPr>
        <w:fldChar w:fldCharType="begin" w:fldLock="1"/>
      </w:r>
      <w:r w:rsidR="000507BA">
        <w:rPr>
          <w:lang w:val="en-GB"/>
        </w:rPr>
        <w:instrText>ADDIN CSL_CITATION {"citationItems":[{"id":"ITEM-1","itemData":{"DOI":"10.1212/NXG.0000000000000155","ISSN":"2376-7839","PMID":"28534046","abstract":"OBJECTIVE To examine heritability of the residual variability of spinocerebellar ataxia type 2 (SCA2) age at onset (AO) after controlling for CAG repeat length. METHODS From 1955 to 2001, dates of birth, CAG repeat lengths, AO, sex, familial inheritances, and clinical manifestations were collected for a large Cuban SCA2 cohort of 382 affected individuals, including 129 parent-child pairs and 69 sibships. Analyses were performed with log-transformed AO in the GENMOD procedure to predict AO using repeat length, taking into account family structure. Because all relationships were first degree, the model was implemented with an exchangeable correlation matrix. Familial correlations were estimated using the Pedigree Analysis Package to control for similarity due to genetic relatedness. RESULTS For the entire sample, the mutant CAG repeat allele explained 69% of AO variance. When adjusted for pedigree structure, this decreased to 50%. Evidence for imprinting or sex-specific effects of the CAG repeat on AO was not found. For the entire sample, we determined an upper bound for heritability of the residual variance of 33% (p = 0.008). Heritability was higher in sib-sib pairs, especially in female sib-sib pairs, than in parent-child pairs. CONCLUSIONS We established that a large proportion of AO variance in SCA2 was determined by genetic modifiers in addition to CAG repeat length. The genetic structure of heritability of the residual AO variance was surprisingly similar to Huntington disease, suggesting the presence of recessive modifying alleles and possibly X-chromosome-linked modifiers.","author":[{"dropping-particle":"","family":"Figueroa","given":"K P","non-dropping-particle":"","parse-names":false,"suffix":""},{"dropping-particle":"","family":"Coon","given":"Hilary","non-dropping-particle":"","parse-names":false,"suffix":""},{"dropping-particle":"","family":"Santos","given":"Nieves","non-dropping-particle":"","parse-names":false,"suffix":""},{"dropping-particle":"","family":"Velazquez","given":"Luis","non-dropping-particle":"","parse-names":false,"suffix":""},{"dropping-particle":"","family":"Mederos","given":"Luis Almaguer","non-dropping-particle":"","parse-names":false,"suffix":""},{"dropping-particle":"","family":"Pulst","given":"Stefan-M","non-dropping-particle":"","parse-names":false,"suffix":""}],"container-title":"Neurology. Genetics","id":"ITEM-1","issue":"3","issued":{"date-parts":[["2017","6"]]},"page":"e155","publisher":"American Academy of Neurology","title":"Genetic analysis of age at onset variation in spinocerebellar ataxia type 2.","type":"article-journal","volume":"3"},"uris":["http://www.mendeley.com/documents/?uuid=3e7d9691-fa7d-3f40-87b8-90f62c22f460"]}],"mendeley":{"formattedCitation":"&lt;sup&gt;141&lt;/sup&gt;","plainTextFormattedCitation":"141","previouslyFormattedCitation":"&lt;sup&gt;141&lt;/sup&gt;"},"properties":{"noteIndex":0},"schema":"https://github.com/citation-style-language/schema/raw/master/csl-citation.json"}</w:instrText>
      </w:r>
      <w:r w:rsidR="000E262B" w:rsidRPr="0082680A">
        <w:rPr>
          <w:lang w:val="en-GB"/>
        </w:rPr>
        <w:fldChar w:fldCharType="separate"/>
      </w:r>
      <w:r w:rsidR="00426B19" w:rsidRPr="00426B19">
        <w:rPr>
          <w:noProof/>
          <w:vertAlign w:val="superscript"/>
          <w:lang w:val="en-GB"/>
        </w:rPr>
        <w:t>141</w:t>
      </w:r>
      <w:r w:rsidR="000E262B" w:rsidRPr="0082680A">
        <w:rPr>
          <w:lang w:val="en-GB"/>
        </w:rPr>
        <w:fldChar w:fldCharType="end"/>
      </w:r>
      <w:r w:rsidRPr="0082680A">
        <w:rPr>
          <w:lang w:val="en-GB"/>
        </w:rPr>
        <w:t xml:space="preserve">. TDP-43 pathology in SCA2 has not been investigated as thoroughly as other disorders, but has been recorded in the cortex, basal ganglia and midbrain, of at least one SCA2 patient </w:t>
      </w:r>
      <w:r w:rsidR="000E262B" w:rsidRPr="0082680A">
        <w:rPr>
          <w:lang w:val="en-GB"/>
        </w:rPr>
        <w:fldChar w:fldCharType="begin" w:fldLock="1"/>
      </w:r>
      <w:r w:rsidR="000507BA">
        <w:rPr>
          <w:lang w:val="en-GB"/>
        </w:rPr>
        <w:instrText>ADDIN CSL_CITATION {"citationItems":[{"id":"ITEM-1","itemData":{"DOI":"10.1007/s00401-011-0862-7","ISSN":"0001-6322","author":[{"dropping-particle":"","family":"Toyoshima","given":"Yasuko","non-dropping-particle":"","parse-names":false,"suffix":""},{"dropping-particle":"","family":"Tanaka","given":"Hajime","non-dropping-particle":"","parse-names":false,"suffix":""},{"dropping-particle":"","family":"Shimohata","given":"Mitsuteru","non-dropping-particle":"","parse-names":false,"suffix":""},{"dropping-particle":"","family":"Kimura","given":"Kakuhei","non-dropping-particle":"","parse-names":false,"suffix":""},{"dropping-particle":"","family":"Morita","given":"Takashi","non-dropping-particle":"","parse-names":false,"suffix":""},{"dropping-particle":"","family":"Kakita","given":"Akiyoshi","non-dropping-particle":"","parse-names":false,"suffix":""},{"dropping-particle":"","family":"Takahashi","given":"Hitoshi","non-dropping-particle":"","parse-names":false,"suffix":""}],"container-title":"Acta Neuropathologica","id":"ITEM-1","issue":"3","issued":{"date-parts":[["2011","9","10"]]},"page":"375-378","publisher":"Springer-Verlag","title":"Spinocerebellar ataxia type 2 (SCA2) is associated with TDP-43 pathology","type":"article-journal","volume":"122"},"uris":["http://www.mendeley.com/documents/?uuid=d95eaba8-0e5d-39fd-a91c-652cd01cff40"]}],"mendeley":{"formattedCitation":"&lt;sup&gt;142&lt;/sup&gt;","plainTextFormattedCitation":"142","previouslyFormattedCitation":"&lt;sup&gt;142&lt;/sup&gt;"},"properties":{"noteIndex":0},"schema":"https://github.com/citation-style-language/schema/raw/master/csl-citation.json"}</w:instrText>
      </w:r>
      <w:r w:rsidR="000E262B" w:rsidRPr="0082680A">
        <w:rPr>
          <w:lang w:val="en-GB"/>
        </w:rPr>
        <w:fldChar w:fldCharType="separate"/>
      </w:r>
      <w:r w:rsidR="00426B19" w:rsidRPr="00426B19">
        <w:rPr>
          <w:noProof/>
          <w:vertAlign w:val="superscript"/>
          <w:lang w:val="en-GB"/>
        </w:rPr>
        <w:t>142</w:t>
      </w:r>
      <w:r w:rsidR="000E262B" w:rsidRPr="0082680A">
        <w:rPr>
          <w:lang w:val="en-GB"/>
        </w:rPr>
        <w:fldChar w:fldCharType="end"/>
      </w:r>
      <w:r w:rsidRPr="0082680A">
        <w:rPr>
          <w:lang w:val="en-GB"/>
        </w:rPr>
        <w:t xml:space="preserve">. Interestingly, TDP-43 aggregations were not reported in the cerebellum or spinal cord. The presence of TDP-43 pathology in SCA2 patients may be related to </w:t>
      </w:r>
      <w:r w:rsidRPr="0082680A">
        <w:rPr>
          <w:i/>
          <w:lang w:val="en-GB"/>
        </w:rPr>
        <w:t>ATXN2</w:t>
      </w:r>
      <w:r w:rsidRPr="0082680A">
        <w:rPr>
          <w:lang w:val="en-GB"/>
        </w:rPr>
        <w:t>, a risk gene for both PD and ALS.</w:t>
      </w:r>
    </w:p>
    <w:p w14:paraId="4D72A091" w14:textId="77777777" w:rsidR="00EB41E2" w:rsidRPr="0082680A" w:rsidRDefault="00EB41E2" w:rsidP="00842FD0">
      <w:pPr>
        <w:pStyle w:val="Heading4"/>
        <w:rPr>
          <w:lang w:val="en-GB"/>
        </w:rPr>
      </w:pPr>
      <w:bookmarkStart w:id="74" w:name="_x6g4emcte72s" w:colFirst="0" w:colLast="0"/>
      <w:bookmarkStart w:id="75" w:name="_Toc3211342"/>
      <w:bookmarkEnd w:id="74"/>
      <w:r w:rsidRPr="0082680A">
        <w:rPr>
          <w:lang w:val="en-GB"/>
        </w:rPr>
        <w:lastRenderedPageBreak/>
        <w:t>Chronic Traumatic Encephalopathy</w:t>
      </w:r>
      <w:bookmarkEnd w:id="75"/>
    </w:p>
    <w:p w14:paraId="4186B69D" w14:textId="27D74D20" w:rsidR="00EB41E2" w:rsidRPr="0082680A" w:rsidRDefault="00EB41E2" w:rsidP="00EB41E2">
      <w:pPr>
        <w:rPr>
          <w:lang w:val="en-GB"/>
        </w:rPr>
      </w:pPr>
      <w:r w:rsidRPr="0082680A">
        <w:rPr>
          <w:lang w:val="en-GB"/>
        </w:rPr>
        <w:t xml:space="preserve">Many of the conditions discussed possess strong evidence of genetic causation. Chronic traumatic encephalopathy (CTE) on the other hand is a neurodegenerative condition caused by repetitive trauma to the head and recurrent concussions. CTE is prevalent in contact sports where the head and neck are vulnerable to collision, most famously in boxing and American football. Symptoms of CTE resemble those of AD, including short-term memory loss, mood swings, and increased confusion. Later </w:t>
      </w:r>
      <w:proofErr w:type="gramStart"/>
      <w:r w:rsidRPr="0082680A">
        <w:rPr>
          <w:lang w:val="en-GB"/>
        </w:rPr>
        <w:t>on</w:t>
      </w:r>
      <w:proofErr w:type="gramEnd"/>
      <w:r w:rsidRPr="0082680A">
        <w:rPr>
          <w:lang w:val="en-GB"/>
        </w:rPr>
        <w:t xml:space="preserve"> in the disease, physical symptoms such as parkinsonism can develop. TDP-43 pathology has been documented in 43-83% of CTE patients, predominantly in midbrain areas but also in some cases the spinal cord and cortex </w:t>
      </w:r>
      <w:r w:rsidR="000E262B" w:rsidRPr="0082680A">
        <w:rPr>
          <w:lang w:val="en-GB"/>
        </w:rPr>
        <w:fldChar w:fldCharType="begin" w:fldLock="1"/>
      </w:r>
      <w:r w:rsidR="000507BA">
        <w:rPr>
          <w:lang w:val="en-GB"/>
        </w:rPr>
        <w:instrText>ADDIN CSL_CITATION {"citationItems":[{"id":"ITEM-1","itemData":{"DOI":"10.1093/brain/aws307","ISSN":"1460-2156","PMID":"23208308","abstract":"Chronic traumatic encephalopathy is a progressive tauopathy that occurs as a consequence of repetitive mild traumatic brain injury. We analysed post-mortem brains obtained from a cohort of 85 subjects with histories of repetitive mild traumatic brain injury and found evidence of chronic traumatic encephalopathy in 68 subjects: all males, ranging in age from 17 to 98 years (mean 59.5 years), including 64 athletes, 21 military veterans (86% of whom were also athletes) and one individual who engaged in self-injurious head banging behaviour. Eighteen age- and gender-matched individuals without a history of repetitive mild traumatic brain injury served as control subjects. In chronic traumatic encephalopathy, the spectrum of hyperphosphorylated tau pathology ranged in severity from focal perivascular epicentres of neurofibrillary tangles in the frontal neocortex to severe tauopathy affecting widespread brain regions, including the medial temporal lobe, thereby allowing a progressive staging of pathology from stages I-IV. Multifocal axonal varicosities and axonal loss were found in deep cortex and subcortical white matter at all stages of chronic traumatic encephalopathy. TAR DNA-binding protein 43 immunoreactive inclusions and neurites were also found in 85% of cases, ranging from focal pathology in stages I-III to widespread inclusions and neurites in stage IV. Symptoms in stage I chronic traumatic encephalopathy included headache and loss of attention and concentration. Additional symptoms in stage II included depression, explosivity and short-term memory loss. In stage III, executive dysfunction and cognitive impairment were found, and in stage IV, dementia, word-finding difficulty and aggression were characteristic. Data on athletic exposure were available for 34 American football players; the stage of chronic traumatic encephalopathy correlated with increased duration of football play, survival after football and age at death. Chronic traumatic encephalopathy was the sole diagnosis in 43 cases (63%); eight were also diagnosed with motor neuron disease (12%), seven with Alzheimer's disease (11%), 11 with Lewy body disease (16%) and four with frontotemporal lobar degeneration (6%). There is an ordered and predictable progression of hyperphosphorylated tau abnormalities through the nervous system in chronic traumatic encephalopathy that occurs in conjunction with widespread axonal disruption and loss. The frequent association of chronic traumatic encephalo…","author":[{"dropping-particle":"","family":"McKee","given":"Ann C","non-dropping-particle":"","parse-names":false,"suffix":""},{"dropping-particle":"","family":"Stern","given":"Robert A","non-dropping-particle":"","parse-names":false,"suffix":""},{"dropping-particle":"","family":"Nowinski","given":"Christopher J","non-dropping-particle":"","parse-names":false,"suffix":""},{"dropping-particle":"","family":"Stein","given":"Thor D","non-dropping-particle":"","parse-names":false,"suffix":""},{"dropping-particle":"","family":"Alvarez","given":"Victor E","non-dropping-particle":"","parse-names":false,"suffix":""},{"dropping-particle":"","family":"Daneshvar","given":"Daniel H","non-dropping-particle":"","parse-names":false,"suffix":""},{"dropping-particle":"","family":"Lee","given":"Hyo-Soon","non-dropping-particle":"","parse-names":false,"suffix":""},{"dropping-particle":"","family":"Wojtowicz","given":"Sydney M","non-dropping-particle":"","parse-names":false,"suffix":""},{"dropping-particle":"","family":"Hall","given":"Garth","non-dropping-particle":"","parse-names":false,"suffix":""},{"dropping-particle":"","family":"Baugh","given":"Christine M","non-dropping-particle":"","parse-names":false,"suffix":""},{"dropping-particle":"","family":"Riley","given":"David O","non-dropping-particle":"","parse-names":false,"suffix":""},{"dropping-particle":"","family":"Kubilus","given":"Caroline A","non-dropping-particle":"","parse-names":false,"suffix":""},{"dropping-particle":"","family":"Cormier","given":"Kerry A","non-dropping-particle":"","parse-names":false,"suffix":""},{"dropping-particle":"","family":"Jacobs","given":"Matthew A","non-dropping-particle":"","parse-names":false,"suffix":""},{"dropping-particle":"","family":"Martin","given":"Brett R","non-dropping-particle":"","parse-names":false,"suffix":""},{"dropping-particle":"","family":"Abraham","given":"Carmela R","non-dropping-particle":"","parse-names":false,"suffix":""},{"dropping-particle":"","family":"Ikezu","given":"Tsuneya","non-dropping-particle":"","parse-names":false,"suffix":""},{"dropping-particle":"","family":"Reichard","given":"Robert Ross","non-dropping-particle":"","parse-names":false,"suffix":""},{"dropping-particle":"","family":"Wolozin","given":"Benjamin L","non-dropping-particle":"","parse-names":false,"suffix":""},{"dropping-particle":"","family":"Budson","given":"Andrew E","non-dropping-particle":"","parse-names":false,"suffix":""},{"dropping-particle":"","family":"Goldstein","given":"Lee E","non-dropping-particle":"","parse-names":false,"suffix":""},{"dropping-particle":"","family":"Kowall","given":"Neil W","non-dropping-particle":"","parse-names":false,"suffix":""},{"dropping-particle":"","family":"Cantu","given":"Robert C","non-dropping-particle":"","parse-names":false,"suffix":""}],"container-title":"Brain : a journal of neurology","id":"ITEM-1","issue":"Pt 1","issued":{"date-parts":[["2013","1","1"]]},"page":"43-64","title":"The spectrum of disease in chronic traumatic encephalopathy.","type":"article-journal","volume":"136"},"uris":["http://www.mendeley.com/documents/?uuid=a348de88-0b9b-4d16-8313-7457711e8ba6"]},{"id":"ITEM-2","itemData":{"abstract":"Transactive response DNA-binding protein of 43 kDa (TDP-43) is the major protein found within pathological inclusions in Amyotrophic Lateral Sclerosis (ALS) and Frontotemporal Lobar Degeneration (FTLD) (Neumann et al., 2006). TDP-43 is a ubiquitously expressed protein mainly involved in RNA metabolism. It is a member of the heterogeneous nuclear ribonucleoprotein (hnRNP) family and in its normal state is predominantly found in the nucleus. In its pathological state TDP-43 is cleaved, phosphorylated, ubiquitinated, and located in cytoplasmic or nuclear inclusions. Along with ALS and FTLD, TDP-43 is also observed in many other neurodegenerative diseases. Pathological TDP-43 inclusions have been previously reported in cases of Chronic Traumatic Encephalopathy (CTE) (King et al., 2010)(McKee et al., 2010)(Saing et al., 2012)(Hazrati et al., 2013), however no previous study has reported on the incidence and extent of TDP-43 cellular inclusions in a large cohort of autopsy cases diagnosed with CTE. This study finds that TDP-43 inclusions are a frequent feature of CTE, as TDP-43 inclusions are identified in 43% (20/47) of subjects in a CTE+, FTLD-, low-likelihood-of-AD cohort. Furthermore, this study finds that in CTE there is no consistent initial focus of TDP-43 pathology which spreads to neighboring regions as the disease progresses. Despite the lack of a clear progression of TDP-43 pathology, a TDP Staging Scheme for CTE which accurately reflects the extent and severity of TDP-43 pathology in not only the study cohort, but likely in all subjects without FTLD, was established. Four stages were identified: TDP Stage 0 showed no TDP-43 inclusions in the substantia nigra, dorsolateral frontal cortex, or dentate gyrus; TDP Stage 1 showed inclusions in either the substantia nigra or the dorsolateral frontal cortex; TDP Stage 2 showed inclusions either in the dentate gyrus or in both the substantia nigra and the dorsolateral frontal cortex; and TDP Stage 3 showed inclusions in the substantia nigra, dorsolateral frontal cortex, and dentate gyrus. Finally, a correlation was found between the presence of TDP-43 inclusions and the levels of activated microglia in the dorsolateral frontal cortex of CTE+ subjects. This finding aligns with the theory that the pathological changes of TDP-43 found in CTE are driven by the pro-inflammatory cytokines released by chronically activated microglia","author":[{"dropping-particle":"","family":"Barnes","given":"Douglas","non-dropping-particle":"","parse-names":false,"suffix":""}],"id":"ITEM-2","issued":{"date-parts":[["2016"]]},"publisher":"Boston University","title":"TDP-43 pathology in chronic traumatic encephalopathy","type":"thesis"},"uris":["http://www.mendeley.com/documents/?uuid=9e6533c9-be4b-3e0f-9fcf-f92f1b495558"]}],"mendeley":{"formattedCitation":"&lt;sup&gt;143,144&lt;/sup&gt;","plainTextFormattedCitation":"143,144","previouslyFormattedCitation":"&lt;sup&gt;143,144&lt;/sup&gt;"},"properties":{"noteIndex":0},"schema":"https://github.com/citation-style-language/schema/raw/master/csl-citation.json"}</w:instrText>
      </w:r>
      <w:r w:rsidR="000E262B" w:rsidRPr="0082680A">
        <w:rPr>
          <w:lang w:val="en-GB"/>
        </w:rPr>
        <w:fldChar w:fldCharType="separate"/>
      </w:r>
      <w:r w:rsidR="00426B19" w:rsidRPr="00426B19">
        <w:rPr>
          <w:noProof/>
          <w:vertAlign w:val="superscript"/>
          <w:lang w:val="en-GB"/>
        </w:rPr>
        <w:t>143,144</w:t>
      </w:r>
      <w:r w:rsidR="000E262B" w:rsidRPr="0082680A">
        <w:rPr>
          <w:lang w:val="en-GB"/>
        </w:rPr>
        <w:fldChar w:fldCharType="end"/>
      </w:r>
      <w:r w:rsidRPr="0082680A">
        <w:rPr>
          <w:lang w:val="en-GB"/>
        </w:rPr>
        <w:t>.</w:t>
      </w:r>
    </w:p>
    <w:p w14:paraId="68187A00" w14:textId="77777777" w:rsidR="00EB41E2" w:rsidRPr="0082680A" w:rsidRDefault="00EB41E2" w:rsidP="00EB41E2">
      <w:pPr>
        <w:rPr>
          <w:lang w:val="en-GB"/>
        </w:rPr>
      </w:pPr>
      <w:bookmarkStart w:id="76" w:name="_780zzvoett6k" w:colFirst="0" w:colLast="0"/>
      <w:bookmarkEnd w:id="76"/>
    </w:p>
    <w:p w14:paraId="0E0D5175" w14:textId="77777777" w:rsidR="00EB41E2" w:rsidRPr="00842FD0" w:rsidRDefault="00EB41E2" w:rsidP="00842FD0">
      <w:pPr>
        <w:pStyle w:val="Heading2"/>
      </w:pPr>
      <w:bookmarkStart w:id="77" w:name="_2sop8exc6uwv" w:colFirst="0" w:colLast="0"/>
      <w:bookmarkStart w:id="78" w:name="_Toc3211343"/>
      <w:bookmarkEnd w:id="77"/>
      <w:r w:rsidRPr="00842FD0">
        <w:t>TDP-43 Dysfunction</w:t>
      </w:r>
      <w:bookmarkEnd w:id="78"/>
    </w:p>
    <w:p w14:paraId="2FFAA7DB" w14:textId="18C022D2" w:rsidR="00EB41E2" w:rsidRPr="0082680A" w:rsidRDefault="00EB41E2" w:rsidP="00EB41E2">
      <w:pPr>
        <w:rPr>
          <w:lang w:val="en-GB"/>
        </w:rPr>
      </w:pPr>
      <w:r w:rsidRPr="0082680A">
        <w:rPr>
          <w:lang w:val="en-GB"/>
        </w:rPr>
        <w:t xml:space="preserve">The sequence of events leading to TDP-43 dysfunction is only partially understood; we know </w:t>
      </w:r>
      <w:r w:rsidR="00C92239" w:rsidRPr="0082680A">
        <w:rPr>
          <w:lang w:val="en-GB"/>
        </w:rPr>
        <w:t xml:space="preserve">the end result for </w:t>
      </w:r>
      <w:r w:rsidRPr="0082680A">
        <w:rPr>
          <w:lang w:val="en-GB"/>
        </w:rPr>
        <w:t xml:space="preserve">TDP-43, but not </w:t>
      </w:r>
      <w:r w:rsidR="00C92239" w:rsidRPr="0082680A">
        <w:rPr>
          <w:lang w:val="en-GB"/>
        </w:rPr>
        <w:t>why it occurs</w:t>
      </w:r>
      <w:r w:rsidRPr="0082680A">
        <w:rPr>
          <w:lang w:val="en-GB"/>
        </w:rPr>
        <w:t xml:space="preserve">. During episodes of cellular stress (such as disease), TDP-43 is ubiquitinated and phosphorylated at two serine sites, 409 and 410. It is then cleaved by the enzyme caspase, producing the C-terminal fragments (CTFs) </w:t>
      </w:r>
      <w:r w:rsidR="000E262B" w:rsidRPr="0082680A">
        <w:rPr>
          <w:lang w:val="en-GB"/>
        </w:rPr>
        <w:fldChar w:fldCharType="begin" w:fldLock="1"/>
      </w:r>
      <w:r w:rsidR="000507BA">
        <w:rPr>
          <w:lang w:val="en-GB"/>
        </w:rPr>
        <w:instrText>ADDIN CSL_CITATION {"citationItems":[{"id":"ITEM-1","itemData":{"DOI":"10.1073/pnas.0900688106","ISSN":"1091-6490","PMID":"19383787","abstract":"Inclusions of TAR DNA-binding protein-43 (TDP-43), a nuclear protein that regulates transcription and RNA splicing, are the defining histopathological feature of frontotemporal lobar degeneration with ubiquitin-positive inclusions (FTLD-Us) and sporadic and familial forms of amyotrophic lateral sclerosis (ALS). In ALS and FTLD-U, aggregated, ubiquitinated, and N-terminally truncated TDP-43 can be isolated from brain tissue rich in neuronal and glial cytoplasmic inclusions. The loss of TDP-43 function resulting from inappropriate cleavage, translocation from the nucleus, or its sequestration into inclusions could play important roles in neurodegeneration. However, it is not known whether TDP-43 fragments directly mediate toxicity and, more specifically, whether their abnormal aggregation is a cause or consequence of pathogenesis. We report that the ectopic expression of a approximately 25-kDa TDP-43 fragment corresponding to the C-terminal truncation product of caspase-cleaved TDP-43 leads to the formation of toxic, insoluble, and ubiquitin- and phospho-positive cytoplasmic inclusions within cells. The 25-kDa C-terminal fragment is more prone to phosphorylation at S409/S410 than full-length TDP-43, but phosphorylation at these sites is not required for inclusion formation or toxicity. Although this fragment shows no biological activity, its exogenous expression neither inhibits the function nor causes the sequestration of full-length nuclear TDP-43, suggesting that the 25-kDa fragment can induce cell death through a toxic gain-of-function. Finally, by generating a conformation-dependent antibody that detects C-terminal fragments, we show that this toxic cleavage product is specific for pathologic inclusions in human TDP-43 proteinopathies.","author":[{"dropping-particle":"","family":"Zhang","given":"Yong-Jie","non-dropping-particle":"","parse-names":false,"suffix":""},{"dropping-particle":"","family":"Xu","given":"Ya-Fei","non-dropping-particle":"","parse-names":false,"suffix":""},{"dropping-particle":"","family":"Cook","given":"Casey","non-dropping-particle":"","parse-names":false,"suffix":""},{"dropping-particle":"","family":"Gendron","given":"Tania F","non-dropping-particle":"","parse-names":false,"suffix":""},{"dropping-particle":"","family":"Roettges","given":"Paul","non-dropping-particle":"","parse-names":false,"suffix":""},{"dropping-particle":"","family":"Link","given":"Christopher D","non-dropping-particle":"","parse-names":false,"suffix":""},{"dropping-particle":"","family":"Lin","given":"Wen-Lang","non-dropping-particle":"","parse-names":false,"suffix":""},{"dropping-particle":"","family":"Tong","given":"Jimei","non-dropping-particle":"","parse-names":false,"suffix":""},{"dropping-particle":"","family":"Castanedes-Casey","given":"Monica","non-dropping-particle":"","parse-names":false,"suffix":""},{"dropping-particle":"","family":"Ash","given":"Peter","non-dropping-particle":"","parse-names":false,"suffix":""},{"dropping-particle":"","family":"Gass","given":"Jennifer","non-dropping-particle":"","parse-names":false,"suffix":""},{"dropping-particle":"","family":"Rangachari","given":"Vijayaraghavan","non-dropping-particle":"","parse-names":false,"suffix":""},{"dropping-particle":"","family":"Buratti","given":"Emanuele","non-dropping-particle":"","parse-names":false,"suffix":""},{"dropping-particle":"","family":"Baralle","given":"Francisco","non-dropping-particle":"","parse-names":false,"suffix":""},{"dropping-particle":"","family":"Golde","given":"Todd E","non-dropping-particle":"","parse-names":false,"suffix":""},{"dropping-particle":"","family":"Dickson","given":"Dennis W","non-dropping-particle":"","parse-names":false,"suffix":""},{"dropping-particle":"","family":"Petrucelli","given":"Leonard","non-dropping-particle":"","parse-names":false,"suffix":""}],"container-title":"Proceedings of the National Academy of Sciences of the United States of America","id":"ITEM-1","issue":"18","issued":{"date-parts":[["2009","5","5"]]},"page":"7607-12","title":"Aberrant cleavage of TDP-43 enhances aggregation and cellular toxicity.","type":"article-journal","volume":"106"},"uris":["http://www.mendeley.com/documents/?uuid=69b5e5ad-246a-471f-99fe-6549f92f0e0c"]}],"mendeley":{"formattedCitation":"&lt;sup&gt;145&lt;/sup&gt;","plainTextFormattedCitation":"145","previouslyFormattedCitation":"&lt;sup&gt;145&lt;/sup&gt;"},"properties":{"noteIndex":0},"schema":"https://github.com/citation-style-language/schema/raw/master/csl-citation.json"}</w:instrText>
      </w:r>
      <w:r w:rsidR="000E262B" w:rsidRPr="0082680A">
        <w:rPr>
          <w:lang w:val="en-GB"/>
        </w:rPr>
        <w:fldChar w:fldCharType="separate"/>
      </w:r>
      <w:r w:rsidR="00426B19" w:rsidRPr="00426B19">
        <w:rPr>
          <w:noProof/>
          <w:vertAlign w:val="superscript"/>
          <w:lang w:val="en-GB"/>
        </w:rPr>
        <w:t>145</w:t>
      </w:r>
      <w:r w:rsidR="000E262B" w:rsidRPr="0082680A">
        <w:rPr>
          <w:lang w:val="en-GB"/>
        </w:rPr>
        <w:fldChar w:fldCharType="end"/>
      </w:r>
      <w:r w:rsidRPr="0082680A">
        <w:rPr>
          <w:lang w:val="en-GB"/>
        </w:rPr>
        <w:t xml:space="preserve">. The caspase family are a group of endoproteases that have been shown to have significant roles in apoptosis, and have been associated with several diseases such as Alzheimer’s disease, inflammatory disease, and a variety of different cancers </w:t>
      </w:r>
      <w:r w:rsidR="000E262B" w:rsidRPr="0082680A">
        <w:rPr>
          <w:lang w:val="en-GB"/>
        </w:rPr>
        <w:fldChar w:fldCharType="begin" w:fldLock="1"/>
      </w:r>
      <w:r w:rsidR="000507BA">
        <w:rPr>
          <w:lang w:val="en-GB"/>
        </w:rPr>
        <w:instrText>ADDIN CSL_CITATION {"citationItems":[{"id":"ITEM-1","itemData":{"DOI":"10.1101/cshperspect.a008656","ISSN":"1943-0264","PMID":"23545416","abstract":"Caspases are a family of endoproteases that provide critical links in cell regulatory networks controlling inflammation and cell death. The activation of these enzymes is tightly controlled by their production as inactive zymogens that gain catalytic activity following signaling events promoting their aggregation into dimers or macromolecular complexes. Activation of apoptotic caspases results in inactivation or activation of substrates, and the generation of a cascade of signaling events permitting the controlled demolition of cellular components. Activation of inflammatory caspases results in the production of active proinflammatory cytokines and the promotion of innate immune responses to various internal and external insults. Dysregulation of caspases underlies human diseases including cancer and inflammatory disorders, and major efforts to design better therapies for these diseases seek to understand how these enzymes work and how they can be controlled.","author":[{"dropping-particle":"","family":"McIlwain","given":"David R","non-dropping-particle":"","parse-names":false,"suffix":""},{"dropping-particle":"","family":"Berger","given":"Thorsten","non-dropping-particle":"","parse-names":false,"suffix":""},{"dropping-particle":"","family":"Mak","given":"Tak W","non-dropping-particle":"","parse-names":false,"suffix":""}],"container-title":"Cold Spring Harbor perspectives in biology","id":"ITEM-1","issue":"4","issued":{"date-parts":[["2013","4","1"]]},"page":"a008656","title":"Caspase functions in cell death and disease.","type":"article-journal","volume":"5"},"uris":["http://www.mendeley.com/documents/?uuid=820cf188-ed87-4e44-8f5b-4809b9f5ab11"]}],"mendeley":{"formattedCitation":"&lt;sup&gt;146&lt;/sup&gt;","plainTextFormattedCitation":"146","previouslyFormattedCitation":"&lt;sup&gt;146&lt;/sup&gt;"},"properties":{"noteIndex":0},"schema":"https://github.com/citation-style-language/schema/raw/master/csl-citation.json"}</w:instrText>
      </w:r>
      <w:r w:rsidR="000E262B" w:rsidRPr="0082680A">
        <w:rPr>
          <w:lang w:val="en-GB"/>
        </w:rPr>
        <w:fldChar w:fldCharType="separate"/>
      </w:r>
      <w:r w:rsidR="00426B19" w:rsidRPr="00426B19">
        <w:rPr>
          <w:noProof/>
          <w:vertAlign w:val="superscript"/>
          <w:lang w:val="en-GB"/>
        </w:rPr>
        <w:t>146</w:t>
      </w:r>
      <w:r w:rsidR="000E262B" w:rsidRPr="0082680A">
        <w:rPr>
          <w:lang w:val="en-GB"/>
        </w:rPr>
        <w:fldChar w:fldCharType="end"/>
      </w:r>
      <w:r w:rsidRPr="0082680A">
        <w:rPr>
          <w:lang w:val="en-GB"/>
        </w:rPr>
        <w:t xml:space="preserve">. Once cleaved, the TDP-43 fragments, as well as full-length TDP-43, are exported from the nucleus into the cytoplasm, a process recently shown to be regulated by the activity of the protein kinase AMPK </w:t>
      </w:r>
      <w:r w:rsidR="000E262B" w:rsidRPr="0082680A">
        <w:rPr>
          <w:lang w:val="en-GB"/>
        </w:rPr>
        <w:fldChar w:fldCharType="begin" w:fldLock="1"/>
      </w:r>
      <w:r w:rsidR="000507BA">
        <w:rPr>
          <w:lang w:val="en-GB"/>
        </w:rPr>
        <w:instrText>ADDIN CSL_CITATION {"citationItems":[{"id":"ITEM-1","itemData":{"DOI":"10.1093/hmg/ddu497","ISSN":"1460-2083","PMID":"25256353","abstract":"TAR DNA-binding protein-43 (TDP-43) is a nuclear RNA-binding protein involved in many cellular pathways. TDP-43-positive inclusions are a hallmark of amyotrophic lateral sclerosis (ALS). The major clinical presentation of ALS is muscle weakness due to the degeneration of motor neurons. Mislocalization of TDP-43 from the nucleus to the cytoplasm is an early event of ALS. In this study, we demonstrate that cytoplasmic mislocalization of TDP-43 was accompanied by increased activation of AMP-activated protein kinase (AMPK) in motor neurons of ALS patients. The activation of AMPK in a motor neuron cell line (NSC34) or mouse spinal cords induced the mislocalization of TDP-43, recapitulating this characteristic of ALS. Down-regulation of AMPK-α1 or exogenous expression of a dominant-negative AMPK-α1 mutant reduced TDP-43 mislocalization. Suppression of AMPK activity using cAMP-simulating agents rescued the mislocalization of TDP-43 in NSC34 cells and delayed disease progression in TDP-43 transgenic mice. Our findings demonstrate that activation of AMPK-α1 plays a critical role in TDP-43 mislocalization and the development of ALS; thus, AMPK-α1 may be a potential drug target for this devastating disease.","author":[{"dropping-particle":"","family":"Liu","given":"Yu-Ju","non-dropping-particle":"","parse-names":false,"suffix":""},{"dropping-particle":"","family":"Ju","given":"Tz-Chuen","non-dropping-particle":"","parse-names":false,"suffix":""},{"dropping-particle":"","family":"Chen","given":"Hui-Mei","non-dropping-particle":"","parse-names":false,"suffix":""},{"dropping-particle":"","family":"Jang","given":"Yu-Sung","non-dropping-particle":"","parse-names":false,"suffix":""},{"dropping-particle":"","family":"Lee","given":"Li-Ming","non-dropping-particle":"","parse-names":false,"suffix":""},{"dropping-particle":"","family":"Lai","given":"Hsing-Lin","non-dropping-particle":"","parse-names":false,"suffix":""},{"dropping-particle":"","family":"Tai","given":"Hua-Chia","non-dropping-particle":"","parse-names":false,"suffix":""},{"dropping-particle":"","family":"Fang","given":"Jim-Min","non-dropping-particle":"","parse-names":false,"suffix":""},{"dropping-particle":"","family":"Lin","given":"Yun-Lian","non-dropping-particle":"","parse-names":false,"suffix":""},{"dropping-particle":"","family":"Tu","given":"Pang-Hsien","non-dropping-particle":"","parse-names":false,"suffix":""},{"dropping-particle":"","family":"Chern","given":"Yijuang","non-dropping-particle":"","parse-names":false,"suffix":""}],"container-title":"Human molecular genetics","id":"ITEM-1","issue":"3","issued":{"date-parts":[["2015","2","1"]]},"page":"787-801","title":"Activation of AMP-activated protein kinase α1 mediates mislocalization of TDP-43 in amyotrophic lateral sclerosis.","type":"article-journal","volume":"24"},"uris":["http://www.mendeley.com/documents/?uuid=dbec58a5-46d5-4d85-abc9-3b4f2ba2452c"]}],"mendeley":{"formattedCitation":"&lt;sup&gt;147&lt;/sup&gt;","plainTextFormattedCitation":"147","previouslyFormattedCitation":"&lt;sup&gt;147&lt;/sup&gt;"},"properties":{"noteIndex":0},"schema":"https://github.com/citation-style-language/schema/raw/master/csl-citation.json"}</w:instrText>
      </w:r>
      <w:r w:rsidR="000E262B" w:rsidRPr="0082680A">
        <w:rPr>
          <w:lang w:val="en-GB"/>
        </w:rPr>
        <w:fldChar w:fldCharType="separate"/>
      </w:r>
      <w:r w:rsidR="00426B19" w:rsidRPr="00426B19">
        <w:rPr>
          <w:noProof/>
          <w:vertAlign w:val="superscript"/>
          <w:lang w:val="en-GB"/>
        </w:rPr>
        <w:t>147</w:t>
      </w:r>
      <w:r w:rsidR="000E262B" w:rsidRPr="0082680A">
        <w:rPr>
          <w:lang w:val="en-GB"/>
        </w:rPr>
        <w:fldChar w:fldCharType="end"/>
      </w:r>
      <w:r w:rsidRPr="0082680A">
        <w:rPr>
          <w:lang w:val="en-GB"/>
        </w:rPr>
        <w:t xml:space="preserve">. This process results in a significant mislocalisation of the predominantly nuclear TDP-43 protein </w:t>
      </w:r>
      <w:r w:rsidR="000E262B" w:rsidRPr="0082680A">
        <w:rPr>
          <w:lang w:val="en-GB"/>
        </w:rPr>
        <w:fldChar w:fldCharType="begin" w:fldLock="1"/>
      </w:r>
      <w:r w:rsidR="000507BA">
        <w:rPr>
          <w:lang w:val="en-GB"/>
        </w:rPr>
        <w:instrText>ADDIN CSL_CITATION {"citationItems":[{"id":"ITEM-1","itemData":{"DOI":"10.1523/JNEUROSCI.4988-09.2010","ISSN":"1529-2401","PMID":"20071528","abstract":"Mutations in the gene encoding TDP-43-the major protein component of neuronal aggregates characteristic of amyotrophic lateral sclerosis (ALS) and frontotemporal lobar degeneration (FTLD) with ubiquitin-positive inclusion bodies-have been linked to familial forms of both disorders. Aggregates of TDP-43 in cortical and spinal motorneurons in ALS, or in neurons of the frontal and temporal cortices in FTLD, are closely linked to neuron loss and atrophy in these areas. However, the mechanism by which TDP-43 mutations lead to neurodegeneration is unclear. To investigate the pathogenic role of TDP-43 mutations, we established a model of TDP-43 proteinopathies by expressing fluorescently tagged wild-type and mutant TDP-43 in primary rat cortical neurons. Expression of mutant TDP-43 was toxic to neurons, and mutant-specific toxicity was associated with increased cytoplasmic mislocalization of TDP-43. Inclusion bodies were not necessary for the toxicity and did not affect the risk of cell death. Cellular survival was unaffected by the total amount of exogenous TDP-43 in the nucleus, but the amount of cytoplasmic TDP-43 was a strong and independent predictor of neuronal death. These results suggest that mutant TDP-43 is mislocalized to the cytoplasm, where it exhibits a toxic gain-of-function and induces cell death.","author":[{"dropping-particle":"","family":"Barmada","given":"Sami J","non-dropping-particle":"","parse-names":false,"suffix":""},{"dropping-particle":"","family":"Skibinski","given":"Gaia","non-dropping-particle":"","parse-names":false,"suffix":""},{"dropping-particle":"","family":"Korb","given":"Erica","non-dropping-particle":"","parse-names":false,"suffix":""},{"dropping-particle":"","family":"Rao","given":"Elizabeth J","non-dropping-particle":"","parse-names":false,"suffix":""},{"dropping-particle":"","family":"Wu","given":"Jane Y","non-dropping-particle":"","parse-names":false,"suffix":""},{"dropping-particle":"","family":"Finkbeiner","given":"Steven","non-dropping-particle":"","parse-names":false,"suffix":""}],"container-title":"The Journal of neuroscience : the official journal of the Society for Neuroscience","id":"ITEM-1","issue":"2","issued":{"date-parts":[["2010","1","13"]]},"page":"639-49","title":"Cytoplasmic mislocalization of TDP-43 is toxic to neurons and enhanced by a mutation associated with familial amyotrophic lateral sclerosis.","type":"article-journal","volume":"30"},"uris":["http://www.mendeley.com/documents/?uuid=801b578d-51ed-411c-8c94-a89bdd27ebc7"]}],"mendeley":{"formattedCitation":"&lt;sup&gt;148&lt;/sup&gt;","plainTextFormattedCitation":"148","previouslyFormattedCitation":"&lt;sup&gt;148&lt;/sup&gt;"},"properties":{"noteIndex":0},"schema":"https://github.com/citation-style-language/schema/raw/master/csl-citation.json"}</w:instrText>
      </w:r>
      <w:r w:rsidR="000E262B" w:rsidRPr="0082680A">
        <w:rPr>
          <w:lang w:val="en-GB"/>
        </w:rPr>
        <w:fldChar w:fldCharType="separate"/>
      </w:r>
      <w:r w:rsidR="00426B19" w:rsidRPr="00426B19">
        <w:rPr>
          <w:noProof/>
          <w:vertAlign w:val="superscript"/>
          <w:lang w:val="en-GB"/>
        </w:rPr>
        <w:t>148</w:t>
      </w:r>
      <w:r w:rsidR="000E262B" w:rsidRPr="0082680A">
        <w:rPr>
          <w:lang w:val="en-GB"/>
        </w:rPr>
        <w:fldChar w:fldCharType="end"/>
      </w:r>
      <w:r w:rsidRPr="0082680A">
        <w:rPr>
          <w:lang w:val="en-GB"/>
        </w:rPr>
        <w:t>.</w:t>
      </w:r>
    </w:p>
    <w:p w14:paraId="602110D8" w14:textId="77777777" w:rsidR="0026682D" w:rsidRPr="0082680A" w:rsidRDefault="0026682D" w:rsidP="00EB41E2">
      <w:pPr>
        <w:rPr>
          <w:lang w:val="en-GB"/>
        </w:rPr>
      </w:pPr>
    </w:p>
    <w:p w14:paraId="3E0658CC" w14:textId="1B390DAC" w:rsidR="00EB41E2" w:rsidRPr="0082680A" w:rsidRDefault="00EB41E2" w:rsidP="00EB41E2">
      <w:pPr>
        <w:rPr>
          <w:lang w:val="en-GB"/>
        </w:rPr>
      </w:pPr>
      <w:r w:rsidRPr="0082680A">
        <w:rPr>
          <w:lang w:val="en-GB"/>
        </w:rPr>
        <w:t xml:space="preserve">Once in the cytoplasm, full-length TDP-43 is recruited into stress granules (SGs), whereas TDP-43 CTFs appear to aggregate separately, likely due to a lack of the RRM1 domain </w:t>
      </w:r>
      <w:r w:rsidR="004D5EA3" w:rsidRPr="0082680A">
        <w:rPr>
          <w:lang w:val="en-GB"/>
        </w:rPr>
        <w:fldChar w:fldCharType="begin" w:fldLock="1"/>
      </w:r>
      <w:r w:rsidR="000507BA">
        <w:rPr>
          <w:lang w:val="en-GB"/>
        </w:rPr>
        <w:instrText xml:space="preserve">ADDIN CSL_CITATION {"citationItems":[{"id":"ITEM-1","itemData":{"DOI":"10.1111/j.1471-4159.2009.06383.x","ISSN":"1471-4159","PMID":"19765185","abstract":"Transactive response DNA-binding protein 43 (TDP-43) forms abnormal ubiquitinated and phosphorylated inclusions in brain tissues from patients with amyotrophic lateral sclerosis (ALS) and frontotemporal lobar degeneration. TDP-43 is a DNA/RNA-binding protein involved in RNA processing, such as transcription, pre-mRNA splicing, mRNA stabilization and transport to dendrites. We found that in response to oxidative stress and to environmental insults of different types TDP-43 is capable to assemble into stress granules (SGs), ribonucleoprotein complexes where protein synthesis is temporarily arrested. We demonstrated that a specific aminoacidic interval (216-315) in the C-terminal region and the RNA-recognition motif 1 domain are both implicated in TDP-43 participation in SGs as their deletion prevented the recruitment of TDP-43 into SGs. Our data show that TDP-43 is a specific component of SGs and not of processing bodies, although we proved that TDP-43 is not necessary for SG formation, and its gene silencing does not impair cell survival during stress. The analysis of spinal cord tissue from ALS patients showed that SG markers are not entrapped in TDP-43 pathological inclusions. Although SGs were not evident in ALS brains, we speculate that an altered control of mRNA translation in stressful conditions may trigger motor neuron degeneration at early stages of the disease.","author":[{"dropping-particle":"","family":"Colombrita","given":"Claudia","non-dropping-particle":"","parse-names":false,"suffix":""},{"dropping-particle":"","family":"Zennaro","given":"Eleonora","non-dropping-particle":"","parse-names":false,"suffix":""},{"dropping-particle":"","family":"Fallini","given":"Claudia","non-dropping-particle":"","parse-names":false,"suffix":""},{"dropping-particle":"","family":"Weber","given":"Markus","non-dropping-particle":"","parse-names":false,"suffix":""},{"dropping-particle":"","family":"Sommacal","given":"Andreas","non-dropping-particle":"","parse-names":false,"suffix":""},{"dropping-particle":"","family":"Buratti","given":"Emanuele","non-dropping-particle":"","parse-names":false,"suffix":""},{"dropping-particle":"","family":"Silani","given":"Vincenzo","non-dropping-particle":"","parse-names":false,"suffix":""},{"dropping-particle":"","family":"Ratti","given":"Antonia","non-dropping-particle":"","parse-names":false,"suffix":""}],"container-title":"Journal of neurochemistry","id":"ITEM-1","issue":"4","issued":{"date-parts":[["2009","11"]]},"page":"1051-61","title":"TDP-43 is recruited to stress granules in conditions of oxidative insult.","type":"article-journal","volume":"111"},"uris":["http://www.mendeley.com/documents/?uuid=b305f823-1d60-463e-a395-da045907e20d"]},{"id":"ITEM-2","itemData":{"DOI":"10.1371/journal.pone.0015878","ISSN":"1932-6203","PMID":"21209826","abstract":"TAR DNA binding protein 43 KD (TDP-43) is an essential gene that regulates gene transcription, mRNA splicing and stability. In amyotrophic lateral sclerosis (ALS) and frontotemporal dementia (FTD), two fatal neurodegenerative diseases, TDP-43 is fragmented, generating multiple fragments that include the C-terminal fragment of </w:instrText>
      </w:r>
      <w:r w:rsidR="000507BA">
        <w:rPr>
          <w:rFonts w:ascii="Cambria Math" w:hAnsi="Cambria Math" w:cs="Cambria Math"/>
          <w:lang w:val="en-GB"/>
        </w:rPr>
        <w:instrText>∼</w:instrText>
      </w:r>
      <w:r w:rsidR="000507BA">
        <w:rPr>
          <w:lang w:val="en-GB"/>
        </w:rPr>
        <w:instrText>25 KD. The role of these fragments in the pathogenesis of ALS and FTD is not clear. Here we investigated the aggregation propensity in various polypeptide regions of TDP-43 in mammalian cells and the effect of these fragments on cultured neurons. By expressing the full length and various TDP-43 fragments in motor neuron-derived NSC-34 cells and primary neurons, we found that both N- and C-terminal fragments of TDP-43 are prone to aggregate and the C-terminal end of RRM2 region is required, though not sufficient, for aggregation. The aggregation of the TDP-43 fragments can drive co-aggregation with the full-length TDP-43, consequently reducing the nuclear TDP-43. In addition, the TDP-43 fragments can impair neurite growth during neuronal differentiation. Importantly, overexpression of the full-length TDP-43 rescues the neurite growth phenotype whereas knockdown of the endogenous TDP-43 reproduces this phenotype. These results suggest that TDP-43 fragments, particularly the pathologically relevant C-terminal fragments, can impair neuronal differentiation by dominant-negatively interfering with the function of the full length TDP-43, thus playing a role in pathogenesis in ALS and FTD.","author":[{"dropping-particle":"","family":"Yang","given":"Chunxing","non-dropping-particle":"","parse-names":false,"suffix":""},{"dropping-particle":"","family":"Tan","given":"Weijia","non-dropping-particle":"","parse-names":false,"suffix":""},{"dropping-particle":"","family":"Whittle","given":"Catheryne","non-dropping-particle":"","parse-names":false,"suffix":""},{"dropping-particle":"","family":"Qiu","given":"Linghua","non-dropping-particle":"","parse-names":false,"suffix":""},{"dropping-particle":"","family":"Cao","given":"Lucheng","non-dropping-particle":"","parse-names":false,"suffix":""},{"dropping-particle":"","family":"Akbarian","given":"Schahram","non-dropping-particle":"","parse-names":false,"suffix":""},{"dropping-particle":"","family":"Xu","given":"Zuoshang","non-dropping-particle":"","parse-names":false,"suffix":""}],"container-title":"PloS one","id":"ITEM-2","issue":"12","issued":{"date-parts":[["2010","1","31"]]},"page":"e15878","publisher":"Public Library of Science","title":"The C-terminal TDP-43 fragments have a high aggregation propensity and harm neurons by a dominant-negative mechanism.","type":"article-journal","volume":"5"},"uris":["http://www.mendeley.com/documents/?uuid=9aaf251e-3965-40d1-b5fc-c20b5f8a2a5e"]}],"mendeley":{"formattedCitation":"&lt;sup&gt;149,150&lt;/sup&gt;","plainTextFormattedCitation":"149,150","previouslyFormattedCitation":"&lt;sup&gt;149,150&lt;/sup&gt;"},"properties":{"noteIndex":0},"schema":"https://github.com/citation-style-language/schema/raw/master/csl-citation.json"}</w:instrText>
      </w:r>
      <w:r w:rsidR="004D5EA3" w:rsidRPr="0082680A">
        <w:rPr>
          <w:lang w:val="en-GB"/>
        </w:rPr>
        <w:fldChar w:fldCharType="separate"/>
      </w:r>
      <w:r w:rsidR="00426B19" w:rsidRPr="00426B19">
        <w:rPr>
          <w:noProof/>
          <w:vertAlign w:val="superscript"/>
          <w:lang w:val="en-GB"/>
        </w:rPr>
        <w:t>149,150</w:t>
      </w:r>
      <w:r w:rsidR="004D5EA3" w:rsidRPr="0082680A">
        <w:rPr>
          <w:lang w:val="en-GB"/>
        </w:rPr>
        <w:fldChar w:fldCharType="end"/>
      </w:r>
      <w:r w:rsidR="004D5EA3" w:rsidRPr="0082680A">
        <w:rPr>
          <w:lang w:val="en-GB"/>
        </w:rPr>
        <w:t xml:space="preserve">. </w:t>
      </w:r>
      <w:r w:rsidRPr="0082680A">
        <w:rPr>
          <w:lang w:val="en-GB"/>
        </w:rPr>
        <w:t xml:space="preserve">SGs are protective ribonucleoprotein compartments formed to silence and protect partially translated housekeeping mRNAs during episodes of cellular stress. Other than mRNA, they often also contain proteins involved in mRNA stabilisation, a possible explanation for the presence of TDP-43. SGs are usually reversible, returning to normal once the stress has subsided. </w:t>
      </w:r>
      <w:r w:rsidR="0026682D" w:rsidRPr="0082680A">
        <w:rPr>
          <w:lang w:val="en-GB"/>
        </w:rPr>
        <w:t>However,</w:t>
      </w:r>
      <w:r w:rsidRPr="0082680A">
        <w:rPr>
          <w:lang w:val="en-GB"/>
        </w:rPr>
        <w:t xml:space="preserve"> if this stress does not subside, SGs can form permanent aggregations, such as the inclusions seen with TDP-43. The difference between reversible and irreversible SGs has recently been attributed to the differing phase-states of RNA-binding proteins, such as TDP-43 </w:t>
      </w:r>
      <w:r w:rsidR="004D5EA3" w:rsidRPr="0082680A">
        <w:rPr>
          <w:lang w:val="en-GB"/>
        </w:rPr>
        <w:fldChar w:fldCharType="begin" w:fldLock="1"/>
      </w:r>
      <w:r w:rsidR="000507BA">
        <w:rPr>
          <w:lang w:val="en-GB"/>
        </w:rPr>
        <w:instrText>ADDIN CSL_CITATION {"citationItems":[{"id":"ITEM-1","itemData":{"DOI":"10.1016/j.neuron.2015.10.030","ISSN":"1097-4199","PMID":"26526393","abstract":"The mechanisms by which mutations in FUS and other RNA binding proteins cause ALS and FTD remain controversial. We propose a model in which low-complexity (LC) domains of FUS drive its physiologically reversible assembly into membrane-free, liquid droplet and hydrogel-like structures. ALS/FTD mutations in LC or non-LC domains induce further phase transition into poorly soluble fibrillar hydrogels distinct from conventional amyloids. These assemblies are necessary and sufficient for neurotoxicity in a C. elegans model of FUS-dependent neurodegeneration. They trap other ribonucleoprotein (RNP) granule components and disrupt RNP granule function. One consequence is impairment of new protein synthesis by cytoplasmic RNP granules in axon terminals, where RNP granules regulate local RNA metabolism and translation. Nuclear FUS granules may be similarly affected. Inhibiting formation of these fibrillar hydrogel assemblies mitigates neurotoxicity and suggests a potential therapeutic strategy that may also be applicable to ALS/FTD associated with mutations in other RNA binding proteins.","author":[{"dropping-particle":"","family":"Murakami","given":"Tetsuro","non-dropping-particle":"","parse-names":false,"suffix":""},{"dropping-particle":"","family":"Qamar","given":"Seema","non-dropping-particle":"","parse-names":false,"suffix":""},{"dropping-particle":"","family":"Lin","given":"Julie Qiaojin","non-dropping-particle":"","parse-names":false,"suffix":""},{"dropping-particle":"","family":"Schierle","given":"Gabriele S Kaminski","non-dropping-particle":"","parse-names":false,"suffix":""},{"dropping-particle":"","family":"Rees","given":"Eric","non-dropping-particle":"","parse-names":false,"suffix":""},{"dropping-particle":"","family":"Miyashita","given":"Akinori","non-dropping-particle":"","parse-names":false,"suffix":""},{"dropping-particle":"","family":"Costa","given":"Ana R","non-dropping-particle":"","parse-names":false,"suffix":""},{"dropping-particle":"","family":"Dodd","given":"Roger B","non-dropping-particle":"","parse-names":false,"suffix":""},{"dropping-particle":"","family":"Chan","given":"Fiona T S","non-dropping-particle":"","parse-names":false,"suffix":""},{"dropping-particle":"","family":"Michel","given":"Claire H","non-dropping-particle":"","parse-names":false,"suffix":""},{"dropping-particle":"","family":"Kronenberg-Versteeg","given":"Deborah","non-dropping-particle":"","parse-names":false,"suffix":""},{"dropping-particle":"","family":"Li","given":"Yi","non-dropping-particle":"","parse-names":false,"suffix":""},{"dropping-particle":"","family":"Yang","given":"Seung-Pil","non-dropping-particle":"","parse-names":false,"suffix":""},{"dropping-particle":"","family":"Wakutani","given":"Yosuke","non-dropping-particle":"","parse-names":false,"suffix":""},{"dropping-particle":"","family":"Meadows","given":"William","non-dropping-particle":"","parse-names":false,"suffix":""},{"dropping-particle":"","family":"Ferry","given":"Rodylyn Rose","non-dropping-particle":"","parse-names":false,"suffix":""},{"dropping-particle":"","family":"Dong","given":"Liang","non-dropping-particle":"","parse-names":false,"suffix":""},{"dropping-particle":"","family":"Tartaglia","given":"Gian Gaetano","non-dropping-particle":"","parse-names":false,"suffix":""},{"dropping-particle":"","family":"Favrin","given":"Giorgio","non-dropping-particle":"","parse-names":false,"suffix":""},{"dropping-particle":"","family":"Lin","given":"Wen-Lang","non-dropping-particle":"","parse-names":false,"suffix":""},{"dropping-particle":"","family":"Dickson","given":"Dennis W","non-dropping-particle":"","parse-names":false,"suffix":""},{"dropping-particle":"","family":"Zhen","given":"Mei","non-dropping-particle":"","parse-names":false,"suffix":""},{"dropping-particle":"","family":"Ron","given":"David","non-dropping-particle":"","parse-names":false,"suffix":""},{"dropping-particle":"","family":"Schmitt-Ulms","given":"Gerold","non-dropping-particle":"","parse-names":false,"suffix":""},{"dropping-particle":"","family":"Fraser","given":"Paul E","non-dropping-particle":"","parse-names":false,"suffix":""},{"dropping-particle":"","family":"Shneider","given":"Neil A","non-dropping-particle":"","parse-names":false,"suffix":""},{"dropping-particle":"","family":"Holt","given":"Christine","non-dropping-particle":"","parse-names":false,"suffix":""},{"dropping-particle":"","family":"Vendruscolo","given":"Michele","non-dropping-particle":"","parse-names":false,"suffix":""},{"dropping-particle":"","family":"Kaminski","given":"Clemens F","non-dropping-particle":"","parse-names":false,"suffix":""},{"dropping-particle":"","family":"St George-Hyslop","given":"Peter","non-dropping-particle":"","parse-names":false,"suffix":""}],"container-title":"Neuron","id":"ITEM-1","issue":"4","issued":{"date-parts":[["2015","10","28"]]},"page":"678-690","title":"ALS/FTD Mutation-Induced Phase Transition of FUS Liquid Droplets and Reversible Hydrogels into Irreversible Hydrogels Impairs RNP Granule Function.","type":"article-journal","volume":"88"},"uris":["http://www.mendeley.com/documents/?uuid=d1886f67-73ff-4483-a4a4-54f75d63c46a"]}],"mendeley":{"formattedCitation":"&lt;sup&gt;151&lt;/sup&gt;","plainTextFormattedCitation":"151","previouslyFormattedCitation":"&lt;sup&gt;151&lt;/sup&gt;"},"properties":{"noteIndex":0},"schema":"https://github.com/citation-style-language/schema/raw/master/csl-citation.json"}</w:instrText>
      </w:r>
      <w:r w:rsidR="004D5EA3" w:rsidRPr="0082680A">
        <w:rPr>
          <w:lang w:val="en-GB"/>
        </w:rPr>
        <w:fldChar w:fldCharType="separate"/>
      </w:r>
      <w:r w:rsidR="00426B19" w:rsidRPr="00426B19">
        <w:rPr>
          <w:noProof/>
          <w:vertAlign w:val="superscript"/>
          <w:lang w:val="en-GB"/>
        </w:rPr>
        <w:t>151</w:t>
      </w:r>
      <w:r w:rsidR="004D5EA3" w:rsidRPr="0082680A">
        <w:rPr>
          <w:lang w:val="en-GB"/>
        </w:rPr>
        <w:fldChar w:fldCharType="end"/>
      </w:r>
      <w:r w:rsidRPr="0082680A">
        <w:rPr>
          <w:lang w:val="en-GB"/>
        </w:rPr>
        <w:t xml:space="preserve">. Normally, such proteins undergo a reversible phase transition into liquid or hydrogel states during SG formation. </w:t>
      </w:r>
      <w:r w:rsidRPr="0082680A">
        <w:rPr>
          <w:lang w:val="en-GB"/>
        </w:rPr>
        <w:lastRenderedPageBreak/>
        <w:t>It is hypothesised that in the presence of mutations, the proteins instead transition into an irreversible, fibrillar state, leading to permanent protein aggregation.</w:t>
      </w:r>
    </w:p>
    <w:p w14:paraId="6BE6F1B2" w14:textId="77777777" w:rsidR="0026682D" w:rsidRPr="0082680A" w:rsidRDefault="0026682D" w:rsidP="00EB41E2">
      <w:pPr>
        <w:rPr>
          <w:lang w:val="en-GB"/>
        </w:rPr>
      </w:pPr>
    </w:p>
    <w:p w14:paraId="14895497" w14:textId="00D36A64" w:rsidR="00EB41E2" w:rsidRPr="0082680A" w:rsidRDefault="00EB41E2" w:rsidP="00EB41E2">
      <w:pPr>
        <w:rPr>
          <w:lang w:val="en-GB"/>
        </w:rPr>
      </w:pPr>
      <w:r w:rsidRPr="0082680A">
        <w:rPr>
          <w:lang w:val="en-GB"/>
        </w:rPr>
        <w:t xml:space="preserve">What is still not clear is whether the toxicity to cells is caused by the loss of TDP-43 protein from the nucleus, </w:t>
      </w:r>
      <w:r w:rsidR="004D5EA3" w:rsidRPr="0082680A">
        <w:rPr>
          <w:lang w:val="en-GB"/>
        </w:rPr>
        <w:t>or the aggregations themselves</w:t>
      </w:r>
      <w:r w:rsidRPr="0082680A">
        <w:rPr>
          <w:lang w:val="en-GB"/>
        </w:rPr>
        <w:t>. These two events, however, are inherently linked, and it is likely that a combination of both contributes to the neurodegenerative process</w:t>
      </w:r>
      <w:r w:rsidR="004D5EA3" w:rsidRPr="0082680A">
        <w:rPr>
          <w:lang w:val="en-GB"/>
        </w:rPr>
        <w:t xml:space="preserve"> </w:t>
      </w:r>
      <w:r w:rsidR="004D5EA3" w:rsidRPr="0082680A">
        <w:rPr>
          <w:lang w:val="en-GB"/>
        </w:rPr>
        <w:fldChar w:fldCharType="begin" w:fldLock="1"/>
      </w:r>
      <w:r w:rsidR="000507BA">
        <w:rPr>
          <w:lang w:val="en-GB"/>
        </w:rPr>
        <w:instrText>ADDIN CSL_CITATION {"citationItems":[{"id":"ITEM-1","itemData":{"DOI":"10.1038/nrn3121","ISSN":"1471-0048","PMID":"22127299","abstract":"RNA-binding proteins, and in particular TAR DNA-binding protein 43 (TDP43), are central to the pathogenesis of motor neuron diseases and related neurodegenerative disorders. Studies on human tissue have implicated several possible mechanisms of disease and experimental studies are now attempting to determine whether TDP43-mediated neurodegeneration results from a gain or a loss of function of the protein. In addition, the distinct possibility of pleotropic or combined effects - in which gains of toxic properties and losses of normal TDP43 functions act together - needs to be considered.","author":[{"dropping-particle":"","family":"Lee","given":"Edward B","non-dropping-particle":"","parse-names":false,"suffix":""},{"dropping-particle":"","family":"Lee","given":"Virginia M-Y","non-dropping-particle":"","parse-names":false,"suffix":""},{"dropping-particle":"","family":"Trojanowski","given":"John Q","non-dropping-particle":"","parse-names":false,"suffix":""}],"container-title":"Nature reviews. Neuroscience","id":"ITEM-1","issue":"1","issued":{"date-parts":[["2012","1","30"]]},"language":"en","page":"38-50","publisher":"Nature Publishing Group","title":"Gains or losses: molecular mechanisms of TDP43-mediated neurodegeneration.","type":"article-journal","volume":"13"},"uris":["http://www.mendeley.com/documents/?uuid=a4fe172b-9a31-4704-b401-f678cc02d78c"]}],"mendeley":{"formattedCitation":"&lt;sup&gt;152&lt;/sup&gt;","plainTextFormattedCitation":"152","previouslyFormattedCitation":"&lt;sup&gt;152&lt;/sup&gt;"},"properties":{"noteIndex":0},"schema":"https://github.com/citation-style-language/schema/raw/master/csl-citation.json"}</w:instrText>
      </w:r>
      <w:r w:rsidR="004D5EA3" w:rsidRPr="0082680A">
        <w:rPr>
          <w:lang w:val="en-GB"/>
        </w:rPr>
        <w:fldChar w:fldCharType="separate"/>
      </w:r>
      <w:r w:rsidR="00426B19" w:rsidRPr="00426B19">
        <w:rPr>
          <w:noProof/>
          <w:vertAlign w:val="superscript"/>
          <w:lang w:val="en-GB"/>
        </w:rPr>
        <w:t>152</w:t>
      </w:r>
      <w:r w:rsidR="004D5EA3" w:rsidRPr="0082680A">
        <w:rPr>
          <w:lang w:val="en-GB"/>
        </w:rPr>
        <w:fldChar w:fldCharType="end"/>
      </w:r>
      <w:r w:rsidRPr="0082680A">
        <w:rPr>
          <w:lang w:val="en-GB"/>
        </w:rPr>
        <w:t>. Identifying drivers of TDP-43 dysfunction may help prevent both mislocalisation and aggregation, and subsequent neuronal death.</w:t>
      </w:r>
    </w:p>
    <w:p w14:paraId="640DC66E" w14:textId="61EB060D" w:rsidR="00890B6B" w:rsidRPr="0082680A" w:rsidRDefault="00890B6B" w:rsidP="00EB41E2">
      <w:pPr>
        <w:rPr>
          <w:lang w:val="en-GB"/>
        </w:rPr>
      </w:pPr>
      <w:bookmarkStart w:id="79" w:name="_i9a3ug5vlmg1" w:colFirst="0" w:colLast="0"/>
      <w:bookmarkEnd w:id="79"/>
    </w:p>
    <w:p w14:paraId="737EED75" w14:textId="77777777" w:rsidR="00EB41E2" w:rsidRPr="00842FD0" w:rsidRDefault="00EB41E2" w:rsidP="00842FD0">
      <w:pPr>
        <w:pStyle w:val="Heading2"/>
      </w:pPr>
      <w:bookmarkStart w:id="80" w:name="_30xluxd896v6" w:colFirst="0" w:colLast="0"/>
      <w:bookmarkStart w:id="81" w:name="_Toc3211344"/>
      <w:bookmarkEnd w:id="80"/>
      <w:r w:rsidRPr="00842FD0">
        <w:t>Developing a TDP-43 Signature</w:t>
      </w:r>
      <w:bookmarkEnd w:id="81"/>
    </w:p>
    <w:p w14:paraId="6768A214" w14:textId="59CEE808" w:rsidR="00EB41E2" w:rsidRPr="0082680A" w:rsidRDefault="00EB41E2" w:rsidP="00EB41E2">
      <w:pPr>
        <w:rPr>
          <w:lang w:val="en-GB"/>
        </w:rPr>
      </w:pPr>
      <w:r w:rsidRPr="0082680A">
        <w:rPr>
          <w:lang w:val="en-GB"/>
        </w:rPr>
        <w:t xml:space="preserve">There are a number of benefits to using TDP-43 dysfunction as a case study during pipeline development. Firstly, the data collected from conditions expressing TDP-43 pathology will be quite heterogeneous; clinical phenotypes range anywhere from purely cognitive to purely motor abnormalities, pathology presents in many different regions of the central nervous system, and the data collected from these patients is likely to come from different labs using their own methodologies and platforms. Secondly, many of these neurodegenerative diseases are quite rare, and there is limited availability of CNS tissue due to most samples being collected post-mortem, meaning that dataset sizes are likely to be small. Finally, TDP-43 mislocalisation and aggregation is an easily quantifiable phenotype, making laboratory validation </w:t>
      </w:r>
      <w:r w:rsidR="00EB778D" w:rsidRPr="0082680A">
        <w:rPr>
          <w:lang w:val="en-GB"/>
        </w:rPr>
        <w:t xml:space="preserve">relatively </w:t>
      </w:r>
      <w:r w:rsidRPr="0082680A">
        <w:rPr>
          <w:lang w:val="en-GB"/>
        </w:rPr>
        <w:t xml:space="preserve">straightforward. </w:t>
      </w:r>
    </w:p>
    <w:p w14:paraId="5917842A" w14:textId="60CBAB9D" w:rsidR="00F60888" w:rsidRPr="0082680A" w:rsidRDefault="00EB41E2" w:rsidP="00D0571E">
      <w:pPr>
        <w:keepNext/>
        <w:rPr>
          <w:noProof/>
          <w:lang w:val="en-GB"/>
        </w:rPr>
      </w:pPr>
      <w:r w:rsidRPr="0082680A">
        <w:rPr>
          <w:lang w:val="en-GB"/>
        </w:rPr>
        <w:t xml:space="preserve">The aim of the project is to develop a methodology that </w:t>
      </w:r>
      <w:r w:rsidR="005C4E13" w:rsidRPr="0082680A">
        <w:rPr>
          <w:lang w:val="en-GB"/>
        </w:rPr>
        <w:t>reliably</w:t>
      </w:r>
      <w:r w:rsidRPr="0082680A">
        <w:rPr>
          <w:lang w:val="en-GB"/>
        </w:rPr>
        <w:t xml:space="preserve"> </w:t>
      </w:r>
      <w:r w:rsidR="005C4E13" w:rsidRPr="0082680A">
        <w:rPr>
          <w:lang w:val="en-GB"/>
        </w:rPr>
        <w:t>generates</w:t>
      </w:r>
      <w:r w:rsidRPr="0082680A">
        <w:rPr>
          <w:lang w:val="en-GB"/>
        </w:rPr>
        <w:t xml:space="preserve"> signatures </w:t>
      </w:r>
      <w:r w:rsidR="005C4E13" w:rsidRPr="0082680A">
        <w:rPr>
          <w:lang w:val="en-GB"/>
        </w:rPr>
        <w:t>containing</w:t>
      </w:r>
      <w:r w:rsidRPr="0082680A">
        <w:rPr>
          <w:lang w:val="en-GB"/>
        </w:rPr>
        <w:t xml:space="preserve"> upstream drivers of shared phenotype</w:t>
      </w:r>
      <w:r w:rsidR="005C4E13" w:rsidRPr="0082680A">
        <w:rPr>
          <w:lang w:val="en-GB"/>
        </w:rPr>
        <w:t>s</w:t>
      </w:r>
      <w:r w:rsidR="00EB778D" w:rsidRPr="0082680A">
        <w:rPr>
          <w:i/>
          <w:lang w:val="en-GB"/>
        </w:rPr>
        <w:t>.</w:t>
      </w:r>
      <w:r w:rsidR="00EB778D" w:rsidRPr="0082680A">
        <w:rPr>
          <w:lang w:val="en-GB"/>
        </w:rPr>
        <w:t xml:space="preserve"> </w:t>
      </w:r>
      <w:r w:rsidRPr="0082680A">
        <w:rPr>
          <w:lang w:val="en-GB"/>
        </w:rPr>
        <w:t xml:space="preserve">In this </w:t>
      </w:r>
      <w:r w:rsidR="00EB778D" w:rsidRPr="0082680A">
        <w:rPr>
          <w:lang w:val="en-GB"/>
        </w:rPr>
        <w:t>chapter</w:t>
      </w:r>
      <w:r w:rsidRPr="0082680A">
        <w:rPr>
          <w:lang w:val="en-GB"/>
        </w:rPr>
        <w:t xml:space="preserve">, </w:t>
      </w:r>
      <w:r w:rsidR="00EB778D" w:rsidRPr="0082680A">
        <w:rPr>
          <w:lang w:val="en-GB"/>
        </w:rPr>
        <w:t>we present the process by which</w:t>
      </w:r>
      <w:r w:rsidRPr="0082680A">
        <w:rPr>
          <w:lang w:val="en-GB"/>
        </w:rPr>
        <w:t xml:space="preserve"> </w:t>
      </w:r>
      <w:r w:rsidR="00EB778D" w:rsidRPr="0082680A">
        <w:rPr>
          <w:lang w:val="en-GB"/>
        </w:rPr>
        <w:t xml:space="preserve">we developed this methodological pipeline, resulting in the identification of novel upstream drivers for </w:t>
      </w:r>
      <w:r w:rsidRPr="0082680A">
        <w:rPr>
          <w:lang w:val="en-GB"/>
        </w:rPr>
        <w:t xml:space="preserve">TDP-43 dysfunction. </w:t>
      </w:r>
      <w:r w:rsidR="009F1B77" w:rsidRPr="0082680A">
        <w:rPr>
          <w:lang w:val="en-GB"/>
        </w:rPr>
        <w:t>These analyses were completed using the software environment R (</w:t>
      </w:r>
      <w:hyperlink r:id="rId46" w:history="1">
        <w:r w:rsidR="009F1B77" w:rsidRPr="0082680A">
          <w:rPr>
            <w:rStyle w:val="Hyperlink"/>
            <w:lang w:val="en-GB"/>
          </w:rPr>
          <w:t>https://www.r-project.org/</w:t>
        </w:r>
      </w:hyperlink>
      <w:r w:rsidR="009F1B77" w:rsidRPr="0082680A">
        <w:rPr>
          <w:lang w:val="en-GB"/>
        </w:rPr>
        <w:t xml:space="preserve">). All code used in this project can be accessed through the following GitHub URL: </w:t>
      </w:r>
      <w:hyperlink r:id="rId47" w:history="1">
        <w:r w:rsidR="009F1B77" w:rsidRPr="0082680A">
          <w:rPr>
            <w:rStyle w:val="Hyperlink"/>
            <w:lang w:val="en-GB"/>
          </w:rPr>
          <w:t>https://github.com/AnalytiClaire</w:t>
        </w:r>
      </w:hyperlink>
      <w:r w:rsidR="00691215">
        <w:rPr>
          <w:lang w:val="en-GB"/>
        </w:rPr>
        <w:t>.</w:t>
      </w:r>
    </w:p>
    <w:p w14:paraId="33338BC2" w14:textId="77777777" w:rsidR="00D0571E" w:rsidRPr="0082680A" w:rsidRDefault="00D0571E" w:rsidP="00D0571E">
      <w:pPr>
        <w:keepNext/>
        <w:rPr>
          <w:noProof/>
          <w:lang w:val="en-GB"/>
        </w:rPr>
      </w:pPr>
    </w:p>
    <w:p w14:paraId="37FFE41B" w14:textId="77777777" w:rsidR="00EB41E2" w:rsidRPr="00691215" w:rsidRDefault="00EB41E2" w:rsidP="00691215">
      <w:pPr>
        <w:pStyle w:val="Heading3"/>
      </w:pPr>
      <w:bookmarkStart w:id="82" w:name="_2ii65tysar9m" w:colFirst="0" w:colLast="0"/>
      <w:bookmarkStart w:id="83" w:name="_Toc3211345"/>
      <w:bookmarkEnd w:id="82"/>
      <w:r w:rsidRPr="00691215">
        <w:t>Identifying Commonly Differentially Expressed Genes</w:t>
      </w:r>
      <w:bookmarkEnd w:id="83"/>
    </w:p>
    <w:p w14:paraId="32D9475F" w14:textId="49F587DD" w:rsidR="00396E1F" w:rsidRPr="0082680A" w:rsidRDefault="00396E1F" w:rsidP="00EB41E2">
      <w:pPr>
        <w:rPr>
          <w:lang w:val="en-GB"/>
        </w:rPr>
      </w:pPr>
      <w:r w:rsidRPr="0082680A">
        <w:rPr>
          <w:lang w:val="en-GB"/>
        </w:rPr>
        <w:t xml:space="preserve">Although both transcriptomic and genomic data can be used as a starting point in our methodological pipeline, transcriptomic data was favoured for a </w:t>
      </w:r>
      <w:r w:rsidR="00EB41E2" w:rsidRPr="0082680A">
        <w:rPr>
          <w:lang w:val="en-GB"/>
        </w:rPr>
        <w:t>number of reasons</w:t>
      </w:r>
      <w:r w:rsidRPr="0082680A">
        <w:rPr>
          <w:lang w:val="en-GB"/>
        </w:rPr>
        <w:t>. Firstly, transcriptomic data is more widely available than genome sequencing data</w:t>
      </w:r>
      <w:r w:rsidR="00EB41E2" w:rsidRPr="0082680A">
        <w:rPr>
          <w:lang w:val="en-GB"/>
        </w:rPr>
        <w:t>; as of March 2016, the transcriptome database GEO held 54,640 studies containin</w:t>
      </w:r>
      <w:r w:rsidR="00E25076" w:rsidRPr="0082680A">
        <w:rPr>
          <w:lang w:val="en-GB"/>
        </w:rPr>
        <w:t xml:space="preserve">g more than 1.3 million samples </w:t>
      </w:r>
      <w:r w:rsidR="00E25076" w:rsidRPr="0082680A">
        <w:rPr>
          <w:lang w:val="en-GB"/>
        </w:rPr>
        <w:fldChar w:fldCharType="begin" w:fldLock="1"/>
      </w:r>
      <w:r w:rsidR="000507BA">
        <w:rPr>
          <w:lang w:val="en-GB"/>
        </w:rPr>
        <w:instrText>ADDIN CSL_CITATION {"citationItems":[{"id":"ITEM-1","itemData":{"DOI":"10.1007/978-1-4939-3578-9_5","author":[{"dropping-particle":"","family":"Clough","given":"Emily","non-dropping-particle":"","parse-names":false,"suffix":""},{"dropping-particle":"","family":"Barrett","given":"Tanya","non-dropping-particle":"","parse-names":false,"suffix":""}],"id":"ITEM-1","issued":{"date-parts":[["2016"]]},"page":"93-110","publisher":"Humana Press, New York, NY","title":"The Gene Expression Omnibus Database","type":"chapter"},"uris":["http://www.mendeley.com/documents/?uuid=6547ff60-67d1-3fa7-b2f9-6e211f57fdbb"]}],"mendeley":{"formattedCitation":"&lt;sup&gt;153&lt;/sup&gt;","plainTextFormattedCitation":"153","previouslyFormattedCitation":"&lt;sup&gt;153&lt;/sup&gt;"},"properties":{"noteIndex":0},"schema":"https://github.com/citation-style-language/schema/raw/master/csl-citation.json"}</w:instrText>
      </w:r>
      <w:r w:rsidR="00E25076" w:rsidRPr="0082680A">
        <w:rPr>
          <w:lang w:val="en-GB"/>
        </w:rPr>
        <w:fldChar w:fldCharType="separate"/>
      </w:r>
      <w:r w:rsidR="00426B19" w:rsidRPr="00426B19">
        <w:rPr>
          <w:noProof/>
          <w:vertAlign w:val="superscript"/>
          <w:lang w:val="en-GB"/>
        </w:rPr>
        <w:t>153</w:t>
      </w:r>
      <w:r w:rsidR="00E25076" w:rsidRPr="0082680A">
        <w:rPr>
          <w:lang w:val="en-GB"/>
        </w:rPr>
        <w:fldChar w:fldCharType="end"/>
      </w:r>
      <w:r w:rsidR="00EB41E2" w:rsidRPr="0082680A">
        <w:rPr>
          <w:lang w:val="en-GB"/>
        </w:rPr>
        <w:t xml:space="preserve">. </w:t>
      </w:r>
      <w:r w:rsidRPr="0082680A">
        <w:rPr>
          <w:lang w:val="en-GB"/>
        </w:rPr>
        <w:t xml:space="preserve">As the conditions </w:t>
      </w:r>
      <w:r w:rsidR="005C4E13" w:rsidRPr="0082680A">
        <w:rPr>
          <w:lang w:val="en-GB"/>
        </w:rPr>
        <w:t>this methodology is aimed at may be</w:t>
      </w:r>
      <w:r w:rsidRPr="0082680A">
        <w:rPr>
          <w:lang w:val="en-GB"/>
        </w:rPr>
        <w:t xml:space="preserve"> </w:t>
      </w:r>
      <w:r w:rsidR="005C4E13" w:rsidRPr="0082680A">
        <w:rPr>
          <w:lang w:val="en-GB"/>
        </w:rPr>
        <w:t xml:space="preserve">quite </w:t>
      </w:r>
      <w:r w:rsidRPr="0082680A">
        <w:rPr>
          <w:lang w:val="en-GB"/>
        </w:rPr>
        <w:t xml:space="preserve">rare, GWA data for these conditions </w:t>
      </w:r>
      <w:r w:rsidR="005C4E13" w:rsidRPr="0082680A">
        <w:rPr>
          <w:lang w:val="en-GB"/>
        </w:rPr>
        <w:t>is less likely to be available</w:t>
      </w:r>
      <w:r w:rsidRPr="0082680A">
        <w:rPr>
          <w:lang w:val="en-GB"/>
        </w:rPr>
        <w:t xml:space="preserve">. Secondly, the analysis </w:t>
      </w:r>
      <w:r w:rsidRPr="0082680A">
        <w:rPr>
          <w:lang w:val="en-GB"/>
        </w:rPr>
        <w:lastRenderedPageBreak/>
        <w:t xml:space="preserve">protocols for transcriptomic data are much easier to learn and </w:t>
      </w:r>
      <w:proofErr w:type="gramStart"/>
      <w:r w:rsidRPr="0082680A">
        <w:rPr>
          <w:lang w:val="en-GB"/>
        </w:rPr>
        <w:t>implement, and</w:t>
      </w:r>
      <w:proofErr w:type="gramEnd"/>
      <w:r w:rsidRPr="0082680A">
        <w:rPr>
          <w:lang w:val="en-GB"/>
        </w:rPr>
        <w:t xml:space="preserve"> are generally more established. Finally, gene expression provides a measure of direction (upregulated or downregulated) which may be</w:t>
      </w:r>
      <w:r w:rsidR="005C4E13" w:rsidRPr="0082680A">
        <w:rPr>
          <w:lang w:val="en-GB"/>
        </w:rPr>
        <w:t xml:space="preserve"> of later</w:t>
      </w:r>
      <w:r w:rsidRPr="0082680A">
        <w:rPr>
          <w:lang w:val="en-GB"/>
        </w:rPr>
        <w:t xml:space="preserve"> importan</w:t>
      </w:r>
      <w:r w:rsidR="005C4E13" w:rsidRPr="0082680A">
        <w:rPr>
          <w:lang w:val="en-GB"/>
        </w:rPr>
        <w:t>ce</w:t>
      </w:r>
      <w:r w:rsidRPr="0082680A">
        <w:rPr>
          <w:lang w:val="en-GB"/>
        </w:rPr>
        <w:t xml:space="preserve"> in its interpretation.</w:t>
      </w:r>
    </w:p>
    <w:p w14:paraId="4085A59C" w14:textId="77777777" w:rsidR="00396E1F" w:rsidRPr="0082680A" w:rsidRDefault="00396E1F" w:rsidP="00EB41E2">
      <w:pPr>
        <w:rPr>
          <w:lang w:val="en-GB"/>
        </w:rPr>
      </w:pPr>
    </w:p>
    <w:p w14:paraId="6EDEA3B1" w14:textId="5A4F91DF" w:rsidR="00EB41E2" w:rsidRPr="0082680A" w:rsidRDefault="00EB41E2" w:rsidP="00EB41E2">
      <w:pPr>
        <w:rPr>
          <w:lang w:val="en-GB"/>
        </w:rPr>
      </w:pPr>
      <w:r w:rsidRPr="0082680A">
        <w:rPr>
          <w:lang w:val="en-GB"/>
        </w:rPr>
        <w:t>To conduct differential expression, three crucial components</w:t>
      </w:r>
      <w:r w:rsidR="00396E1F" w:rsidRPr="0082680A">
        <w:rPr>
          <w:lang w:val="en-GB"/>
        </w:rPr>
        <w:t xml:space="preserve"> must be considered</w:t>
      </w:r>
      <w:r w:rsidRPr="0082680A">
        <w:rPr>
          <w:lang w:val="en-GB"/>
        </w:rPr>
        <w:t>; the selection and quality control of data, the methodology for calculating differential expression, and the assessment of the biological validity of the outcome.</w:t>
      </w:r>
    </w:p>
    <w:p w14:paraId="6E3AACDE" w14:textId="77777777" w:rsidR="00EB41E2" w:rsidRPr="0082680A" w:rsidRDefault="00EB41E2" w:rsidP="00842FD0">
      <w:pPr>
        <w:pStyle w:val="Heading4"/>
        <w:rPr>
          <w:lang w:val="en-GB"/>
        </w:rPr>
      </w:pPr>
      <w:bookmarkStart w:id="84" w:name="_z8s37tevqj3" w:colFirst="0" w:colLast="0"/>
      <w:bookmarkStart w:id="85" w:name="_Toc3211346"/>
      <w:bookmarkEnd w:id="84"/>
      <w:r w:rsidRPr="0082680A">
        <w:rPr>
          <w:lang w:val="en-GB"/>
        </w:rPr>
        <w:t>Dataset Selection</w:t>
      </w:r>
      <w:bookmarkEnd w:id="85"/>
    </w:p>
    <w:p w14:paraId="5C06AC52" w14:textId="1413A228" w:rsidR="00EB41E2" w:rsidRPr="0082680A" w:rsidRDefault="00EB41E2" w:rsidP="00EB41E2">
      <w:pPr>
        <w:rPr>
          <w:lang w:val="en-GB"/>
        </w:rPr>
      </w:pPr>
      <w:r w:rsidRPr="0082680A">
        <w:rPr>
          <w:lang w:val="en-GB"/>
        </w:rPr>
        <w:t xml:space="preserve">Selection of appropriate datasets is of great importance, as these datasets form the foundation upon which the experiment is built. Consequently, a number of carefully considered search criteria were formulated. Firstly, datasets must only contain samples directly from human patients. Other species were considered too biologically divergent, and therefore comparability is weak. </w:t>
      </w:r>
      <w:r w:rsidR="0050523A" w:rsidRPr="0082680A">
        <w:rPr>
          <w:lang w:val="en-GB"/>
        </w:rPr>
        <w:t>We</w:t>
      </w:r>
      <w:r w:rsidRPr="0082680A">
        <w:rPr>
          <w:lang w:val="en-GB"/>
        </w:rPr>
        <w:t xml:space="preserve"> also omit cell lines, for similar reasons. Secondly, samples must be extracted from a tissue directly affected by the phenotype of interest, ensuring high biological accuracy. </w:t>
      </w:r>
      <w:r w:rsidR="00396E1F" w:rsidRPr="0082680A">
        <w:rPr>
          <w:lang w:val="en-GB"/>
        </w:rPr>
        <w:t>It must be noted, however, that</w:t>
      </w:r>
      <w:r w:rsidRPr="0082680A">
        <w:rPr>
          <w:lang w:val="en-GB"/>
        </w:rPr>
        <w:t xml:space="preserve"> the only available patient-derived tissue </w:t>
      </w:r>
      <w:r w:rsidR="00396E1F" w:rsidRPr="0082680A">
        <w:rPr>
          <w:lang w:val="en-GB"/>
        </w:rPr>
        <w:t xml:space="preserve">for some conditions </w:t>
      </w:r>
      <w:r w:rsidRPr="0082680A">
        <w:rPr>
          <w:lang w:val="en-GB"/>
        </w:rPr>
        <w:t xml:space="preserve">is post-mortem, therefore degradation and age of death must be considered when interpreting results. Thirdly, </w:t>
      </w:r>
      <w:r w:rsidR="005C4E13" w:rsidRPr="0082680A">
        <w:rPr>
          <w:lang w:val="en-GB"/>
        </w:rPr>
        <w:t xml:space="preserve">we assigned a minimum cut-off </w:t>
      </w:r>
      <w:r w:rsidRPr="0082680A">
        <w:rPr>
          <w:lang w:val="en-GB"/>
        </w:rPr>
        <w:t>of three controls and three patients</w:t>
      </w:r>
      <w:r w:rsidR="005C4E13" w:rsidRPr="0082680A">
        <w:rPr>
          <w:lang w:val="en-GB"/>
        </w:rPr>
        <w:t>, as some software packages reject numbers lower than this</w:t>
      </w:r>
      <w:r w:rsidRPr="0082680A">
        <w:rPr>
          <w:lang w:val="en-GB"/>
        </w:rPr>
        <w:t xml:space="preserve">. Finally, though accepted datasets could be both microarray and </w:t>
      </w:r>
      <w:r w:rsidR="00840875" w:rsidRPr="0082680A">
        <w:rPr>
          <w:lang w:val="en-GB"/>
        </w:rPr>
        <w:t>RNA-Seq</w:t>
      </w:r>
      <w:r w:rsidRPr="0082680A">
        <w:rPr>
          <w:lang w:val="en-GB"/>
        </w:rPr>
        <w:t>, only platforms from Affymetrix and Illumina were considered, as these are supported within our software pipelines used for pre-processing and subsequent analyses.</w:t>
      </w:r>
    </w:p>
    <w:p w14:paraId="3B2C4662" w14:textId="77777777" w:rsidR="00F068AF" w:rsidRPr="0082680A" w:rsidRDefault="00F068AF" w:rsidP="00EB41E2">
      <w:pPr>
        <w:rPr>
          <w:lang w:val="en-GB"/>
        </w:rPr>
      </w:pPr>
    </w:p>
    <w:p w14:paraId="070DA062" w14:textId="25EB3AFA" w:rsidR="000D03B2" w:rsidRPr="0082680A" w:rsidRDefault="00EB41E2" w:rsidP="00EB41E2">
      <w:pPr>
        <w:rPr>
          <w:lang w:val="en-GB"/>
        </w:rPr>
      </w:pPr>
      <w:r w:rsidRPr="0082680A">
        <w:rPr>
          <w:lang w:val="en-GB"/>
        </w:rPr>
        <w:t>Searches were performed in the Gene Expression Omnibus database (</w:t>
      </w:r>
      <w:hyperlink r:id="rId48" w:history="1">
        <w:r w:rsidR="00B958C5" w:rsidRPr="0082680A">
          <w:rPr>
            <w:rStyle w:val="Hyperlink"/>
            <w:lang w:val="en-GB"/>
          </w:rPr>
          <w:t>https://www.ncbi.nlm.nih.gov/geo/</w:t>
        </w:r>
      </w:hyperlink>
      <w:r w:rsidRPr="0082680A">
        <w:rPr>
          <w:lang w:val="en-GB"/>
        </w:rPr>
        <w:t>)</w:t>
      </w:r>
      <w:r w:rsidR="00B958C5" w:rsidRPr="0082680A">
        <w:rPr>
          <w:lang w:val="en-GB"/>
        </w:rPr>
        <w:t xml:space="preserve"> </w:t>
      </w:r>
      <w:r w:rsidRPr="0082680A">
        <w:rPr>
          <w:lang w:val="en-GB"/>
        </w:rPr>
        <w:t xml:space="preserve">using the term “TDP-43 pathology” or names of diseases known to present with </w:t>
      </w:r>
      <w:r w:rsidR="00396E1F" w:rsidRPr="0082680A">
        <w:rPr>
          <w:lang w:val="en-GB"/>
        </w:rPr>
        <w:t>this phenotype</w:t>
      </w:r>
      <w:r w:rsidRPr="0082680A">
        <w:rPr>
          <w:lang w:val="en-GB"/>
        </w:rPr>
        <w:t xml:space="preserve">. Samples were ensured to be from </w:t>
      </w:r>
      <w:r w:rsidR="00396E1F" w:rsidRPr="0082680A">
        <w:rPr>
          <w:lang w:val="en-GB"/>
        </w:rPr>
        <w:t xml:space="preserve">the specific </w:t>
      </w:r>
      <w:r w:rsidRPr="0082680A">
        <w:rPr>
          <w:lang w:val="en-GB"/>
        </w:rPr>
        <w:t xml:space="preserve">human </w:t>
      </w:r>
      <w:r w:rsidR="00396E1F" w:rsidRPr="0082680A">
        <w:rPr>
          <w:lang w:val="en-GB"/>
        </w:rPr>
        <w:t>tissue in which TDP-43 aggregations are found</w:t>
      </w:r>
      <w:r w:rsidRPr="0082680A">
        <w:rPr>
          <w:lang w:val="en-GB"/>
        </w:rPr>
        <w:t xml:space="preserve">, established either by referring to the metadata, or under the assumption that </w:t>
      </w:r>
      <w:r w:rsidR="00396E1F" w:rsidRPr="0082680A">
        <w:rPr>
          <w:lang w:val="en-GB"/>
        </w:rPr>
        <w:t>in some conditions it is always present</w:t>
      </w:r>
      <w:r w:rsidRPr="0082680A">
        <w:rPr>
          <w:lang w:val="en-GB"/>
        </w:rPr>
        <w:t xml:space="preserve">. Four microarray and two </w:t>
      </w:r>
      <w:r w:rsidR="00840875" w:rsidRPr="0082680A">
        <w:rPr>
          <w:lang w:val="en-GB"/>
        </w:rPr>
        <w:t>RNA-Seq</w:t>
      </w:r>
      <w:r w:rsidRPr="0082680A">
        <w:rPr>
          <w:lang w:val="en-GB"/>
        </w:rPr>
        <w:t xml:space="preserve"> datasets were selected using the above criteria, with a final unpublished dataset contributed from the Kirby Lab, SITraN. A summary of the datasets can be found in</w:t>
      </w:r>
      <w:r w:rsidR="006C2086" w:rsidRPr="0082680A">
        <w:rPr>
          <w:lang w:val="en-GB"/>
        </w:rPr>
        <w:t xml:space="preserve"> Table </w:t>
      </w:r>
      <w:r w:rsidR="0061081A">
        <w:rPr>
          <w:lang w:val="en-GB"/>
        </w:rPr>
        <w:t>3</w:t>
      </w:r>
      <w:r w:rsidRPr="0082680A">
        <w:rPr>
          <w:lang w:val="en-GB"/>
        </w:rPr>
        <w:t xml:space="preserve">. Five datasets were </w:t>
      </w:r>
      <w:r w:rsidR="00396E1F" w:rsidRPr="0082680A">
        <w:rPr>
          <w:lang w:val="en-GB"/>
        </w:rPr>
        <w:t xml:space="preserve">established </w:t>
      </w:r>
      <w:r w:rsidRPr="0082680A">
        <w:rPr>
          <w:lang w:val="en-GB"/>
        </w:rPr>
        <w:t xml:space="preserve">from ALS patients, including </w:t>
      </w:r>
      <w:r w:rsidRPr="0082680A">
        <w:rPr>
          <w:i/>
          <w:lang w:val="en-GB"/>
        </w:rPr>
        <w:t>C9orf72</w:t>
      </w:r>
      <w:r w:rsidRPr="0082680A">
        <w:rPr>
          <w:lang w:val="en-GB"/>
        </w:rPr>
        <w:t xml:space="preserve"> and sporadic genetic backgrounds, one sampled muscle tissue from Multisystem Proteinopathy, and the final dataset contained frontal cortex samples from both sporadic and </w:t>
      </w:r>
      <w:r w:rsidRPr="0082680A">
        <w:rPr>
          <w:i/>
          <w:lang w:val="en-GB"/>
        </w:rPr>
        <w:t>GRN</w:t>
      </w:r>
      <w:r w:rsidRPr="0082680A">
        <w:rPr>
          <w:lang w:val="en-GB"/>
        </w:rPr>
        <w:t xml:space="preserve"> Frontotemporal Lobar </w:t>
      </w:r>
      <w:r w:rsidR="00396E1F" w:rsidRPr="0082680A">
        <w:rPr>
          <w:lang w:val="en-GB"/>
        </w:rPr>
        <w:t>Degeneration</w:t>
      </w:r>
      <w:r w:rsidRPr="0082680A">
        <w:rPr>
          <w:lang w:val="en-GB"/>
        </w:rPr>
        <w:t xml:space="preserve"> (FTLD) cases. </w:t>
      </w:r>
    </w:p>
    <w:p w14:paraId="0D0A3318" w14:textId="6E496FEC" w:rsidR="00EB41E2" w:rsidRPr="0082680A" w:rsidRDefault="000D03B2" w:rsidP="00EB41E2">
      <w:pPr>
        <w:rPr>
          <w:lang w:val="en-GB"/>
        </w:rPr>
      </w:pPr>
      <w:r w:rsidRPr="0082680A">
        <w:rPr>
          <w:lang w:val="en-GB"/>
        </w:rPr>
        <w:br w:type="page"/>
      </w:r>
    </w:p>
    <w:p w14:paraId="4256FA11" w14:textId="6C15AD32" w:rsidR="000D03B2" w:rsidRPr="0082680A" w:rsidRDefault="000D03B2" w:rsidP="006D19EE">
      <w:pPr>
        <w:pStyle w:val="NoSpacing"/>
        <w:ind w:left="1276"/>
        <w:rPr>
          <w:lang w:val="en-GB"/>
        </w:rPr>
      </w:pPr>
      <w:r w:rsidRPr="0082680A">
        <w:rPr>
          <w:noProof/>
          <w:lang w:val="en-GB"/>
        </w:rPr>
        <w:lastRenderedPageBreak/>
        <mc:AlternateContent>
          <mc:Choice Requires="wps">
            <w:drawing>
              <wp:anchor distT="0" distB="0" distL="114300" distR="114300" simplePos="0" relativeHeight="251661312" behindDoc="1" locked="0" layoutInCell="1" allowOverlap="1" wp14:anchorId="3C05F737" wp14:editId="5478C391">
                <wp:simplePos x="0" y="0"/>
                <wp:positionH relativeFrom="column">
                  <wp:posOffset>-285750</wp:posOffset>
                </wp:positionH>
                <wp:positionV relativeFrom="paragraph">
                  <wp:posOffset>264</wp:posOffset>
                </wp:positionV>
                <wp:extent cx="1828800" cy="1828800"/>
                <wp:effectExtent l="0" t="0" r="0" b="0"/>
                <wp:wrapTight wrapText="bothSides">
                  <wp:wrapPolygon edited="0">
                    <wp:start x="1259" y="31"/>
                    <wp:lineTo x="1259" y="21515"/>
                    <wp:lineTo x="20140" y="21515"/>
                    <wp:lineTo x="20140" y="31"/>
                    <wp:lineTo x="1259" y="31"/>
                  </wp:wrapPolygon>
                </wp:wrapTight>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AD6D7DA" w14:textId="3A749A09" w:rsidR="00C2072C" w:rsidRPr="006F3FC8" w:rsidRDefault="00C2072C" w:rsidP="0004707C">
                            <w:pPr>
                              <w:pStyle w:val="Caption"/>
                              <w:keepNext/>
                              <w:rPr>
                                <w:b w:val="0"/>
                              </w:rPr>
                            </w:pPr>
                            <w:bookmarkStart w:id="86" w:name="_Toc530741912"/>
                            <w:bookmarkStart w:id="87" w:name="_Toc531197134"/>
                            <w:bookmarkStart w:id="88" w:name="_Toc3225917"/>
                            <w:r>
                              <w:t xml:space="preserve">Table </w:t>
                            </w:r>
                            <w:fldSimple w:instr=" SEQ Table \* ARABIC ">
                              <w:r>
                                <w:rPr>
                                  <w:noProof/>
                                </w:rPr>
                                <w:t>3</w:t>
                              </w:r>
                            </w:fldSimple>
                            <w:r>
                              <w:t xml:space="preserve">: </w:t>
                            </w:r>
                            <w:r w:rsidRPr="000D03B2">
                              <w:t>The Six datasets containing TDP-43 pathology-positive patients</w:t>
                            </w:r>
                            <w:r>
                              <w:rPr>
                                <w:b w:val="0"/>
                              </w:rPr>
                              <w:t>.</w:t>
                            </w:r>
                            <w:bookmarkEnd w:id="86"/>
                            <w:bookmarkEnd w:id="87"/>
                            <w:r>
                              <w:rPr>
                                <w:b w:val="0"/>
                              </w:rPr>
                              <w:t xml:space="preserve"> </w:t>
                            </w:r>
                            <w:r w:rsidRPr="006F3FC8">
                              <w:rPr>
                                <w:b w:val="0"/>
                                <w:i/>
                              </w:rPr>
                              <w:t>Tissue</w:t>
                            </w:r>
                            <w:r>
                              <w:rPr>
                                <w:b w:val="0"/>
                              </w:rPr>
                              <w:t xml:space="preserve"> indicates the source of the biological material. </w:t>
                            </w:r>
                            <w:r w:rsidRPr="006F3FC8">
                              <w:rPr>
                                <w:b w:val="0"/>
                                <w:i/>
                              </w:rPr>
                              <w:t>Disease</w:t>
                            </w:r>
                            <w:r>
                              <w:rPr>
                                <w:b w:val="0"/>
                              </w:rPr>
                              <w:t xml:space="preserve"> indicates the medical condition patients had been diagnosed with. </w:t>
                            </w:r>
                            <w:r>
                              <w:rPr>
                                <w:b w:val="0"/>
                                <w:i/>
                              </w:rPr>
                              <w:t>Genetic Background</w:t>
                            </w:r>
                            <w:r>
                              <w:rPr>
                                <w:i/>
                              </w:rPr>
                              <w:t xml:space="preserve"> </w:t>
                            </w:r>
                            <w:r>
                              <w:rPr>
                                <w:b w:val="0"/>
                              </w:rPr>
                              <w:t xml:space="preserve">indicates whether the dataset contains individuals with a known genetic cause, or individuals with sporadic status. </w:t>
                            </w:r>
                            <w:r>
                              <w:rPr>
                                <w:b w:val="0"/>
                                <w:i/>
                              </w:rPr>
                              <w:t>Platform</w:t>
                            </w:r>
                            <w:r>
                              <w:rPr>
                                <w:b w:val="0"/>
                              </w:rPr>
                              <w:t xml:space="preserve"> indicates the technical platform used to collect the expression data. Affymetrix platforms are microarray, Illumina are RNA-Seq. GEO ID is the reference provided by GEO to locate the original dataset. </w:t>
                            </w:r>
                            <w:r>
                              <w:rPr>
                                <w:b w:val="0"/>
                                <w:i/>
                              </w:rPr>
                              <w:t>Publication</w:t>
                            </w:r>
                            <w:r>
                              <w:rPr>
                                <w:b w:val="0"/>
                              </w:rPr>
                              <w:t xml:space="preserve"> contains the reference supplied with the data on GEO. LCM = Laser Capture Microdissected</w:t>
                            </w:r>
                            <w:bookmarkEnd w:id="88"/>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C05F737" id="_x0000_t202" coordsize="21600,21600" o:spt="202" path="m,l,21600r21600,l21600,xe">
                <v:stroke joinstyle="miter"/>
                <v:path gradientshapeok="t" o:connecttype="rect"/>
              </v:shapetype>
              <v:shape id="Text Box 1" o:spid="_x0000_s1026" type="#_x0000_t202" style="position:absolute;left:0;text-align:left;margin-left:-22.5pt;margin-top:0;width:2in;height:2in;z-index:-251655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" filled="f" stroked="f" strokeweight=".5pt">
                <v:textbox style="layout-flow:vertical-ideographic;mso-fit-shape-to-text:t">
                  <w:txbxContent>
                    <w:p w14:paraId="7AD6D7DA" w14:textId="3A749A09" w:rsidR="00C2072C" w:rsidRPr="006F3FC8" w:rsidRDefault="00C2072C" w:rsidP="0004707C">
                      <w:pPr>
                        <w:pStyle w:val="Caption"/>
                        <w:keepNext/>
                        <w:rPr>
                          <w:b w:val="0"/>
                        </w:rPr>
                      </w:pPr>
                      <w:bookmarkStart w:id="89" w:name="_Toc530741912"/>
                      <w:bookmarkStart w:id="90" w:name="_Toc531197134"/>
                      <w:bookmarkStart w:id="91" w:name="_Toc3225917"/>
                      <w:r>
                        <w:t xml:space="preserve">Table </w:t>
                      </w:r>
                      <w:fldSimple w:instr=" SEQ Table \* ARABIC ">
                        <w:r>
                          <w:rPr>
                            <w:noProof/>
                          </w:rPr>
                          <w:t>3</w:t>
                        </w:r>
                      </w:fldSimple>
                      <w:r>
                        <w:t xml:space="preserve">: </w:t>
                      </w:r>
                      <w:r w:rsidRPr="000D03B2">
                        <w:t>The Six datasets containing TDP-43 pathology-positive patients</w:t>
                      </w:r>
                      <w:r>
                        <w:rPr>
                          <w:b w:val="0"/>
                        </w:rPr>
                        <w:t>.</w:t>
                      </w:r>
                      <w:bookmarkEnd w:id="89"/>
                      <w:bookmarkEnd w:id="90"/>
                      <w:r>
                        <w:rPr>
                          <w:b w:val="0"/>
                        </w:rPr>
                        <w:t xml:space="preserve"> </w:t>
                      </w:r>
                      <w:r w:rsidRPr="006F3FC8">
                        <w:rPr>
                          <w:b w:val="0"/>
                          <w:i/>
                        </w:rPr>
                        <w:t>Tissue</w:t>
                      </w:r>
                      <w:r>
                        <w:rPr>
                          <w:b w:val="0"/>
                        </w:rPr>
                        <w:t xml:space="preserve"> indicates the source of the biological material. </w:t>
                      </w:r>
                      <w:r w:rsidRPr="006F3FC8">
                        <w:rPr>
                          <w:b w:val="0"/>
                          <w:i/>
                        </w:rPr>
                        <w:t>Disease</w:t>
                      </w:r>
                      <w:r>
                        <w:rPr>
                          <w:b w:val="0"/>
                        </w:rPr>
                        <w:t xml:space="preserve"> indicates the medical condition patients had been diagnosed with. </w:t>
                      </w:r>
                      <w:r>
                        <w:rPr>
                          <w:b w:val="0"/>
                          <w:i/>
                        </w:rPr>
                        <w:t>Genetic Background</w:t>
                      </w:r>
                      <w:r>
                        <w:rPr>
                          <w:i/>
                        </w:rPr>
                        <w:t xml:space="preserve"> </w:t>
                      </w:r>
                      <w:r>
                        <w:rPr>
                          <w:b w:val="0"/>
                        </w:rPr>
                        <w:t xml:space="preserve">indicates whether the dataset contains individuals with a known genetic cause, or individuals with sporadic status. </w:t>
                      </w:r>
                      <w:r>
                        <w:rPr>
                          <w:b w:val="0"/>
                          <w:i/>
                        </w:rPr>
                        <w:t>Platform</w:t>
                      </w:r>
                      <w:r>
                        <w:rPr>
                          <w:b w:val="0"/>
                        </w:rPr>
                        <w:t xml:space="preserve"> indicates the technical platform used to collect the expression data. Affymetrix platforms are microarray, Illumina are RNA-Seq. GEO ID is the reference provided by GEO to locate the original dataset. </w:t>
                      </w:r>
                      <w:r>
                        <w:rPr>
                          <w:b w:val="0"/>
                          <w:i/>
                        </w:rPr>
                        <w:t>Publication</w:t>
                      </w:r>
                      <w:r>
                        <w:rPr>
                          <w:b w:val="0"/>
                        </w:rPr>
                        <w:t xml:space="preserve"> contains the reference supplied with the data on GEO. LCM = Laser Capture Microdissected</w:t>
                      </w:r>
                      <w:bookmarkEnd w:id="91"/>
                    </w:p>
                  </w:txbxContent>
                </v:textbox>
                <w10:wrap type="tight"/>
              </v:shape>
            </w:pict>
          </mc:Fallback>
        </mc:AlternateContent>
      </w:r>
      <w:r w:rsidRPr="0082680A">
        <w:rPr>
          <w:noProof/>
          <w:lang w:val="en-GB"/>
        </w:rPr>
        <w:drawing>
          <wp:inline distT="0" distB="0" distL="0" distR="0" wp14:anchorId="14765F15" wp14:editId="5C85128E">
            <wp:extent cx="8188312" cy="4204880"/>
            <wp:effectExtent l="0" t="2223" r="1588" b="1587"/>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TDP-43Datasets_Redone.pdf"/>
                    <pic:cNvPicPr/>
                  </pic:nvPicPr>
                  <pic:blipFill rotWithShape="1">
                    <a:blip r:embed="rId49">
                      <a:extLst>
                        <a:ext uri="{28A0092B-C50C-407E-A947-70E740481C1C}">
                          <a14:useLocalDpi xmlns:a14="http://schemas.microsoft.com/office/drawing/2010/main" val="0"/>
                        </a:ext>
                      </a:extLst>
                    </a:blip>
                    <a:srcRect t="1847" b="6861"/>
                    <a:stretch/>
                  </pic:blipFill>
                  <pic:spPr bwMode="auto">
                    <a:xfrm rot="5400000">
                      <a:off x="0" y="0"/>
                      <a:ext cx="8211835" cy="4216960"/>
                    </a:xfrm>
                    <a:prstGeom prst="rect">
                      <a:avLst/>
                    </a:prstGeom>
                    <a:ln>
                      <a:noFill/>
                    </a:ln>
                    <a:extLst>
                      <a:ext uri="{53640926-AAD7-44D8-BBD7-CCE9431645EC}">
                        <a14:shadowObscured xmlns:a14="http://schemas.microsoft.com/office/drawing/2010/main"/>
                      </a:ext>
                    </a:extLst>
                  </pic:spPr>
                </pic:pic>
              </a:graphicData>
            </a:graphic>
          </wp:inline>
        </w:drawing>
      </w:r>
      <w:r w:rsidRPr="0082680A">
        <w:rPr>
          <w:lang w:val="en-GB"/>
        </w:rPr>
        <w:br w:type="page"/>
      </w:r>
    </w:p>
    <w:p w14:paraId="3349A730" w14:textId="2CEB20F1" w:rsidR="00985371" w:rsidRPr="0082680A" w:rsidRDefault="00985371" w:rsidP="00505488">
      <w:pPr>
        <w:pStyle w:val="NoSpacing"/>
        <w:rPr>
          <w:lang w:val="en-GB"/>
        </w:rPr>
      </w:pPr>
    </w:p>
    <w:p w14:paraId="30CE73DE" w14:textId="3827869A" w:rsidR="00EB41E2" w:rsidRDefault="00EB41E2" w:rsidP="00842FD0">
      <w:pPr>
        <w:pStyle w:val="Heading4"/>
        <w:rPr>
          <w:lang w:val="en-GB"/>
        </w:rPr>
      </w:pPr>
      <w:bookmarkStart w:id="92" w:name="_2pjlc9yifc9n" w:colFirst="0" w:colLast="0"/>
      <w:bookmarkStart w:id="93" w:name="_Toc3211347"/>
      <w:bookmarkEnd w:id="92"/>
      <w:r w:rsidRPr="0082680A">
        <w:rPr>
          <w:lang w:val="en-GB"/>
        </w:rPr>
        <w:t>Dataset Quality Control</w:t>
      </w:r>
      <w:r w:rsidR="0028003F">
        <w:rPr>
          <w:lang w:val="en-GB"/>
        </w:rPr>
        <w:t xml:space="preserve"> </w:t>
      </w:r>
      <w:r w:rsidR="0028003F" w:rsidRPr="0082680A">
        <w:rPr>
          <w:lang w:val="en-GB"/>
        </w:rPr>
        <w:t>and Pre-processing</w:t>
      </w:r>
      <w:bookmarkEnd w:id="93"/>
      <w:r w:rsidR="0028003F" w:rsidRPr="0082680A">
        <w:rPr>
          <w:lang w:val="en-GB"/>
        </w:rPr>
        <w:t xml:space="preserve"> </w:t>
      </w:r>
    </w:p>
    <w:p w14:paraId="2EB52FD9" w14:textId="07D960EE" w:rsidR="0028003F" w:rsidRPr="0082680A" w:rsidRDefault="0028003F" w:rsidP="0028003F">
      <w:pPr>
        <w:rPr>
          <w:lang w:val="en-GB"/>
        </w:rPr>
      </w:pPr>
      <w:r w:rsidRPr="0082680A">
        <w:rPr>
          <w:lang w:val="en-GB"/>
        </w:rPr>
        <w:t xml:space="preserve">Quality control was conducted </w:t>
      </w:r>
      <w:r>
        <w:rPr>
          <w:lang w:val="en-GB"/>
        </w:rPr>
        <w:t xml:space="preserve">on raw data </w:t>
      </w:r>
      <w:r w:rsidRPr="0082680A">
        <w:rPr>
          <w:lang w:val="en-GB"/>
        </w:rPr>
        <w:t xml:space="preserve">using three separate methodologies. </w:t>
      </w:r>
      <w:r w:rsidR="00D2461B">
        <w:rPr>
          <w:lang w:val="en-GB"/>
        </w:rPr>
        <w:t xml:space="preserve">The approach was the same for both microarray and RNA-seq. </w:t>
      </w:r>
      <w:r w:rsidRPr="0082680A">
        <w:rPr>
          <w:lang w:val="en-GB"/>
        </w:rPr>
        <w:t xml:space="preserve">The first was to conduct principle component analysis (PCA) using R package </w:t>
      </w:r>
      <w:r w:rsidRPr="0082680A">
        <w:rPr>
          <w:i/>
          <w:lang w:val="en-GB"/>
        </w:rPr>
        <w:t>stats</w:t>
      </w:r>
      <w:r w:rsidRPr="0082680A">
        <w:rPr>
          <w:lang w:val="en-GB"/>
        </w:rPr>
        <w:t xml:space="preserve"> function </w:t>
      </w:r>
      <w:r w:rsidRPr="0082680A">
        <w:rPr>
          <w:i/>
          <w:lang w:val="en-GB"/>
        </w:rPr>
        <w:t>prcomp.</w:t>
      </w:r>
      <w:r w:rsidRPr="0082680A">
        <w:rPr>
          <w:lang w:val="en-GB"/>
        </w:rPr>
        <w:t xml:space="preserve"> PCA plots indicate the most extreme variance within the dataset and can be used to identify how heterogeneous the patient and control samples are, and to identify outliers whose expression variation is vastly different than the rest of the dataset. Secondly, box plots were produced to visualise the spread of the data. Finally, hierarchical clustering was conducted and visualised using a combination of the packages </w:t>
      </w:r>
      <w:r w:rsidRPr="0082680A">
        <w:rPr>
          <w:i/>
          <w:lang w:val="en-GB"/>
        </w:rPr>
        <w:t>stats</w:t>
      </w:r>
      <w:r w:rsidRPr="0082680A">
        <w:rPr>
          <w:lang w:val="en-GB"/>
        </w:rPr>
        <w:t xml:space="preserve"> and </w:t>
      </w:r>
      <w:proofErr w:type="spellStart"/>
      <w:r w:rsidRPr="0082680A">
        <w:rPr>
          <w:i/>
          <w:lang w:val="en-GB"/>
        </w:rPr>
        <w:t>dendroextras</w:t>
      </w:r>
      <w:proofErr w:type="spellEnd"/>
      <w:r w:rsidRPr="0082680A">
        <w:rPr>
          <w:lang w:val="en-GB"/>
        </w:rPr>
        <w:t xml:space="preserve"> (</w:t>
      </w:r>
      <w:hyperlink r:id="rId50" w:history="1">
        <w:r w:rsidRPr="0082680A">
          <w:rPr>
            <w:rStyle w:val="Hyperlink"/>
            <w:lang w:val="en-GB"/>
          </w:rPr>
          <w:t>https://cran.r-project.org/web/packages/dendroextras/index.html</w:t>
        </w:r>
      </w:hyperlink>
      <w:r w:rsidRPr="0082680A">
        <w:rPr>
          <w:lang w:val="en-GB"/>
        </w:rPr>
        <w:t xml:space="preserve">) to cluster the data. Similar to PCA, this approach also indicates heterogeneity, as well as outliers. </w:t>
      </w:r>
      <w:r w:rsidR="003C1158">
        <w:rPr>
          <w:lang w:val="en-GB"/>
        </w:rPr>
        <w:t xml:space="preserve">For a sample to be excluded, two of the three plots were required to show abnormal results, that could not be explained by outlier genes. </w:t>
      </w:r>
    </w:p>
    <w:p w14:paraId="77F9556C" w14:textId="77777777" w:rsidR="0028003F" w:rsidRPr="0082680A" w:rsidRDefault="0028003F" w:rsidP="0028003F">
      <w:pPr>
        <w:rPr>
          <w:lang w:val="en-GB"/>
        </w:rPr>
      </w:pPr>
    </w:p>
    <w:p w14:paraId="334EF5EA" w14:textId="20C2C3AD" w:rsidR="0028003F" w:rsidRDefault="0028003F" w:rsidP="0028003F">
      <w:pPr>
        <w:rPr>
          <w:color w:val="000000" w:themeColor="text1"/>
          <w:lang w:val="en-GB"/>
        </w:rPr>
      </w:pPr>
      <w:r>
        <w:rPr>
          <w:lang w:val="en-GB"/>
        </w:rPr>
        <w:t>Due to the inability to build sufficient distributions, any datasets containing 10 or fewer total samples were not submitted to outlier exclusion, as it was not possible to make informed decisions on what constituted an outlier. Of the remaining three datasets, e</w:t>
      </w:r>
      <w:r w:rsidRPr="0082680A">
        <w:rPr>
          <w:lang w:val="en-GB"/>
        </w:rPr>
        <w:t>xclusion of samples considered to be outliers was decided after completion and comparison of all three analyses (Appendix Figures 1-</w:t>
      </w:r>
      <w:r w:rsidR="0009403C">
        <w:rPr>
          <w:lang w:val="en-GB"/>
        </w:rPr>
        <w:t>4</w:t>
      </w:r>
      <w:r w:rsidRPr="0082680A">
        <w:rPr>
          <w:lang w:val="en-GB"/>
        </w:rPr>
        <w:t xml:space="preserve">). After careful consideration, results from the QC analysis implicated </w:t>
      </w:r>
      <w:r w:rsidR="003C1158">
        <w:rPr>
          <w:lang w:val="en-GB"/>
        </w:rPr>
        <w:t xml:space="preserve">sample </w:t>
      </w:r>
      <w:r w:rsidRPr="0082680A">
        <w:rPr>
          <w:lang w:val="en-GB"/>
        </w:rPr>
        <w:t>GSM</w:t>
      </w:r>
      <w:r w:rsidR="003C1158">
        <w:rPr>
          <w:lang w:val="en-GB"/>
        </w:rPr>
        <w:t>329670</w:t>
      </w:r>
      <w:r w:rsidRPr="0082680A">
        <w:rPr>
          <w:lang w:val="en-GB"/>
        </w:rPr>
        <w:t xml:space="preserve"> </w:t>
      </w:r>
      <w:r w:rsidRPr="0082680A">
        <w:rPr>
          <w:color w:val="000000" w:themeColor="text1"/>
          <w:lang w:val="en-GB"/>
        </w:rPr>
        <w:t xml:space="preserve">from the dataset </w:t>
      </w:r>
      <w:r w:rsidR="003C1158">
        <w:rPr>
          <w:color w:val="000000" w:themeColor="text1"/>
          <w:lang w:val="en-GB"/>
        </w:rPr>
        <w:t>GSE13162 and sample GSM1642327 from dataset GSE67196</w:t>
      </w:r>
      <w:r w:rsidRPr="0082680A">
        <w:rPr>
          <w:lang w:val="en-GB"/>
        </w:rPr>
        <w:t xml:space="preserve">, which </w:t>
      </w:r>
      <w:r w:rsidR="003C1158">
        <w:rPr>
          <w:lang w:val="en-GB"/>
        </w:rPr>
        <w:t>were</w:t>
      </w:r>
      <w:r w:rsidRPr="0082680A">
        <w:rPr>
          <w:lang w:val="en-GB"/>
        </w:rPr>
        <w:t xml:space="preserve"> subsequently removed</w:t>
      </w:r>
      <w:r w:rsidR="003C1158">
        <w:rPr>
          <w:lang w:val="en-GB"/>
        </w:rPr>
        <w:t>. Although sample</w:t>
      </w:r>
      <w:r w:rsidR="003C1158">
        <w:rPr>
          <w:color w:val="000000" w:themeColor="text1"/>
          <w:lang w:val="en-GB"/>
        </w:rPr>
        <w:t xml:space="preserve"> GSM1676855 from dataset GSE68605 appeared to fail both PCA and clustering analysis, the boxplot indicated a similar distribution except for one outlier gene expression value which was subsequently removed, and the sample retained.</w:t>
      </w:r>
    </w:p>
    <w:p w14:paraId="1033CFBD" w14:textId="77777777" w:rsidR="0028003F" w:rsidRPr="0028003F" w:rsidRDefault="0028003F" w:rsidP="0028003F">
      <w:pPr>
        <w:rPr>
          <w:lang w:val="en-GB"/>
        </w:rPr>
      </w:pPr>
    </w:p>
    <w:p w14:paraId="7B3FE230" w14:textId="45E36589" w:rsidR="00EB41E2" w:rsidRDefault="00EB41E2" w:rsidP="00EB41E2">
      <w:pPr>
        <w:rPr>
          <w:lang w:val="en-GB"/>
        </w:rPr>
      </w:pPr>
      <w:r w:rsidRPr="0082680A">
        <w:rPr>
          <w:lang w:val="en-GB"/>
        </w:rPr>
        <w:t xml:space="preserve">As all microarray data were derived from Affymetrix platforms, each data set was normalised using the </w:t>
      </w:r>
      <w:proofErr w:type="spellStart"/>
      <w:r w:rsidRPr="0082680A">
        <w:rPr>
          <w:i/>
          <w:lang w:val="en-GB"/>
        </w:rPr>
        <w:t>rma</w:t>
      </w:r>
      <w:proofErr w:type="spellEnd"/>
      <w:r w:rsidRPr="0082680A">
        <w:rPr>
          <w:i/>
          <w:lang w:val="en-GB"/>
        </w:rPr>
        <w:t xml:space="preserve"> </w:t>
      </w:r>
      <w:r w:rsidRPr="0082680A">
        <w:rPr>
          <w:lang w:val="en-GB"/>
        </w:rPr>
        <w:t xml:space="preserve">function in the R package </w:t>
      </w:r>
      <w:r w:rsidRPr="0082680A">
        <w:rPr>
          <w:i/>
          <w:lang w:val="en-GB"/>
        </w:rPr>
        <w:t xml:space="preserve">affy </w:t>
      </w:r>
      <w:r w:rsidRPr="0082680A">
        <w:rPr>
          <w:lang w:val="en-GB"/>
        </w:rPr>
        <w:t>(</w:t>
      </w:r>
      <w:hyperlink r:id="rId51" w:history="1">
        <w:r w:rsidR="00E07AB5" w:rsidRPr="0082680A">
          <w:rPr>
            <w:rStyle w:val="Hyperlink"/>
            <w:lang w:val="en-GB"/>
          </w:rPr>
          <w:t>https://bioconductor.org/packages/release/bioc/html/affy.html</w:t>
        </w:r>
      </w:hyperlink>
      <w:r w:rsidR="00E07AB5" w:rsidRPr="0082680A">
        <w:rPr>
          <w:lang w:val="en-GB"/>
        </w:rPr>
        <w:t xml:space="preserve">). </w:t>
      </w:r>
      <w:r w:rsidRPr="0082680A">
        <w:rPr>
          <w:lang w:val="en-GB"/>
        </w:rPr>
        <w:t xml:space="preserve">The </w:t>
      </w:r>
      <w:r w:rsidR="00E07AB5" w:rsidRPr="0082680A">
        <w:rPr>
          <w:lang w:val="en-GB"/>
        </w:rPr>
        <w:t>RMA</w:t>
      </w:r>
      <w:r w:rsidRPr="0082680A">
        <w:rPr>
          <w:lang w:val="en-GB"/>
        </w:rPr>
        <w:t xml:space="preserve"> or Robust Multi-array Average method involves background correction of raw intensity values, transformation of these values by log2, and finally quantile normalisation to make samples comparable. The two </w:t>
      </w:r>
      <w:r w:rsidR="00840875" w:rsidRPr="0082680A">
        <w:rPr>
          <w:lang w:val="en-GB"/>
        </w:rPr>
        <w:t>RNA-Seq</w:t>
      </w:r>
      <w:r w:rsidRPr="0082680A">
        <w:rPr>
          <w:lang w:val="en-GB"/>
        </w:rPr>
        <w:t xml:space="preserve"> data sets were downloaded as </w:t>
      </w:r>
      <w:r w:rsidR="00E07AB5" w:rsidRPr="0082680A">
        <w:rPr>
          <w:lang w:val="en-GB"/>
        </w:rPr>
        <w:t>FASTQ</w:t>
      </w:r>
      <w:r w:rsidRPr="0082680A">
        <w:rPr>
          <w:lang w:val="en-GB"/>
        </w:rPr>
        <w:t xml:space="preserve"> files, and normalisation was conducted using the python software package </w:t>
      </w:r>
      <w:r w:rsidRPr="0082680A">
        <w:rPr>
          <w:i/>
          <w:lang w:val="en-GB"/>
        </w:rPr>
        <w:t xml:space="preserve">bcbio </w:t>
      </w:r>
      <w:r w:rsidRPr="0082680A">
        <w:rPr>
          <w:lang w:val="en-GB"/>
        </w:rPr>
        <w:t>(</w:t>
      </w:r>
      <w:hyperlink r:id="rId52" w:history="1">
        <w:r w:rsidR="00B94F8A" w:rsidRPr="0082680A">
          <w:rPr>
            <w:rStyle w:val="Hyperlink"/>
            <w:lang w:val="en-GB"/>
          </w:rPr>
          <w:t>https://bcbio-nextgen.readthedocs.io/en/latest/index.html</w:t>
        </w:r>
      </w:hyperlink>
      <w:r w:rsidR="00B94F8A" w:rsidRPr="0082680A">
        <w:rPr>
          <w:lang w:val="en-GB"/>
        </w:rPr>
        <w:t xml:space="preserve">). </w:t>
      </w:r>
      <w:r w:rsidRPr="0082680A">
        <w:rPr>
          <w:lang w:val="en-GB"/>
        </w:rPr>
        <w:t>The output of this process was a count matrix, which was used for further investigation.</w:t>
      </w:r>
      <w:r w:rsidR="00FC6B12">
        <w:rPr>
          <w:lang w:val="en-GB"/>
        </w:rPr>
        <w:t xml:space="preserve"> </w:t>
      </w:r>
      <w:bookmarkStart w:id="94" w:name="_GoBack"/>
      <w:r w:rsidR="008D4E67">
        <w:rPr>
          <w:lang w:val="en-GB"/>
        </w:rPr>
        <w:t>Platforms were not normalised and were analysed independently</w:t>
      </w:r>
      <w:r w:rsidR="00056B99">
        <w:rPr>
          <w:lang w:val="en-GB"/>
        </w:rPr>
        <w:t xml:space="preserve">, subsequently it is necessary for us to note that the use of the word “expression” from </w:t>
      </w:r>
      <w:proofErr w:type="spellStart"/>
      <w:r w:rsidR="00056B99">
        <w:rPr>
          <w:lang w:val="en-GB"/>
        </w:rPr>
        <w:t>hereon</w:t>
      </w:r>
      <w:proofErr w:type="spellEnd"/>
      <w:r w:rsidR="00056B99">
        <w:rPr>
          <w:lang w:val="en-GB"/>
        </w:rPr>
        <w:t xml:space="preserve"> refers to the expression values unique to microarray and RNA-</w:t>
      </w:r>
      <w:proofErr w:type="spellStart"/>
      <w:r w:rsidR="00056B99">
        <w:rPr>
          <w:lang w:val="en-GB"/>
        </w:rPr>
        <w:t>seq</w:t>
      </w:r>
      <w:proofErr w:type="spellEnd"/>
      <w:r w:rsidR="00056B99">
        <w:rPr>
          <w:lang w:val="en-GB"/>
        </w:rPr>
        <w:t xml:space="preserve"> platforms</w:t>
      </w:r>
      <w:r w:rsidR="00205CDD">
        <w:rPr>
          <w:lang w:val="en-GB"/>
        </w:rPr>
        <w:t xml:space="preserve">, i.e. when used in the context of microarray platforms, this refers to </w:t>
      </w:r>
      <w:r w:rsidR="00205CDD">
        <w:rPr>
          <w:lang w:val="en-GB"/>
        </w:rPr>
        <w:lastRenderedPageBreak/>
        <w:t>the relative intensity value produced by that technology, whereas for RNA-</w:t>
      </w:r>
      <w:proofErr w:type="spellStart"/>
      <w:r w:rsidR="00205CDD">
        <w:rPr>
          <w:lang w:val="en-GB"/>
        </w:rPr>
        <w:t>seq</w:t>
      </w:r>
      <w:proofErr w:type="spellEnd"/>
      <w:r w:rsidR="00205CDD">
        <w:rPr>
          <w:lang w:val="en-GB"/>
        </w:rPr>
        <w:t xml:space="preserve"> this refers to the absolute count of transcripts measured.</w:t>
      </w:r>
      <w:bookmarkEnd w:id="94"/>
    </w:p>
    <w:p w14:paraId="4E849ABD" w14:textId="5031259E" w:rsidR="008D4E67" w:rsidRDefault="008D4E67" w:rsidP="00EB41E2">
      <w:pPr>
        <w:rPr>
          <w:lang w:val="en-GB"/>
        </w:rPr>
      </w:pPr>
    </w:p>
    <w:p w14:paraId="087CF9E4" w14:textId="5D8C643F" w:rsidR="008D4E67" w:rsidRPr="0082680A" w:rsidRDefault="008D4E67" w:rsidP="00EB41E2">
      <w:pPr>
        <w:rPr>
          <w:lang w:val="en-GB"/>
        </w:rPr>
      </w:pPr>
      <w:r>
        <w:rPr>
          <w:color w:val="000000" w:themeColor="text1"/>
          <w:lang w:val="en-GB"/>
        </w:rPr>
        <w:t>To see the difference between data distribution before and after normalisation</w:t>
      </w:r>
      <w:r>
        <w:rPr>
          <w:color w:val="000000" w:themeColor="text1"/>
          <w:lang w:val="en-GB"/>
        </w:rPr>
        <w:t>, boxplots were conducted on pre-and post-normalised data (Appendix Figure 5). Here we can see that</w:t>
      </w:r>
      <w:r w:rsidRPr="008D4E67">
        <w:rPr>
          <w:color w:val="000000" w:themeColor="text1"/>
          <w:lang w:val="en-GB"/>
        </w:rPr>
        <w:t xml:space="preserve"> </w:t>
      </w:r>
      <w:r>
        <w:rPr>
          <w:color w:val="000000" w:themeColor="text1"/>
          <w:lang w:val="en-GB"/>
        </w:rPr>
        <w:t>the</w:t>
      </w:r>
      <w:r w:rsidRPr="008D4E67">
        <w:rPr>
          <w:color w:val="000000" w:themeColor="text1"/>
          <w:lang w:val="en-GB"/>
        </w:rPr>
        <w:t xml:space="preserve"> range of variance in log2 expression </w:t>
      </w:r>
      <w:r>
        <w:rPr>
          <w:color w:val="000000" w:themeColor="text1"/>
          <w:lang w:val="en-GB"/>
        </w:rPr>
        <w:t>within</w:t>
      </w:r>
      <w:r w:rsidRPr="008D4E67">
        <w:rPr>
          <w:color w:val="000000" w:themeColor="text1"/>
          <w:lang w:val="en-GB"/>
        </w:rPr>
        <w:t xml:space="preserve"> microarray and RNA-Seq </w:t>
      </w:r>
      <w:r>
        <w:rPr>
          <w:color w:val="000000" w:themeColor="text1"/>
          <w:lang w:val="en-GB"/>
        </w:rPr>
        <w:t>technologies before normalisation is relatively consistent across datasets</w:t>
      </w:r>
      <w:r w:rsidRPr="008D4E67">
        <w:rPr>
          <w:color w:val="000000" w:themeColor="text1"/>
          <w:lang w:val="en-GB"/>
        </w:rPr>
        <w:t>. RNA-Seq range is larger compared to microarray, though this is expected due to technological differences</w:t>
      </w:r>
      <w:r>
        <w:rPr>
          <w:color w:val="000000" w:themeColor="text1"/>
          <w:lang w:val="en-GB"/>
        </w:rPr>
        <w:t>.</w:t>
      </w:r>
      <w:r>
        <w:rPr>
          <w:lang w:val="en-GB"/>
        </w:rPr>
        <w:t xml:space="preserve"> After normalisation of data, the range of RNA-</w:t>
      </w:r>
      <w:proofErr w:type="spellStart"/>
      <w:r>
        <w:rPr>
          <w:lang w:val="en-GB"/>
        </w:rPr>
        <w:t>seq</w:t>
      </w:r>
      <w:proofErr w:type="spellEnd"/>
      <w:r>
        <w:rPr>
          <w:lang w:val="en-GB"/>
        </w:rPr>
        <w:t xml:space="preserve"> values is still higher, however the median value falls within a similar range (between 4 and 10) as microarray data, indicating a degree of comparability.</w:t>
      </w:r>
    </w:p>
    <w:p w14:paraId="73DA6F25" w14:textId="77777777" w:rsidR="00F068AF" w:rsidRPr="0082680A" w:rsidRDefault="00F068AF" w:rsidP="00EB41E2">
      <w:pPr>
        <w:rPr>
          <w:lang w:val="en-GB"/>
        </w:rPr>
      </w:pPr>
    </w:p>
    <w:p w14:paraId="7C95D1FA" w14:textId="77777777" w:rsidR="00EB41E2" w:rsidRPr="0082680A" w:rsidRDefault="00EB41E2" w:rsidP="00842FD0">
      <w:pPr>
        <w:pStyle w:val="Heading4"/>
        <w:rPr>
          <w:lang w:val="en-GB"/>
        </w:rPr>
      </w:pPr>
      <w:bookmarkStart w:id="95" w:name="_vxwlxxvzqr4b" w:colFirst="0" w:colLast="0"/>
      <w:bookmarkStart w:id="96" w:name="_Toc3211348"/>
      <w:bookmarkEnd w:id="95"/>
      <w:r w:rsidRPr="0082680A">
        <w:rPr>
          <w:lang w:val="en-GB"/>
        </w:rPr>
        <w:t>Differential Expression</w:t>
      </w:r>
      <w:bookmarkEnd w:id="96"/>
    </w:p>
    <w:p w14:paraId="1AA555DD" w14:textId="2287380C" w:rsidR="00EB41E2" w:rsidRPr="0082680A" w:rsidRDefault="00EB41E2" w:rsidP="00EB41E2">
      <w:pPr>
        <w:rPr>
          <w:lang w:val="en-GB"/>
        </w:rPr>
      </w:pPr>
      <w:r w:rsidRPr="0082680A">
        <w:rPr>
          <w:lang w:val="en-GB"/>
        </w:rPr>
        <w:t xml:space="preserve">Differential expressed analysis was conducted using the R packages LIMMA for microarray, and DESeq2 for </w:t>
      </w:r>
      <w:r w:rsidR="00840875" w:rsidRPr="0082680A">
        <w:rPr>
          <w:lang w:val="en-GB"/>
        </w:rPr>
        <w:t>RNA-Seq</w:t>
      </w:r>
      <w:r w:rsidRPr="0082680A">
        <w:rPr>
          <w:lang w:val="en-GB"/>
        </w:rPr>
        <w:t xml:space="preserve">. LIMMA is well suited to Affymetrix microarray data, and has been shown to be powerful at extracting reliable results from small datasets </w:t>
      </w:r>
      <w:r w:rsidR="004D5EA3" w:rsidRPr="0082680A">
        <w:rPr>
          <w:lang w:val="en-GB"/>
        </w:rPr>
        <w:fldChar w:fldCharType="begin" w:fldLock="1"/>
      </w:r>
      <w:r w:rsidR="000507BA">
        <w:rPr>
          <w:lang w:val="en-GB"/>
        </w:rPr>
        <w:instrText>ADDIN CSL_CITATION {"citationItems":[{"id":"ITEM-1","itemData":{"DOI":"10.1186/1471-2105-10-45","ISSN":"1471-2105","PMID":"19192265","abstract":"BACKGROUND DNA microarrays provide data for genome wide patterns of expression between observation classes. Microarray studies often have small samples sizes, however, due to cost constraints or specimen availability. This can lead to poor random error estimates and inaccurate statistical tests of differential expression. We compare the performance of the standard t-test, fold change, and four small n statistical test methods designed to circumvent these problems. We report results of various normalization methods for empirical microarray data and of various random error models for simulated data. RESULTS Three Empirical Bayes methods (CyberT, BRB, and limma t-statistics) were the most effective statistical tests across simulated and both 2-colour cDNA and Affymetrix experimental data. The CyberT regularized t-statistic in particular was able to maintain expected false positive rates with simulated data showing high variances at low gene intensities, although at the cost of low true positive rates. The Local Pooled Error (LPE) test introduced a bias that lowered false positive rates below theoretically expected values and had lower power relative to the top performers. The standard two-sample t-test and fold change were also found to be sub-optimal for detecting differentially expressed genes. The generalized log transformation was shown to be beneficial in improving results with certain data sets, in particular high variance cDNA data. CONCLUSION Pre-processing of data influences performance and the proper combination of pre-processing and statistical testing is necessary for obtaining the best results. All three Empirical Bayes methods assessed in our study are good choices for statistical tests for small n microarray studies for both Affymetrix and cDNA data. Choice of method for a particular study will depend on software and normalization preferences.","author":[{"dropping-particle":"","family":"Murie","given":"Carl","non-dropping-particle":"","parse-names":false,"suffix":""},{"dropping-particle":"","family":"Woody","given":"Owen","non-dropping-particle":"","parse-names":false,"suffix":""},{"dropping-particle":"","family":"Lee","given":"Anna Y","non-dropping-particle":"","parse-names":false,"suffix":""},{"dropping-particle":"","family":"Nadon","given":"Robert","non-dropping-particle":"","parse-names":false,"suffix":""}],"container-title":"BMC bioinformatics","id":"ITEM-1","issued":{"date-parts":[["2009","2","3"]]},"page":"45","publisher":"BioMed Central","title":"Comparison of small n statistical tests of differential expression applied to microarrays.","type":"article-journal","volume":"10"},"uris":["http://www.mendeley.com/documents/?uuid=907a2620-70cb-322d-a343-6cae1eb0bb12"]}],"mendeley":{"formattedCitation":"&lt;sup&gt;154&lt;/sup&gt;","plainTextFormattedCitation":"154","previouslyFormattedCitation":"&lt;sup&gt;154&lt;/sup&gt;"},"properties":{"noteIndex":0},"schema":"https://github.com/citation-style-language/schema/raw/master/csl-citation.json"}</w:instrText>
      </w:r>
      <w:r w:rsidR="004D5EA3" w:rsidRPr="0082680A">
        <w:rPr>
          <w:lang w:val="en-GB"/>
        </w:rPr>
        <w:fldChar w:fldCharType="separate"/>
      </w:r>
      <w:r w:rsidR="00426B19" w:rsidRPr="00426B19">
        <w:rPr>
          <w:noProof/>
          <w:vertAlign w:val="superscript"/>
          <w:lang w:val="en-GB"/>
        </w:rPr>
        <w:t>154</w:t>
      </w:r>
      <w:r w:rsidR="004D5EA3" w:rsidRPr="0082680A">
        <w:rPr>
          <w:lang w:val="en-GB"/>
        </w:rPr>
        <w:fldChar w:fldCharType="end"/>
      </w:r>
      <w:r w:rsidRPr="0082680A">
        <w:rPr>
          <w:lang w:val="en-GB"/>
        </w:rPr>
        <w:t xml:space="preserve">. Similarly for </w:t>
      </w:r>
      <w:r w:rsidR="00840875" w:rsidRPr="0082680A">
        <w:rPr>
          <w:lang w:val="en-GB"/>
        </w:rPr>
        <w:t>RNA-Seq</w:t>
      </w:r>
      <w:r w:rsidRPr="0082680A">
        <w:rPr>
          <w:lang w:val="en-GB"/>
        </w:rPr>
        <w:t xml:space="preserve"> data, DESeq2 has also been developed to handle particularly small datasets, and is considered one of the most reliable software packages for differential expression analysis </w:t>
      </w:r>
      <w:r w:rsidR="004D5EA3" w:rsidRPr="0082680A">
        <w:rPr>
          <w:lang w:val="en-GB"/>
        </w:rPr>
        <w:fldChar w:fldCharType="begin" w:fldLock="1"/>
      </w:r>
      <w:r w:rsidR="000507BA">
        <w:rPr>
          <w:lang w:val="en-GB"/>
        </w:rPr>
        <w:instrText>ADDIN CSL_CITATION {"citationItems":[{"id":"ITEM-1","itemData":{"DOI":"10.1093/bib/bbt086","ISSN":"1467-5463","author":[{"dropping-particle":"","family":"Seyednasrollah","given":"Fatemeh","non-dropping-particle":"","parse-names":false,"suffix":""},{"dropping-particle":"","family":"Laiho","given":"Asta","non-dropping-particle":"","parse-names":false,"suffix":""},{"dropping-particle":"","family":"Elo","given":"Laura L.","non-dropping-particle":"","parse-names":false,"suffix":""}],"container-title":"Briefings in Bioinformatics","id":"ITEM-1","issue":"1","issued":{"date-parts":[["0","1"]]},"page":"59-70","publisher":"Oxford University Press","title":"Comparison of software packages for detecting differential expression in RNA-seq studies","type":"article-journal","volume":"16"},"uris":["http://www.mendeley.com/documents/?uuid=35ed64b3-0db2-45d4-b9c0-88d32e5d5cef"]}],"mendeley":{"formattedCitation":"&lt;sup&gt;155&lt;/sup&gt;","plainTextFormattedCitation":"155","previouslyFormattedCitation":"&lt;sup&gt;155&lt;/sup&gt;"},"properties":{"noteIndex":0},"schema":"https://github.com/citation-style-language/schema/raw/master/csl-citation.json"}</w:instrText>
      </w:r>
      <w:r w:rsidR="004D5EA3" w:rsidRPr="0082680A">
        <w:rPr>
          <w:lang w:val="en-GB"/>
        </w:rPr>
        <w:fldChar w:fldCharType="separate"/>
      </w:r>
      <w:r w:rsidR="00426B19" w:rsidRPr="00426B19">
        <w:rPr>
          <w:noProof/>
          <w:vertAlign w:val="superscript"/>
          <w:lang w:val="en-GB"/>
        </w:rPr>
        <w:t>155</w:t>
      </w:r>
      <w:r w:rsidR="004D5EA3" w:rsidRPr="0082680A">
        <w:rPr>
          <w:lang w:val="en-GB"/>
        </w:rPr>
        <w:fldChar w:fldCharType="end"/>
      </w:r>
      <w:r w:rsidRPr="0082680A">
        <w:rPr>
          <w:lang w:val="en-GB"/>
        </w:rPr>
        <w:t xml:space="preserve">. Though exhibiting a slightly higher false discovery rate than other methods, DESeq2 is more accurate when calculating fold change values </w:t>
      </w:r>
      <w:r w:rsidR="004D5EA3" w:rsidRPr="0082680A">
        <w:rPr>
          <w:lang w:val="en-GB"/>
        </w:rPr>
        <w:fldChar w:fldCharType="begin" w:fldLock="1"/>
      </w:r>
      <w:r w:rsidR="000507BA">
        <w:rPr>
          <w:lang w:val="en-GB"/>
        </w:rPr>
        <w:instrText>ADDIN CSL_CITATION {"citationItems":[{"id":"ITEM-1","itemData":{"DOI":"10.1186/s13059-014-0550-8","ISSN":"1474-760X","abstract":"In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\n                  http://www.bioconductor.org/packages/release/bioc/html/DESeq2.html\n                  \n                .","author":[{"dropping-particle":"","family":"Love","given":"Michael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Biology","id":"ITEM-1","issue":"12","issued":{"date-parts":[["2014","12","5"]]},"page":"550","publisher":"BioMed Central","title":"Moderated estimation of fold change and dispersion for RNA-seq data with DESeq2","type":"article-journal","volume":"15"},"uris":["http://www.mendeley.com/documents/?uuid=1b6d627a-8c65-3bde-bc6b-b0656a122c0f"]}],"mendeley":{"formattedCitation":"&lt;sup&gt;66&lt;/sup&gt;","plainTextFormattedCitation":"66","previouslyFormattedCitation":"&lt;sup&gt;66&lt;/sup&gt;"},"properties":{"noteIndex":0},"schema":"https://github.com/citation-style-language/schema/raw/master/csl-citation.json"}</w:instrText>
      </w:r>
      <w:r w:rsidR="004D5EA3" w:rsidRPr="0082680A">
        <w:rPr>
          <w:lang w:val="en-GB"/>
        </w:rPr>
        <w:fldChar w:fldCharType="separate"/>
      </w:r>
      <w:r w:rsidR="00426B19" w:rsidRPr="00426B19">
        <w:rPr>
          <w:noProof/>
          <w:vertAlign w:val="superscript"/>
          <w:lang w:val="en-GB"/>
        </w:rPr>
        <w:t>66</w:t>
      </w:r>
      <w:r w:rsidR="004D5EA3" w:rsidRPr="0082680A">
        <w:rPr>
          <w:lang w:val="en-GB"/>
        </w:rPr>
        <w:fldChar w:fldCharType="end"/>
      </w:r>
      <w:r w:rsidRPr="0082680A">
        <w:rPr>
          <w:lang w:val="en-GB"/>
        </w:rPr>
        <w:t xml:space="preserve">. </w:t>
      </w:r>
    </w:p>
    <w:p w14:paraId="53DBC471" w14:textId="77777777" w:rsidR="00EB41E2" w:rsidRPr="0082680A" w:rsidRDefault="00EB41E2" w:rsidP="00D2461B">
      <w:pPr>
        <w:pStyle w:val="Heading5"/>
        <w:rPr>
          <w:lang w:val="en-GB"/>
        </w:rPr>
      </w:pPr>
      <w:bookmarkStart w:id="97" w:name="_2dzycr7a5fxf" w:colFirst="0" w:colLast="0"/>
      <w:bookmarkEnd w:id="97"/>
      <w:r w:rsidRPr="0082680A">
        <w:rPr>
          <w:lang w:val="en-GB"/>
        </w:rPr>
        <w:t>Conventional Differential Expression</w:t>
      </w:r>
    </w:p>
    <w:p w14:paraId="310C15FE" w14:textId="732E3061" w:rsidR="00EB41E2" w:rsidRPr="0082680A" w:rsidRDefault="00EB41E2" w:rsidP="00EB41E2">
      <w:pPr>
        <w:rPr>
          <w:lang w:val="en-GB"/>
        </w:rPr>
      </w:pPr>
      <w:r w:rsidRPr="0082680A">
        <w:rPr>
          <w:lang w:val="en-GB"/>
        </w:rPr>
        <w:t xml:space="preserve">In a conventional meta-analysis, after differential expression analysis is completed, a P-value threshold - conventionally </w:t>
      </w:r>
      <w:r w:rsidR="00396E1F" w:rsidRPr="0082680A">
        <w:rPr>
          <w:lang w:val="en-GB"/>
        </w:rPr>
        <w:t>&lt;</w:t>
      </w:r>
      <w:r w:rsidRPr="0082680A">
        <w:rPr>
          <w:lang w:val="en-GB"/>
        </w:rPr>
        <w:t>0.05 - is set. Often accompanied is a fold change threshold of 1.5 or above. In small, underpowered datasets, however, these thresholds are less likely to produce significant DEGs.</w:t>
      </w:r>
    </w:p>
    <w:p w14:paraId="1C72F669" w14:textId="77777777" w:rsidR="007C154C" w:rsidRPr="0082680A" w:rsidRDefault="007C154C" w:rsidP="00EB41E2">
      <w:pPr>
        <w:rPr>
          <w:lang w:val="en-GB"/>
        </w:rPr>
      </w:pPr>
    </w:p>
    <w:p w14:paraId="37B47D2D" w14:textId="282EF1D2" w:rsidR="00EB41E2" w:rsidRPr="0082680A" w:rsidRDefault="00EB41E2" w:rsidP="00EB41E2">
      <w:pPr>
        <w:rPr>
          <w:lang w:val="en-GB"/>
        </w:rPr>
      </w:pPr>
      <w:r w:rsidRPr="0082680A">
        <w:rPr>
          <w:lang w:val="en-GB"/>
        </w:rPr>
        <w:t>After differential expression analysis, four out of six datasets produced DEGs at an adjusted P-value threshold of 0.05 and an absolute fold change threshold of 1.5</w:t>
      </w:r>
      <w:r w:rsidR="00655C33" w:rsidRPr="0082680A">
        <w:rPr>
          <w:lang w:val="en-GB"/>
        </w:rPr>
        <w:t xml:space="preserve"> (Table </w:t>
      </w:r>
      <w:r w:rsidR="0061081A">
        <w:rPr>
          <w:lang w:val="en-GB"/>
        </w:rPr>
        <w:t>4</w:t>
      </w:r>
      <w:r w:rsidR="00655C33" w:rsidRPr="0082680A">
        <w:rPr>
          <w:lang w:val="en-GB"/>
        </w:rPr>
        <w:t>)</w:t>
      </w:r>
      <w:r w:rsidRPr="0082680A">
        <w:rPr>
          <w:lang w:val="en-GB"/>
        </w:rPr>
        <w:t>. However, two of these four produced DEG lists of less than 10 genes, and in one case, only one gene. It was therefore clear that a conventional differential expression approach to meta-analyses would not produce a consensus gene list for all datasets.</w:t>
      </w:r>
    </w:p>
    <w:p w14:paraId="652CC12D" w14:textId="00FBBD35" w:rsidR="00CB4FD5" w:rsidRPr="0082680A" w:rsidRDefault="00CB4FD5" w:rsidP="00EB41E2">
      <w:pPr>
        <w:rPr>
          <w:lang w:val="en-GB"/>
        </w:rPr>
      </w:pPr>
    </w:p>
    <w:p w14:paraId="0B514454" w14:textId="77777777" w:rsidR="00CB4FD5" w:rsidRPr="0082680A" w:rsidRDefault="00CB4FD5" w:rsidP="00CB4FD5">
      <w:pPr>
        <w:pStyle w:val="NoSpacing"/>
        <w:rPr>
          <w:lang w:val="en-GB"/>
        </w:rPr>
      </w:pPr>
      <w:r w:rsidRPr="0082680A">
        <w:rPr>
          <w:noProof/>
          <w:lang w:val="en-GB"/>
        </w:rPr>
        <w:lastRenderedPageBreak/>
        <w:drawing>
          <wp:inline distT="0" distB="0" distL="0" distR="0" wp14:anchorId="38AB5B95" wp14:editId="0D916776">
            <wp:extent cx="5398466" cy="25811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tro_PValFCThreshold.pdf"/>
                    <pic:cNvPicPr/>
                  </pic:nvPicPr>
                  <pic:blipFill rotWithShape="1">
                    <a:blip r:embed="rId53">
                      <a:extLst>
                        <a:ext uri="{28A0092B-C50C-407E-A947-70E740481C1C}">
                          <a14:useLocalDpi xmlns:a14="http://schemas.microsoft.com/office/drawing/2010/main" val="0"/>
                        </a:ext>
                      </a:extLst>
                    </a:blip>
                    <a:srcRect t="8766" b="6235"/>
                    <a:stretch/>
                  </pic:blipFill>
                  <pic:spPr bwMode="auto">
                    <a:xfrm>
                      <a:off x="0" y="0"/>
                      <a:ext cx="5399405" cy="2581604"/>
                    </a:xfrm>
                    <a:prstGeom prst="rect">
                      <a:avLst/>
                    </a:prstGeom>
                    <a:ln>
                      <a:noFill/>
                    </a:ln>
                    <a:extLst>
                      <a:ext uri="{53640926-AAD7-44D8-BBD7-CCE9431645EC}">
                        <a14:shadowObscured xmlns:a14="http://schemas.microsoft.com/office/drawing/2010/main"/>
                      </a:ext>
                    </a:extLst>
                  </pic:spPr>
                </pic:pic>
              </a:graphicData>
            </a:graphic>
          </wp:inline>
        </w:drawing>
      </w:r>
    </w:p>
    <w:p w14:paraId="54965645" w14:textId="0D88A172" w:rsidR="00CB4FD5" w:rsidRPr="0082680A" w:rsidRDefault="00CB4FD5" w:rsidP="00CB4FD5">
      <w:pPr>
        <w:pStyle w:val="Caption"/>
        <w:rPr>
          <w:b w:val="0"/>
          <w:lang w:val="en-GB"/>
        </w:rPr>
      </w:pPr>
      <w:bookmarkStart w:id="98" w:name="_Toc3225918"/>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w:t>
      </w:r>
      <w:r w:rsidR="00483095">
        <w:rPr>
          <w:lang w:val="en-GB"/>
        </w:rPr>
        <w:fldChar w:fldCharType="end"/>
      </w:r>
      <w:r w:rsidRPr="0082680A">
        <w:rPr>
          <w:lang w:val="en-GB"/>
        </w:rPr>
        <w:t xml:space="preserve">: </w:t>
      </w:r>
      <w:r w:rsidR="00B52DF5" w:rsidRPr="0082680A">
        <w:rPr>
          <w:b w:val="0"/>
          <w:lang w:val="en-GB"/>
        </w:rPr>
        <w:t>Number of differentially expressed genes recor</w:t>
      </w:r>
      <w:r w:rsidR="00655C33" w:rsidRPr="0082680A">
        <w:rPr>
          <w:b w:val="0"/>
          <w:lang w:val="en-GB"/>
        </w:rPr>
        <w:t xml:space="preserve">ded for each </w:t>
      </w:r>
      <w:r w:rsidR="0083316D" w:rsidRPr="0082680A">
        <w:rPr>
          <w:b w:val="0"/>
          <w:lang w:val="en-GB"/>
        </w:rPr>
        <w:t xml:space="preserve">TDP-43 </w:t>
      </w:r>
      <w:r w:rsidR="00655C33" w:rsidRPr="0082680A">
        <w:rPr>
          <w:b w:val="0"/>
          <w:lang w:val="en-GB"/>
        </w:rPr>
        <w:t>dataset under a P-v</w:t>
      </w:r>
      <w:r w:rsidR="00B52DF5" w:rsidRPr="0082680A">
        <w:rPr>
          <w:b w:val="0"/>
          <w:lang w:val="en-GB"/>
        </w:rPr>
        <w:t>alue threshold of &lt;0.05,</w:t>
      </w:r>
      <w:r w:rsidR="00655C33" w:rsidRPr="0082680A">
        <w:rPr>
          <w:b w:val="0"/>
          <w:lang w:val="en-GB"/>
        </w:rPr>
        <w:t xml:space="preserve"> and a P-v</w:t>
      </w:r>
      <w:r w:rsidR="00BD1B1D" w:rsidRPr="0082680A">
        <w:rPr>
          <w:b w:val="0"/>
          <w:lang w:val="en-GB"/>
        </w:rPr>
        <w:t xml:space="preserve">alue threshold plus an absolute </w:t>
      </w:r>
      <w:r w:rsidR="00B52DF5" w:rsidRPr="0082680A">
        <w:rPr>
          <w:b w:val="0"/>
          <w:lang w:val="en-GB"/>
        </w:rPr>
        <w:t xml:space="preserve">fold change threshold of </w:t>
      </w:r>
      <w:r w:rsidR="00BD1B1D" w:rsidRPr="0082680A">
        <w:rPr>
          <w:b w:val="0"/>
          <w:lang w:val="en-GB"/>
        </w:rPr>
        <w:t>1.5.</w:t>
      </w:r>
      <w:bookmarkEnd w:id="98"/>
    </w:p>
    <w:p w14:paraId="4D744ADF" w14:textId="77777777" w:rsidR="00CB4FD5" w:rsidRPr="0082680A" w:rsidRDefault="00CB4FD5" w:rsidP="00CB4FD5">
      <w:pPr>
        <w:rPr>
          <w:lang w:val="en-GB"/>
        </w:rPr>
      </w:pPr>
    </w:p>
    <w:p w14:paraId="22330144" w14:textId="77777777" w:rsidR="00EB41E2" w:rsidRPr="0082680A" w:rsidRDefault="00EB41E2" w:rsidP="00D2461B">
      <w:pPr>
        <w:pStyle w:val="Heading5"/>
        <w:rPr>
          <w:lang w:val="en-GB"/>
        </w:rPr>
      </w:pPr>
      <w:bookmarkStart w:id="99" w:name="_nk2610632hlo" w:colFirst="0" w:colLast="0"/>
      <w:bookmarkEnd w:id="99"/>
      <w:r w:rsidRPr="0082680A">
        <w:rPr>
          <w:lang w:val="en-GB"/>
        </w:rPr>
        <w:t>Fold Change Consistency</w:t>
      </w:r>
    </w:p>
    <w:p w14:paraId="36416795" w14:textId="228E00F6" w:rsidR="00396E1F" w:rsidRPr="0082680A" w:rsidRDefault="00EB41E2" w:rsidP="00EB41E2">
      <w:pPr>
        <w:rPr>
          <w:lang w:val="en-GB"/>
        </w:rPr>
      </w:pPr>
      <w:r w:rsidRPr="0082680A">
        <w:rPr>
          <w:lang w:val="en-GB"/>
        </w:rPr>
        <w:t xml:space="preserve">When conventional differential expression fails, a common follow-up approach in meta-analyses is to </w:t>
      </w:r>
      <w:r w:rsidR="004D5EA3" w:rsidRPr="0082680A">
        <w:rPr>
          <w:lang w:val="en-GB"/>
        </w:rPr>
        <w:t xml:space="preserve">either combine datasets or </w:t>
      </w:r>
      <w:r w:rsidRPr="0082680A">
        <w:rPr>
          <w:lang w:val="en-GB"/>
        </w:rPr>
        <w:t xml:space="preserve">combine </w:t>
      </w:r>
      <w:r w:rsidR="004D5EA3" w:rsidRPr="0082680A">
        <w:rPr>
          <w:lang w:val="en-GB"/>
        </w:rPr>
        <w:t>the resultant P-values.</w:t>
      </w:r>
      <w:r w:rsidR="007F743C" w:rsidRPr="0082680A">
        <w:rPr>
          <w:lang w:val="en-GB"/>
        </w:rPr>
        <w:t xml:space="preserve"> Data</w:t>
      </w:r>
      <w:r w:rsidR="007C154C" w:rsidRPr="0082680A">
        <w:rPr>
          <w:lang w:val="en-GB"/>
        </w:rPr>
        <w:t xml:space="preserve"> combination</w:t>
      </w:r>
      <w:r w:rsidR="007F743C" w:rsidRPr="0082680A">
        <w:rPr>
          <w:lang w:val="en-GB"/>
        </w:rPr>
        <w:t xml:space="preserve"> techniques</w:t>
      </w:r>
      <w:r w:rsidR="007C154C" w:rsidRPr="0082680A">
        <w:rPr>
          <w:lang w:val="en-GB"/>
        </w:rPr>
        <w:t xml:space="preserve"> </w:t>
      </w:r>
      <w:r w:rsidR="007F743C" w:rsidRPr="0082680A">
        <w:rPr>
          <w:lang w:val="en-GB"/>
        </w:rPr>
        <w:t xml:space="preserve">are </w:t>
      </w:r>
      <w:r w:rsidR="00272EE1" w:rsidRPr="0082680A">
        <w:rPr>
          <w:lang w:val="en-GB"/>
        </w:rPr>
        <w:t>generally</w:t>
      </w:r>
      <w:r w:rsidR="00E953A7" w:rsidRPr="0082680A">
        <w:rPr>
          <w:lang w:val="en-GB"/>
        </w:rPr>
        <w:t xml:space="preserve"> avoided</w:t>
      </w:r>
      <w:r w:rsidR="007C154C" w:rsidRPr="0082680A">
        <w:rPr>
          <w:lang w:val="en-GB"/>
        </w:rPr>
        <w:t xml:space="preserve"> </w:t>
      </w:r>
      <w:r w:rsidR="00272EE1" w:rsidRPr="0082680A">
        <w:rPr>
          <w:lang w:val="en-GB"/>
        </w:rPr>
        <w:t>when combining</w:t>
      </w:r>
      <w:r w:rsidR="007C154C" w:rsidRPr="0082680A">
        <w:rPr>
          <w:lang w:val="en-GB"/>
        </w:rPr>
        <w:t xml:space="preserve"> </w:t>
      </w:r>
      <w:r w:rsidR="007F743C" w:rsidRPr="0082680A">
        <w:rPr>
          <w:lang w:val="en-GB"/>
        </w:rPr>
        <w:t>microarray and RNA-</w:t>
      </w:r>
      <w:r w:rsidR="00272EE1" w:rsidRPr="0082680A">
        <w:rPr>
          <w:lang w:val="en-GB"/>
        </w:rPr>
        <w:t>S</w:t>
      </w:r>
      <w:r w:rsidR="007F743C" w:rsidRPr="0082680A">
        <w:rPr>
          <w:lang w:val="en-GB"/>
        </w:rPr>
        <w:t>eq</w:t>
      </w:r>
      <w:r w:rsidR="007C154C" w:rsidRPr="0082680A">
        <w:rPr>
          <w:lang w:val="en-GB"/>
        </w:rPr>
        <w:t xml:space="preserve"> </w:t>
      </w:r>
      <w:r w:rsidR="00272EE1" w:rsidRPr="0082680A">
        <w:rPr>
          <w:lang w:val="en-GB"/>
        </w:rPr>
        <w:t xml:space="preserve">data, due to the fundamental differences in their </w:t>
      </w:r>
      <w:r w:rsidR="007C154C" w:rsidRPr="0082680A">
        <w:rPr>
          <w:lang w:val="en-GB"/>
        </w:rPr>
        <w:t>technology</w:t>
      </w:r>
      <w:r w:rsidR="00E953A7" w:rsidRPr="0082680A">
        <w:rPr>
          <w:lang w:val="en-GB"/>
        </w:rPr>
        <w:t xml:space="preserve">. Attempts are beginning to be made to achieve this kind of platform combination, however this work was unpublished at the commencement of this project, and is still in need of corroboration </w:t>
      </w:r>
      <w:r w:rsidR="007463FE" w:rsidRPr="0082680A">
        <w:rPr>
          <w:lang w:val="en-GB"/>
        </w:rPr>
        <w:t>by the scientific community</w:t>
      </w:r>
      <w:r w:rsidR="00E953A7" w:rsidRPr="0082680A">
        <w:rPr>
          <w:lang w:val="en-GB"/>
        </w:rPr>
        <w:t xml:space="preserve"> </w:t>
      </w:r>
      <w:r w:rsidR="00E953A7" w:rsidRPr="0082680A">
        <w:rPr>
          <w:lang w:val="en-GB"/>
        </w:rPr>
        <w:fldChar w:fldCharType="begin" w:fldLock="1"/>
      </w:r>
      <w:r w:rsidR="000507BA">
        <w:rPr>
          <w:lang w:val="en-GB"/>
        </w:rPr>
        <w:instrText>ADDIN CSL_CITATION {"citationItems":[{"id":"ITEM-1","itemData":{"DOI":"10.1093/nar/gkx714","ISSN":"0305-1048","author":[{"dropping-particle":"","family":"Brown","given":"Laurence A.","non-dropping-particle":"","parse-names":false,"suffix":""},{"dropping-particle":"","family":"Williams","given":"John","non-dropping-particle":"","parse-names":false,"suffix":""},{"dropping-particle":"","family":"Taylor","given":"Lewis","non-dropping-particle":"","parse-names":false,"suffix":""},{"dropping-particle":"","family":"Thomson","given":"Ross J.","non-dropping-particle":"","parse-names":false,"suffix":""},{"dropping-particle":"","family":"Nolan","given":"Patrick M.","non-dropping-particle":"","parse-names":false,"suffix":""},{"dropping-particle":"","family":"Foster","given":"Russell G.","non-dropping-particle":"","parse-names":false,"suffix":""},{"dropping-particle":"","family":"Peirson","given":"Stuart N.","non-dropping-particle":"","parse-names":false,"suffix":""}],"container-title":"Nucleic Acids Research","id":"ITEM-1","issue":"17","issued":{"date-parts":[["2017","9","29"]]},"page":"9860-9873","publisher":"Oxford University Press","title":"Meta-analysis of transcriptomic datasets identifies genes enriched in the mammalian circadian pacemaker","type":"article-journal","volume":"45"},"uris":["http://www.mendeley.com/documents/?uuid=da247ed6-8c62-370e-8532-2ea9d3bde8b7"]}],"mendeley":{"formattedCitation":"&lt;sup&gt;91&lt;/sup&gt;","plainTextFormattedCitation":"91","previouslyFormattedCitation":"&lt;sup&gt;91&lt;/sup&gt;"},"properties":{"noteIndex":0},"schema":"https://github.com/citation-style-language/schema/raw/master/csl-citation.json"}</w:instrText>
      </w:r>
      <w:r w:rsidR="00E953A7" w:rsidRPr="0082680A">
        <w:rPr>
          <w:lang w:val="en-GB"/>
        </w:rPr>
        <w:fldChar w:fldCharType="separate"/>
      </w:r>
      <w:r w:rsidR="00426B19" w:rsidRPr="00426B19">
        <w:rPr>
          <w:noProof/>
          <w:vertAlign w:val="superscript"/>
          <w:lang w:val="en-GB"/>
        </w:rPr>
        <w:t>91</w:t>
      </w:r>
      <w:r w:rsidR="00E953A7" w:rsidRPr="0082680A">
        <w:rPr>
          <w:lang w:val="en-GB"/>
        </w:rPr>
        <w:fldChar w:fldCharType="end"/>
      </w:r>
      <w:r w:rsidR="00F11D03" w:rsidRPr="0082680A">
        <w:rPr>
          <w:lang w:val="en-GB"/>
        </w:rPr>
        <w:t xml:space="preserve">. </w:t>
      </w:r>
      <w:r w:rsidR="007463FE" w:rsidRPr="0082680A">
        <w:rPr>
          <w:lang w:val="en-GB"/>
        </w:rPr>
        <w:t>Even so</w:t>
      </w:r>
      <w:r w:rsidR="007C154C" w:rsidRPr="0082680A">
        <w:rPr>
          <w:lang w:val="en-GB"/>
        </w:rPr>
        <w:t xml:space="preserve">, </w:t>
      </w:r>
      <w:r w:rsidR="007463FE" w:rsidRPr="0082680A">
        <w:rPr>
          <w:lang w:val="en-GB"/>
        </w:rPr>
        <w:t xml:space="preserve">the concept of </w:t>
      </w:r>
      <w:r w:rsidR="007C154C" w:rsidRPr="0082680A">
        <w:rPr>
          <w:lang w:val="en-GB"/>
        </w:rPr>
        <w:t>P-v</w:t>
      </w:r>
      <w:r w:rsidR="00F11D03" w:rsidRPr="0082680A">
        <w:rPr>
          <w:lang w:val="en-GB"/>
        </w:rPr>
        <w:t xml:space="preserve">alue </w:t>
      </w:r>
      <w:r w:rsidR="007463FE" w:rsidRPr="0082680A">
        <w:rPr>
          <w:lang w:val="en-GB"/>
        </w:rPr>
        <w:t xml:space="preserve">combination </w:t>
      </w:r>
      <w:r w:rsidR="00F11D03" w:rsidRPr="0082680A">
        <w:rPr>
          <w:lang w:val="en-GB"/>
        </w:rPr>
        <w:t xml:space="preserve">is only </w:t>
      </w:r>
      <w:r w:rsidR="007C154C" w:rsidRPr="0082680A">
        <w:rPr>
          <w:lang w:val="en-GB"/>
        </w:rPr>
        <w:t>advantageous</w:t>
      </w:r>
      <w:r w:rsidR="00F11D03" w:rsidRPr="0082680A">
        <w:rPr>
          <w:lang w:val="en-GB"/>
        </w:rPr>
        <w:t xml:space="preserve"> if the direction of expression is consistent</w:t>
      </w:r>
      <w:r w:rsidR="007C154C" w:rsidRPr="0082680A">
        <w:rPr>
          <w:lang w:val="en-GB"/>
        </w:rPr>
        <w:t>; a gene’s significance is of less interest if its expression is wildly variable across the population</w:t>
      </w:r>
      <w:r w:rsidR="00F11D03" w:rsidRPr="0082680A">
        <w:rPr>
          <w:lang w:val="en-GB"/>
        </w:rPr>
        <w:t>.</w:t>
      </w:r>
      <w:r w:rsidR="007C154C" w:rsidRPr="0082680A">
        <w:rPr>
          <w:lang w:val="en-GB"/>
        </w:rPr>
        <w:t xml:space="preserve"> </w:t>
      </w:r>
      <w:r w:rsidRPr="0082680A">
        <w:rPr>
          <w:lang w:val="en-GB"/>
        </w:rPr>
        <w:t xml:space="preserve">Many signature building studies employ a common DEG approach, however many do not report whether those DEGs were differentially expressed in the same direction - i.e. upregulated or downregulated - across all datasets. When the objective is to identify a common dysfunctional mechanism, we believed it was of greater importance that the nature of the dysfunction is consistent, rather than the severity of dysfunction. One of the many criticisms of statistically thresholded approaches, such as differential expression or GWAS, is that biology does not always comply with statistical doctrine. Extremely small changes in a gene’s expression have been shown to have significant downstream effects </w:t>
      </w:r>
      <w:r w:rsidR="007463FE" w:rsidRPr="0082680A">
        <w:rPr>
          <w:lang w:val="en-GB"/>
        </w:rPr>
        <w:fldChar w:fldCharType="begin" w:fldLock="1"/>
      </w:r>
      <w:r w:rsidR="000507BA">
        <w:rPr>
          <w:lang w:val="en-GB"/>
        </w:rPr>
        <w:instrText>ADDIN CSL_CITATION {"citationItems":[{"id":"ITEM-1","itemData":{"DOI":"10.1016/j.ymeth.2013.03.027","ISSN":"10462023","PMID":"23563143","abstract":"The analysis of the differential expression of genes has been the key goal of many molecular biology methods for decades and will remain with us for decades to come. It constitutes a fundamental resource at our disposal for determining the relationship between products of transcription, biology and disease. The completed genome sequencing of many common species allowed microarrays and RNA sequencing (RNAseq) to become major tools in Systems Biology. However, we estimate that at least half of all experiments ignore transcripts that change less than some subjectively chosen threshold, typically around 2-3 fold. Here we show that a majority of the informative RNAs and differentially expressed transcripts can exhibit fold changes less than 2. We use highly quantitative single-molecule sequencing of total cellular RNA derived from a time course of inflammatory response, a process critical to a large number of diseases. Furthermore, we show that enrichment of biologically-relevant functions occurs even at very low fold changes in RNA levels. In addition, we show that most of the common statistical methods can reliably detect transcripts with low fold change when as few as 3 biological replicates are sequenced using single-molecule based RNAseq. In conclusion, given the prevalence of expression profiling in current research, the loss of data in half of all expression studies results in a significant, yet needless drain on the discovery process.","author":[{"dropping-particle":"","family":"Laurent","given":"Georges","non-dropping-particle":"St.","parse-names":false,"suffix":""},{"dropping-particle":"","family":"Shtokalo","given":"Dmitry","non-dropping-particle":"","parse-names":false,"suffix":""},{"dropping-particle":"","family":"Tackett","given":"Michael R.","non-dropping-particle":"","parse-names":false,"suffix":""},{"dropping-particle":"","family":"Yang","given":"Zhaoqing","non-dropping-particle":"","parse-names":false,"suffix":""},{"dropping-particle":"","family":"Vyatkin","given":"Yuri","non-dropping-particle":"","parse-names":false,"suffix":""},{"dropping-particle":"","family":"Milos","given":"Patrice M.","non-dropping-particle":"","parse-names":false,"suffix":""},{"dropping-particle":"","family":"Seilheimer","given":"Bernd","non-dropping-particle":"","parse-names":false,"suffix":""},{"dropping-particle":"","family":"McCaffrey","given":"Timothy A.","non-dropping-particle":"","parse-names":false,"suffix":""},{"dropping-particle":"","family":"Kapranov","given":"Philipp","non-dropping-particle":"","parse-names":false,"suffix":""}],"container-title":"Methods","id":"ITEM-1","issue":"1","issued":{"date-parts":[["2013","9","1"]]},"page":"18-24","title":"On the importance of small changes in RNA expression","type":"article-journal","volume":"63"},"uris":["http://www.mendeley.com/documents/?uuid=e6b9ca5d-5a65-3f8f-96fa-99378edb75f8"]},{"id":"ITEM-2","itemData":{"DOI":"10.1038/ng983","ISSN":"1061-4036","author":[{"dropping-particle":"","family":"Oleksiak","given":"Marjorie F.","non-dropping-particle":"","parse-names":false,"suffix":""},{"dropping-particle":"","family":"Churchill","given":"Gary A.","non-dropping-particle":"","parse-names":false,"suffix":""},{"dropping-particle":"","family":"Crawford","given":"Douglas L.","non-dropping-particle":"","parse-names":false,"suffix":""}],"container-title":"Nature Genetics","id":"ITEM-2","issue":"2","issued":{"date-parts":[["2002","10","3"]]},"page":"261-266","title":"Variation in gene expression within and among natural populations","type":"article-journal","volume":"32"},"uris":["http://www.mendeley.com/documents/?uuid=17e3f067-7daa-3883-abb5-aa1fa906a65d"]}],"mendeley":{"formattedCitation":"&lt;sup&gt;156,157&lt;/sup&gt;","plainTextFormattedCitation":"156,157","previouslyFormattedCitation":"&lt;sup&gt;156,157&lt;/sup&gt;"},"properties":{"noteIndex":0},"schema":"https://github.com/citation-style-language/schema/raw/master/csl-citation.json"}</w:instrText>
      </w:r>
      <w:r w:rsidR="007463FE" w:rsidRPr="0082680A">
        <w:rPr>
          <w:lang w:val="en-GB"/>
        </w:rPr>
        <w:fldChar w:fldCharType="separate"/>
      </w:r>
      <w:r w:rsidR="00426B19" w:rsidRPr="00426B19">
        <w:rPr>
          <w:noProof/>
          <w:vertAlign w:val="superscript"/>
          <w:lang w:val="en-GB"/>
        </w:rPr>
        <w:t>156,157</w:t>
      </w:r>
      <w:r w:rsidR="007463FE" w:rsidRPr="0082680A">
        <w:rPr>
          <w:lang w:val="en-GB"/>
        </w:rPr>
        <w:fldChar w:fldCharType="end"/>
      </w:r>
      <w:r w:rsidRPr="0082680A">
        <w:rPr>
          <w:lang w:val="en-GB"/>
        </w:rPr>
        <w:t xml:space="preserve">. </w:t>
      </w:r>
      <w:r w:rsidR="00396E1F" w:rsidRPr="0082680A">
        <w:rPr>
          <w:lang w:val="en-GB"/>
        </w:rPr>
        <w:t>These s</w:t>
      </w:r>
      <w:r w:rsidRPr="0082680A">
        <w:rPr>
          <w:lang w:val="en-GB"/>
        </w:rPr>
        <w:t>mall changes</w:t>
      </w:r>
      <w:r w:rsidR="00396E1F" w:rsidRPr="0082680A">
        <w:rPr>
          <w:lang w:val="en-GB"/>
        </w:rPr>
        <w:t>, however,</w:t>
      </w:r>
      <w:r w:rsidRPr="0082680A">
        <w:rPr>
          <w:lang w:val="en-GB"/>
        </w:rPr>
        <w:t xml:space="preserve"> are conventionally discarded due to the statistical risk of false positives. However, if a small change can be replicated reliably, particularly across platforms, our confidence in it being a true positive increases </w:t>
      </w:r>
      <w:r w:rsidR="007463FE" w:rsidRPr="0082680A">
        <w:rPr>
          <w:lang w:val="en-GB"/>
        </w:rPr>
        <w:fldChar w:fldCharType="begin" w:fldLock="1"/>
      </w:r>
      <w:r w:rsidR="000507BA">
        <w:rPr>
          <w:lang w:val="en-GB"/>
        </w:rPr>
        <w:instrText>ADDIN CSL_CITATION {"citationItems":[{"id":"ITEM-1","itemData":{"DOI":"10.1186/1471-2164-9-124","ISSN":"1471-2164","abstract":"The comparability of gene expression data generated with different microarray platforms is still a matter of concern. Here we address the performance and the overlap in the detection of differentially expressed genes for five different microarray platforms in a challenging biological context where differences in gene expression are few and subtle. Gene expression profiles in the hippocampus of five wild-type and five transgenic δC-doublecortin-like kinase mice were evaluated with five microarray platforms: Applied Biosystems, Affymetrix, Agilent, Illumina, LGTC home-spotted arrays. Using a fixed false discovery rate of 10% we detected surprising differences between the number of differentially expressed genes per platform. Four genes were selected by ABI, 130 by Affymetrix, 3,051 by Agilent, 54 by Illumina, and 13 by LGTC. Two genes were found significantly differentially expressed by all platforms and the four genes identified by the ABI platform were found by at least three other platforms. Quantitative RT-PCR analysis confirmed 20 out of 28 of the genes detected by two or more platforms and 8 out of 15 of the genes detected by Agilent only. We observed improved correlations between platforms when ranking the genes based on the significance level than with a fixed statistical cut-off. We demonstrate significant overlap in the affected gene sets identified by the different platforms, although biological processes were represented by only partially overlapping sets of genes. Aberrances in GABA-ergic signalling in the transgenic mice were consistently found by all platforms. The different microarray platforms give partially complementary views on biological processes affected. Our data indicate that when analyzing samples with only subtle differences in gene expression the use of two different platforms might be more attractive than increasing the number of replicates. Commercial two-color platforms seem to have higher power for finding differentially expressed genes between groups with small differences in expression.","author":[{"dropping-particle":"","family":"Pedotti","given":"Paola","non-dropping-particle":"","parse-names":false,"suffix":""},{"dropping-particle":"","family":"'t Hoen","given":"Peter AC","non-dropping-particle":"","parse-names":false,"suffix":""},{"dropping-particle":"","family":"Vreugdenhil","given":"Erno","non-dropping-particle":"","parse-names":false,"suffix":""},{"dropping-particle":"","family":"Schenk","given":"Geert J","non-dropping-particle":"","parse-names":false,"suffix":""},{"dropping-particle":"","family":"Vossen","given":"Rolf HAM","non-dropping-particle":"","parse-names":false,"suffix":""},{"dropping-particle":"","family":"Ariyurek","given":"Yavuz","non-dropping-particle":"","parse-names":false,"suffix":""},{"dropping-particle":"","family":"Hollander","given":"Mattias","non-dropping-particle":"de","parse-names":false,"suffix":""},{"dropping-particle":"","family":"Kuiper","given":"Rowan","non-dropping-particle":"","parse-names":false,"suffix":""},{"dropping-particle":"","family":"Ommen","given":"Gertjan JB","non-dropping-particle":"van","parse-names":false,"suffix":""},{"dropping-particle":"","family":"Dunnen","given":"Johan T","non-dropping-particle":"den","parse-names":false,"suffix":""},{"dropping-particle":"","family":"Boer","given":"Judith M","non-dropping-particle":"","parse-names":false,"suffix":""},{"dropping-particle":"","family":"Menezes","given":"Renée X","non-dropping-particle":"de","parse-names":false,"suffix":""}],"container-title":"BMC Genomics","id":"ITEM-1","issue":"1","issued":{"date-parts":[["2008","3","10"]]},"page":"124","publisher":"BioMed Central","title":"Can subtle changes in gene expression be consistently detected with different microarray platforms?","type":"article-journal","volume":"9"},"uris":["http://www.mendeley.com/documents/?uuid=8259e8be-ca69-3bfb-9907-ca31d18e3279"]}],"mendeley":{"formattedCitation":"&lt;sup&gt;158&lt;/sup&gt;","plainTextFormattedCitation":"158","previouslyFormattedCitation":"&lt;sup&gt;158&lt;/sup&gt;"},"properties":{"noteIndex":0},"schema":"https://github.com/citation-style-language/schema/raw/master/csl-citation.json"}</w:instrText>
      </w:r>
      <w:r w:rsidR="007463FE" w:rsidRPr="0082680A">
        <w:rPr>
          <w:lang w:val="en-GB"/>
        </w:rPr>
        <w:fldChar w:fldCharType="separate"/>
      </w:r>
      <w:r w:rsidR="00426B19" w:rsidRPr="00426B19">
        <w:rPr>
          <w:noProof/>
          <w:vertAlign w:val="superscript"/>
          <w:lang w:val="en-GB"/>
        </w:rPr>
        <w:t>158</w:t>
      </w:r>
      <w:r w:rsidR="007463FE" w:rsidRPr="0082680A">
        <w:rPr>
          <w:lang w:val="en-GB"/>
        </w:rPr>
        <w:fldChar w:fldCharType="end"/>
      </w:r>
      <w:r w:rsidRPr="0082680A">
        <w:rPr>
          <w:lang w:val="en-GB"/>
        </w:rPr>
        <w:t xml:space="preserve">. </w:t>
      </w:r>
      <w:r w:rsidR="00396E1F" w:rsidRPr="0082680A">
        <w:rPr>
          <w:lang w:val="en-GB"/>
        </w:rPr>
        <w:t>Subsequently</w:t>
      </w:r>
      <w:r w:rsidRPr="0082680A">
        <w:rPr>
          <w:lang w:val="en-GB"/>
        </w:rPr>
        <w:t xml:space="preserve">, it was decided that common DEGs would be identified by assessing the consistency of </w:t>
      </w:r>
      <w:r w:rsidR="00396E1F" w:rsidRPr="0082680A">
        <w:rPr>
          <w:lang w:val="en-GB"/>
        </w:rPr>
        <w:t>a</w:t>
      </w:r>
      <w:r w:rsidRPr="0082680A">
        <w:rPr>
          <w:lang w:val="en-GB"/>
        </w:rPr>
        <w:t xml:space="preserve"> genes’ </w:t>
      </w:r>
      <w:r w:rsidRPr="0082680A">
        <w:rPr>
          <w:lang w:val="en-GB"/>
        </w:rPr>
        <w:lastRenderedPageBreak/>
        <w:t>fold chang</w:t>
      </w:r>
      <w:r w:rsidR="002448BA" w:rsidRPr="0082680A">
        <w:rPr>
          <w:lang w:val="en-GB"/>
        </w:rPr>
        <w:t xml:space="preserve">e direction. </w:t>
      </w:r>
      <w:r w:rsidR="00396E1F" w:rsidRPr="0082680A">
        <w:rPr>
          <w:lang w:val="en-GB"/>
        </w:rPr>
        <w:t>What results is</w:t>
      </w:r>
      <w:r w:rsidR="002448BA" w:rsidRPr="0082680A">
        <w:rPr>
          <w:lang w:val="en-GB"/>
        </w:rPr>
        <w:t xml:space="preserve"> a </w:t>
      </w:r>
      <w:r w:rsidRPr="0082680A">
        <w:rPr>
          <w:lang w:val="en-GB"/>
        </w:rPr>
        <w:t xml:space="preserve">list of genes which, while not significantly differentially expressed, show uniform upregulation or downregulation in patients versus healthy controls, and whose presence in the list is entirely data-driven. </w:t>
      </w:r>
    </w:p>
    <w:p w14:paraId="67887C3E" w14:textId="77777777" w:rsidR="00396E1F" w:rsidRPr="0082680A" w:rsidRDefault="00396E1F" w:rsidP="00EB41E2">
      <w:pPr>
        <w:rPr>
          <w:lang w:val="en-GB"/>
        </w:rPr>
      </w:pPr>
    </w:p>
    <w:p w14:paraId="6B765548" w14:textId="1F1B339F" w:rsidR="001200FB" w:rsidRPr="0082680A" w:rsidRDefault="00EB41E2" w:rsidP="00EB41E2">
      <w:pPr>
        <w:rPr>
          <w:lang w:val="en-GB"/>
        </w:rPr>
      </w:pPr>
      <w:r w:rsidRPr="0082680A">
        <w:rPr>
          <w:lang w:val="en-GB"/>
        </w:rPr>
        <w:t xml:space="preserve">After </w:t>
      </w:r>
      <w:r w:rsidR="00396E1F" w:rsidRPr="0082680A">
        <w:rPr>
          <w:lang w:val="en-GB"/>
        </w:rPr>
        <w:t xml:space="preserve">applying </w:t>
      </w:r>
      <w:r w:rsidRPr="0082680A">
        <w:rPr>
          <w:lang w:val="en-GB"/>
        </w:rPr>
        <w:t xml:space="preserve">differential expression analysis </w:t>
      </w:r>
      <w:r w:rsidR="00396E1F" w:rsidRPr="0082680A">
        <w:rPr>
          <w:lang w:val="en-GB"/>
        </w:rPr>
        <w:t xml:space="preserve">on each of our six TDP-43 datasets, </w:t>
      </w:r>
      <w:r w:rsidRPr="0082680A">
        <w:rPr>
          <w:lang w:val="en-GB"/>
        </w:rPr>
        <w:t xml:space="preserve">fold change direction </w:t>
      </w:r>
      <w:r w:rsidR="00396E1F" w:rsidRPr="0082680A">
        <w:rPr>
          <w:lang w:val="en-GB"/>
        </w:rPr>
        <w:t>was identified for each gene. Genes whose fold change sign (indicating upregulation or downregulation) was assessed for consistency across all six datasets. After applying this methodology,</w:t>
      </w:r>
      <w:r w:rsidRPr="0082680A">
        <w:rPr>
          <w:lang w:val="en-GB"/>
        </w:rPr>
        <w:t xml:space="preserve"> 328 genes were</w:t>
      </w:r>
      <w:r w:rsidR="00396E1F" w:rsidRPr="0082680A">
        <w:rPr>
          <w:lang w:val="en-GB"/>
        </w:rPr>
        <w:t xml:space="preserve"> discovered to be</w:t>
      </w:r>
      <w:r w:rsidRPr="0082680A">
        <w:rPr>
          <w:lang w:val="en-GB"/>
        </w:rPr>
        <w:t xml:space="preserve"> commonly upregulated and 69 genes commonly downregulate</w:t>
      </w:r>
      <w:r w:rsidR="00396E1F" w:rsidRPr="0082680A">
        <w:rPr>
          <w:lang w:val="en-GB"/>
        </w:rPr>
        <w:t>d</w:t>
      </w:r>
      <w:r w:rsidRPr="0082680A">
        <w:rPr>
          <w:lang w:val="en-GB"/>
        </w:rPr>
        <w:t xml:space="preserve">. A likely criticism of this approach is that a gene list generated in this way represents nothing but a random set of unrelated genes. To investigate, random permutations tests were conducted to establish whether the quantity of genes we observed experimentally was higher than would be expected by chance. Random permutation tests were conducted against the human genome using the R package </w:t>
      </w:r>
      <w:r w:rsidRPr="0082680A">
        <w:rPr>
          <w:i/>
          <w:lang w:val="en-GB"/>
        </w:rPr>
        <w:t>hgu133plus2.db</w:t>
      </w:r>
      <w:r w:rsidRPr="0082680A">
        <w:rPr>
          <w:lang w:val="en-GB"/>
        </w:rPr>
        <w:t xml:space="preserve"> to generate a background of 20,188 gene names. For each dataset, the total number of genes present were assigned a random label of “upregulated” or “downregulated”. The proportion of labels assigned to each condition was equal to that observed experimentally (</w:t>
      </w:r>
      <w:r w:rsidR="00CD1784" w:rsidRPr="0082680A">
        <w:rPr>
          <w:lang w:val="en-GB"/>
        </w:rPr>
        <w:t>Table</w:t>
      </w:r>
      <w:r w:rsidR="0061081A">
        <w:rPr>
          <w:lang w:val="en-GB"/>
        </w:rPr>
        <w:t xml:space="preserve"> 5</w:t>
      </w:r>
      <w:r w:rsidR="00CD1784" w:rsidRPr="0082680A">
        <w:rPr>
          <w:lang w:val="en-GB"/>
        </w:rPr>
        <w:t>)</w:t>
      </w:r>
      <w:r w:rsidRPr="0082680A">
        <w:rPr>
          <w:lang w:val="en-GB"/>
        </w:rPr>
        <w:t>. The size of ‘commonly upregulated’ and ‘commonly downregulated’ gene lists is calculated and stored</w:t>
      </w:r>
      <w:r w:rsidR="0050523A" w:rsidRPr="0082680A">
        <w:rPr>
          <w:lang w:val="en-GB"/>
        </w:rPr>
        <w:t xml:space="preserve">. The whole process is </w:t>
      </w:r>
      <w:r w:rsidRPr="0082680A">
        <w:rPr>
          <w:lang w:val="en-GB"/>
        </w:rPr>
        <w:t xml:space="preserve">repeated 100,000 times. Where </w:t>
      </w:r>
      <w:r w:rsidRPr="0082680A">
        <w:rPr>
          <w:i/>
          <w:lang w:val="en-GB"/>
        </w:rPr>
        <w:t>e</w:t>
      </w:r>
      <w:r w:rsidRPr="0082680A">
        <w:rPr>
          <w:lang w:val="en-GB"/>
        </w:rPr>
        <w:t xml:space="preserve"> is the size of the experimental gene list, </w:t>
      </w:r>
      <w:r w:rsidRPr="0082680A">
        <w:rPr>
          <w:i/>
          <w:lang w:val="en-GB"/>
        </w:rPr>
        <w:t>v</w:t>
      </w:r>
      <w:r w:rsidRPr="0082680A">
        <w:rPr>
          <w:lang w:val="en-GB"/>
        </w:rPr>
        <w:t xml:space="preserve"> is the size of the simulated gene list, </w:t>
      </w:r>
      <w:r w:rsidRPr="0082680A">
        <w:rPr>
          <w:i/>
          <w:lang w:val="en-GB"/>
        </w:rPr>
        <w:t>x</w:t>
      </w:r>
      <w:r w:rsidRPr="0082680A">
        <w:rPr>
          <w:lang w:val="en-GB"/>
        </w:rPr>
        <w:t xml:space="preserve"> is the number of times </w:t>
      </w:r>
      <w:r w:rsidRPr="0082680A">
        <w:rPr>
          <w:i/>
          <w:lang w:val="en-GB"/>
        </w:rPr>
        <w:t>e</w:t>
      </w:r>
      <w:r w:rsidRPr="0082680A">
        <w:rPr>
          <w:lang w:val="en-GB"/>
        </w:rPr>
        <w:t xml:space="preserve"> is larger than </w:t>
      </w:r>
      <w:r w:rsidR="006F3FC8" w:rsidRPr="0082680A">
        <w:rPr>
          <w:i/>
          <w:lang w:val="en-GB"/>
        </w:rPr>
        <w:t>s</w:t>
      </w:r>
      <w:r w:rsidRPr="0082680A">
        <w:rPr>
          <w:lang w:val="en-GB"/>
        </w:rPr>
        <w:t xml:space="preserve">, and </w:t>
      </w:r>
      <w:r w:rsidRPr="0082680A">
        <w:rPr>
          <w:i/>
          <w:lang w:val="en-GB"/>
        </w:rPr>
        <w:t>m</w:t>
      </w:r>
      <w:r w:rsidRPr="0082680A">
        <w:rPr>
          <w:lang w:val="en-GB"/>
        </w:rPr>
        <w:t xml:space="preserve"> is the number of permutations, the following calculation </w:t>
      </w:r>
      <w:r w:rsidR="001200FB" w:rsidRPr="0082680A">
        <w:rPr>
          <w:lang w:val="en-GB"/>
        </w:rPr>
        <w:t>was</w:t>
      </w:r>
      <w:r w:rsidRPr="0082680A">
        <w:rPr>
          <w:lang w:val="en-GB"/>
        </w:rPr>
        <w:t xml:space="preserve"> applied:</w:t>
      </w:r>
    </w:p>
    <w:p w14:paraId="5DB7F838" w14:textId="2FE3BE81" w:rsidR="00075624" w:rsidRPr="0082680A" w:rsidRDefault="001200FB" w:rsidP="00EB41E2">
      <w:pPr>
        <w:rPr>
          <w:lang w:val="en-GB"/>
        </w:rPr>
      </w:pPr>
      <w:r w:rsidRPr="0082680A">
        <w:rPr>
          <w:lang w:val="en-GB"/>
        </w:rPr>
        <w:br w:type="page"/>
      </w:r>
    </w:p>
    <w:p w14:paraId="2DCEFFB5" w14:textId="77777777" w:rsidR="00075624" w:rsidRPr="0082680A" w:rsidRDefault="00075624" w:rsidP="00EB41E2">
      <w:pPr>
        <w:rPr>
          <w:lang w:val="en-GB"/>
        </w:rPr>
      </w:pPr>
    </w:p>
    <w:p w14:paraId="56136E41" w14:textId="153D0599" w:rsidR="00EB41E2" w:rsidRPr="0082680A" w:rsidRDefault="00EB41E2" w:rsidP="006F3FC8">
      <w:pPr>
        <w:jc w:val="center"/>
        <w:rPr>
          <w:sz w:val="36"/>
          <w:szCs w:val="36"/>
          <w:lang w:val="en-GB"/>
        </w:rPr>
      </w:pPr>
      <m:oMath>
        <m:r>
          <w:rPr>
            <w:rFonts w:ascii="Cambria Math" w:hAnsi="Cambria Math"/>
            <w:sz w:val="36"/>
            <w:szCs w:val="36"/>
            <w:lang w:val="en-GB"/>
          </w:rPr>
          <m:t>x =Σ(e&gt;s</m:t>
        </m:r>
      </m:oMath>
      <w:r w:rsidR="006F3FC8" w:rsidRPr="0082680A">
        <w:rPr>
          <w:sz w:val="36"/>
          <w:szCs w:val="36"/>
          <w:lang w:val="en-GB"/>
        </w:rPr>
        <w:t>)</w:t>
      </w:r>
    </w:p>
    <w:p w14:paraId="42799159" w14:textId="79349EEA" w:rsidR="00EB41E2" w:rsidRPr="0082680A" w:rsidRDefault="00EB41E2" w:rsidP="00EB41E2">
      <w:pPr>
        <w:rPr>
          <w:sz w:val="36"/>
          <w:szCs w:val="36"/>
          <w:lang w:val="en-GB"/>
        </w:rPr>
      </w:pPr>
      <m:oMathPara>
        <m:oMath>
          <m:r>
            <w:rPr>
              <w:rFonts w:ascii="Cambria Math" w:hAnsi="Cambria Math"/>
              <w:sz w:val="36"/>
              <w:szCs w:val="36"/>
              <w:lang w:val="en-GB"/>
            </w:rPr>
            <m:t>p=</m:t>
          </m:r>
          <m:f>
            <m:fPr>
              <m:ctrlPr>
                <w:rPr>
                  <w:rFonts w:ascii="Cambria Math" w:hAnsi="Cambria Math"/>
                  <w:sz w:val="36"/>
                  <w:szCs w:val="36"/>
                  <w:lang w:val="en-GB"/>
                </w:rPr>
              </m:ctrlPr>
            </m:fPr>
            <m:num>
              <m:r>
                <w:rPr>
                  <w:rFonts w:ascii="Cambria Math" w:hAnsi="Cambria Math"/>
                  <w:sz w:val="36"/>
                  <w:szCs w:val="36"/>
                  <w:lang w:val="en-GB"/>
                </w:rPr>
                <m:t>x + 1</m:t>
              </m:r>
            </m:num>
            <m:den>
              <m:r>
                <w:rPr>
                  <w:rFonts w:ascii="Cambria Math" w:hAnsi="Cambria Math"/>
                  <w:sz w:val="36"/>
                  <w:szCs w:val="36"/>
                  <w:lang w:val="en-GB"/>
                </w:rPr>
                <m:t>m + 1</m:t>
              </m:r>
            </m:den>
          </m:f>
        </m:oMath>
      </m:oMathPara>
    </w:p>
    <w:p w14:paraId="72C160E1" w14:textId="77777777" w:rsidR="00075624" w:rsidRPr="0082680A" w:rsidRDefault="00075624" w:rsidP="00EB41E2">
      <w:pPr>
        <w:rPr>
          <w:sz w:val="36"/>
          <w:szCs w:val="36"/>
          <w:lang w:val="en-GB"/>
        </w:rPr>
      </w:pPr>
    </w:p>
    <w:p w14:paraId="040747B4" w14:textId="248CE312" w:rsidR="00FB41DF" w:rsidRPr="0082680A" w:rsidRDefault="00EB41E2" w:rsidP="00EB41E2">
      <w:pPr>
        <w:rPr>
          <w:lang w:val="en-GB"/>
        </w:rPr>
      </w:pPr>
      <w:r w:rsidRPr="0082680A">
        <w:rPr>
          <w:lang w:val="en-GB"/>
        </w:rPr>
        <w:t xml:space="preserve">A P-value </w:t>
      </w:r>
      <w:r w:rsidR="00396E1F" w:rsidRPr="0082680A">
        <w:rPr>
          <w:lang w:val="en-GB"/>
        </w:rPr>
        <w:t>was</w:t>
      </w:r>
      <w:r w:rsidRPr="0082680A">
        <w:rPr>
          <w:lang w:val="en-GB"/>
        </w:rPr>
        <w:t xml:space="preserve"> produced, </w:t>
      </w:r>
      <w:r w:rsidR="00396E1F" w:rsidRPr="0082680A">
        <w:rPr>
          <w:lang w:val="en-GB"/>
        </w:rPr>
        <w:t>indicating</w:t>
      </w:r>
      <w:r w:rsidRPr="0082680A">
        <w:rPr>
          <w:lang w:val="en-GB"/>
        </w:rPr>
        <w:t xml:space="preserve"> the likelihood that the number of genes</w:t>
      </w:r>
      <w:r w:rsidR="00396E1F" w:rsidRPr="0082680A">
        <w:rPr>
          <w:lang w:val="en-GB"/>
        </w:rPr>
        <w:t xml:space="preserve"> </w:t>
      </w:r>
      <w:r w:rsidRPr="0082680A">
        <w:rPr>
          <w:lang w:val="en-GB"/>
        </w:rPr>
        <w:t xml:space="preserve">generated experimentally </w:t>
      </w:r>
      <w:r w:rsidR="00396E1F" w:rsidRPr="0082680A">
        <w:rPr>
          <w:lang w:val="en-GB"/>
        </w:rPr>
        <w:t>was</w:t>
      </w:r>
      <w:r w:rsidRPr="0082680A">
        <w:rPr>
          <w:lang w:val="en-GB"/>
        </w:rPr>
        <w:t xml:space="preserve"> more than would be expected by chance.</w:t>
      </w:r>
      <w:r w:rsidR="00396E1F" w:rsidRPr="0082680A">
        <w:rPr>
          <w:lang w:val="en-GB"/>
        </w:rPr>
        <w:t xml:space="preserve"> </w:t>
      </w:r>
      <w:r w:rsidRPr="0082680A">
        <w:rPr>
          <w:lang w:val="en-GB"/>
        </w:rPr>
        <w:t>Results indicated that on average, 127 commonly upregulated and 32 commonly downregulated genes would be expected by chance, far fewer than identified experimentally</w:t>
      </w:r>
      <w:r w:rsidR="00EE0C77" w:rsidRPr="0082680A">
        <w:rPr>
          <w:lang w:val="en-GB"/>
        </w:rPr>
        <w:t xml:space="preserve"> (Table </w:t>
      </w:r>
      <w:r w:rsidR="0061081A">
        <w:rPr>
          <w:lang w:val="en-GB"/>
        </w:rPr>
        <w:t>6</w:t>
      </w:r>
      <w:r w:rsidR="00EE0C77" w:rsidRPr="0082680A">
        <w:rPr>
          <w:lang w:val="en-GB"/>
        </w:rPr>
        <w:t xml:space="preserve">). </w:t>
      </w:r>
      <w:r w:rsidRPr="0082680A">
        <w:rPr>
          <w:lang w:val="en-GB"/>
        </w:rPr>
        <w:t xml:space="preserve">In fact, the experimental values did not fall within the expected distribution, meaning a P-value could not be calculated. Although we cannot say at this point that our signature is representative of TDP-43 dysfunction, possession of a common gene list larger than expected by chance indicates that these datasets share a common expression pattern far stronger than would be expected. </w:t>
      </w:r>
    </w:p>
    <w:p w14:paraId="5994055B" w14:textId="4DF03C61" w:rsidR="00D0571E" w:rsidRPr="0082680A" w:rsidRDefault="00D0571E" w:rsidP="00EB41E2">
      <w:pPr>
        <w:rPr>
          <w:lang w:val="en-GB"/>
        </w:rPr>
      </w:pPr>
    </w:p>
    <w:p w14:paraId="1449354D" w14:textId="77777777" w:rsidR="00D0571E" w:rsidRPr="0082680A" w:rsidRDefault="00D0571E" w:rsidP="00EB41E2">
      <w:pPr>
        <w:rPr>
          <w:lang w:val="en-GB"/>
        </w:rPr>
      </w:pPr>
    </w:p>
    <w:p w14:paraId="05E464FC" w14:textId="77777777" w:rsidR="004308B9" w:rsidRPr="0082680A" w:rsidRDefault="00FB41DF" w:rsidP="00CD1784">
      <w:pPr>
        <w:pStyle w:val="NoSpacing"/>
        <w:rPr>
          <w:lang w:val="en-GB"/>
        </w:rPr>
      </w:pPr>
      <w:r w:rsidRPr="0082680A">
        <w:rPr>
          <w:noProof/>
          <w:lang w:val="en-GB"/>
        </w:rPr>
        <w:drawing>
          <wp:inline distT="0" distB="0" distL="0" distR="0" wp14:anchorId="07EF1A48" wp14:editId="5A04DC4B">
            <wp:extent cx="5399404" cy="303716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DP_DEG_Proportions.pdf"/>
                    <pic:cNvPicPr/>
                  </pic:nvPicPr>
                  <pic:blipFill>
                    <a:blip r:embed="rId54">
                      <a:extLst>
                        <a:ext uri="{28A0092B-C50C-407E-A947-70E740481C1C}">
                          <a14:useLocalDpi xmlns:a14="http://schemas.microsoft.com/office/drawing/2010/main" val="0"/>
                        </a:ext>
                      </a:extLst>
                    </a:blip>
                    <a:stretch>
                      <a:fillRect/>
                    </a:stretch>
                  </pic:blipFill>
                  <pic:spPr>
                    <a:xfrm>
                      <a:off x="0" y="0"/>
                      <a:ext cx="5399404" cy="3037165"/>
                    </a:xfrm>
                    <a:prstGeom prst="rect">
                      <a:avLst/>
                    </a:prstGeom>
                  </pic:spPr>
                </pic:pic>
              </a:graphicData>
            </a:graphic>
          </wp:inline>
        </w:drawing>
      </w:r>
    </w:p>
    <w:p w14:paraId="0A517147" w14:textId="469D288F" w:rsidR="00D61342" w:rsidRPr="0082680A" w:rsidRDefault="004308B9" w:rsidP="00CD1784">
      <w:pPr>
        <w:pStyle w:val="Caption"/>
        <w:rPr>
          <w:b w:val="0"/>
          <w:lang w:val="en-GB"/>
        </w:rPr>
      </w:pPr>
      <w:bookmarkStart w:id="100" w:name="_Toc3225919"/>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w:t>
      </w:r>
      <w:r w:rsidR="00483095">
        <w:rPr>
          <w:lang w:val="en-GB"/>
        </w:rPr>
        <w:fldChar w:fldCharType="end"/>
      </w:r>
      <w:r w:rsidRPr="0082680A">
        <w:rPr>
          <w:lang w:val="en-GB"/>
        </w:rPr>
        <w:t xml:space="preserve">: </w:t>
      </w:r>
      <w:r w:rsidR="0082680A">
        <w:rPr>
          <w:b w:val="0"/>
          <w:lang w:val="en-GB"/>
        </w:rPr>
        <w:t xml:space="preserve">Total number of genes for each TDP-43 dataset after pre-processing and </w:t>
      </w:r>
      <w:r w:rsidR="002D297D">
        <w:rPr>
          <w:b w:val="0"/>
          <w:lang w:val="en-GB"/>
        </w:rPr>
        <w:t>numbers</w:t>
      </w:r>
      <w:r w:rsidRPr="0082680A">
        <w:rPr>
          <w:b w:val="0"/>
          <w:lang w:val="en-GB"/>
        </w:rPr>
        <w:t xml:space="preserve"> of </w:t>
      </w:r>
      <w:r w:rsidR="0082680A">
        <w:rPr>
          <w:b w:val="0"/>
          <w:lang w:val="en-GB"/>
        </w:rPr>
        <w:t xml:space="preserve">these genes which are </w:t>
      </w:r>
      <w:r w:rsidRPr="0082680A">
        <w:rPr>
          <w:b w:val="0"/>
          <w:lang w:val="en-GB"/>
        </w:rPr>
        <w:t xml:space="preserve">upregulated </w:t>
      </w:r>
      <w:r w:rsidR="0082680A">
        <w:rPr>
          <w:b w:val="0"/>
          <w:lang w:val="en-GB"/>
        </w:rPr>
        <w:t>or</w:t>
      </w:r>
      <w:r w:rsidRPr="0082680A">
        <w:rPr>
          <w:b w:val="0"/>
          <w:lang w:val="en-GB"/>
        </w:rPr>
        <w:t xml:space="preserve"> downregulated</w:t>
      </w:r>
      <w:r w:rsidR="0082680A">
        <w:rPr>
          <w:b w:val="0"/>
          <w:lang w:val="en-GB"/>
        </w:rPr>
        <w:t>.</w:t>
      </w:r>
      <w:bookmarkEnd w:id="100"/>
    </w:p>
    <w:p w14:paraId="5C91A541" w14:textId="0122B07D" w:rsidR="00854969" w:rsidRPr="0082680A" w:rsidRDefault="00D61342" w:rsidP="00854969">
      <w:pPr>
        <w:rPr>
          <w:iCs/>
          <w:color w:val="000000" w:themeColor="text1"/>
          <w:sz w:val="20"/>
          <w:szCs w:val="18"/>
          <w:lang w:val="en-GB"/>
        </w:rPr>
      </w:pPr>
      <w:r w:rsidRPr="0082680A">
        <w:rPr>
          <w:b/>
          <w:lang w:val="en-GB"/>
        </w:rPr>
        <w:br w:type="page"/>
      </w:r>
    </w:p>
    <w:p w14:paraId="667FEA5D" w14:textId="77777777" w:rsidR="00854969" w:rsidRPr="0082680A" w:rsidRDefault="00854969" w:rsidP="008E4138">
      <w:pPr>
        <w:pStyle w:val="NoSpacing"/>
        <w:rPr>
          <w:lang w:val="en-GB"/>
        </w:rPr>
      </w:pPr>
      <w:r w:rsidRPr="0082680A">
        <w:rPr>
          <w:noProof/>
          <w:lang w:val="en-GB"/>
        </w:rPr>
        <w:lastRenderedPageBreak/>
        <w:drawing>
          <wp:inline distT="0" distB="0" distL="0" distR="0" wp14:anchorId="726A55BC" wp14:editId="0ABF3917">
            <wp:extent cx="4995238" cy="25706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DP_RPTTable.pdf"/>
                    <pic:cNvPicPr/>
                  </pic:nvPicPr>
                  <pic:blipFill rotWithShape="1">
                    <a:blip r:embed="rId55">
                      <a:extLst>
                        <a:ext uri="{28A0092B-C50C-407E-A947-70E740481C1C}">
                          <a14:useLocalDpi xmlns:a14="http://schemas.microsoft.com/office/drawing/2010/main" val="0"/>
                        </a:ext>
                      </a:extLst>
                    </a:blip>
                    <a:srcRect t="2552" b="5959"/>
                    <a:stretch/>
                  </pic:blipFill>
                  <pic:spPr bwMode="auto">
                    <a:xfrm>
                      <a:off x="0" y="0"/>
                      <a:ext cx="5009500" cy="2578012"/>
                    </a:xfrm>
                    <a:prstGeom prst="rect">
                      <a:avLst/>
                    </a:prstGeom>
                    <a:ln>
                      <a:noFill/>
                    </a:ln>
                    <a:extLst>
                      <a:ext uri="{53640926-AAD7-44D8-BBD7-CCE9431645EC}">
                        <a14:shadowObscured xmlns:a14="http://schemas.microsoft.com/office/drawing/2010/main"/>
                      </a:ext>
                    </a:extLst>
                  </pic:spPr>
                </pic:pic>
              </a:graphicData>
            </a:graphic>
          </wp:inline>
        </w:drawing>
      </w:r>
    </w:p>
    <w:p w14:paraId="45E00CCB" w14:textId="651145AC" w:rsidR="00CE7398" w:rsidRPr="0082680A" w:rsidRDefault="00854969" w:rsidP="00EB778D">
      <w:pPr>
        <w:pStyle w:val="Caption"/>
        <w:rPr>
          <w:b w:val="0"/>
          <w:lang w:val="en-GB"/>
        </w:rPr>
      </w:pPr>
      <w:bookmarkStart w:id="101" w:name="_Toc3225920"/>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6</w:t>
      </w:r>
      <w:r w:rsidR="00483095">
        <w:rPr>
          <w:lang w:val="en-GB"/>
        </w:rPr>
        <w:fldChar w:fldCharType="end"/>
      </w:r>
      <w:r w:rsidRPr="0082680A">
        <w:rPr>
          <w:lang w:val="en-GB"/>
        </w:rPr>
        <w:t xml:space="preserve">: </w:t>
      </w:r>
      <w:r w:rsidR="005B1497" w:rsidRPr="0082680A">
        <w:rPr>
          <w:lang w:val="en-GB"/>
        </w:rPr>
        <w:t xml:space="preserve">Comparison of </w:t>
      </w:r>
      <w:r w:rsidR="0083316D" w:rsidRPr="0082680A">
        <w:rPr>
          <w:lang w:val="en-GB"/>
        </w:rPr>
        <w:t xml:space="preserve">TDP-43 </w:t>
      </w:r>
      <w:r w:rsidR="000C2A64" w:rsidRPr="0082680A">
        <w:rPr>
          <w:lang w:val="en-GB"/>
        </w:rPr>
        <w:t xml:space="preserve">DEG results </w:t>
      </w:r>
      <w:r w:rsidR="005B1497" w:rsidRPr="0082680A">
        <w:rPr>
          <w:lang w:val="en-GB"/>
        </w:rPr>
        <w:t xml:space="preserve">and </w:t>
      </w:r>
      <w:r w:rsidR="000C2A64" w:rsidRPr="0082680A">
        <w:rPr>
          <w:lang w:val="en-GB"/>
        </w:rPr>
        <w:t>those expected by random permutation</w:t>
      </w:r>
      <w:r w:rsidR="00546285" w:rsidRPr="0082680A">
        <w:rPr>
          <w:lang w:val="en-GB"/>
        </w:rPr>
        <w:t>.</w:t>
      </w:r>
      <w:r w:rsidR="00546285" w:rsidRPr="0082680A">
        <w:rPr>
          <w:b w:val="0"/>
          <w:lang w:val="en-GB"/>
        </w:rPr>
        <w:t xml:space="preserve"> </w:t>
      </w:r>
      <w:r w:rsidR="0082680A">
        <w:rPr>
          <w:b w:val="0"/>
          <w:i/>
          <w:lang w:val="en-GB"/>
        </w:rPr>
        <w:t>Actual Value</w:t>
      </w:r>
      <w:r w:rsidR="0082680A">
        <w:rPr>
          <w:b w:val="0"/>
          <w:lang w:val="en-GB"/>
        </w:rPr>
        <w:t xml:space="preserve"> indicates the number of DEGs observed experimentally. </w:t>
      </w:r>
      <w:r w:rsidR="0082680A">
        <w:rPr>
          <w:b w:val="0"/>
          <w:i/>
          <w:lang w:val="en-GB"/>
        </w:rPr>
        <w:t>Expected Mean</w:t>
      </w:r>
      <w:r w:rsidR="0082680A">
        <w:rPr>
          <w:b w:val="0"/>
          <w:lang w:val="en-GB"/>
        </w:rPr>
        <w:t xml:space="preserve"> and </w:t>
      </w:r>
      <w:r w:rsidR="0082680A">
        <w:rPr>
          <w:b w:val="0"/>
          <w:i/>
          <w:lang w:val="en-GB"/>
        </w:rPr>
        <w:t>Expected Range</w:t>
      </w:r>
      <w:r w:rsidR="0082680A">
        <w:rPr>
          <w:b w:val="0"/>
          <w:lang w:val="en-GB"/>
        </w:rPr>
        <w:t xml:space="preserve"> show the average and range of values that would be expected if upregulation and downregulation labels were randomly assigned.</w:t>
      </w:r>
      <w:bookmarkEnd w:id="101"/>
    </w:p>
    <w:p w14:paraId="2B4FB711" w14:textId="26CC7967" w:rsidR="00CE7398" w:rsidRPr="0082680A" w:rsidRDefault="00CE7398" w:rsidP="00EB778D">
      <w:pPr>
        <w:pStyle w:val="NoSpacing"/>
        <w:jc w:val="center"/>
        <w:rPr>
          <w:lang w:val="en-GB"/>
        </w:rPr>
      </w:pPr>
    </w:p>
    <w:p w14:paraId="4B2BE969" w14:textId="77777777" w:rsidR="00EB41E2" w:rsidRPr="0082680A" w:rsidRDefault="00EB41E2" w:rsidP="00842FD0">
      <w:pPr>
        <w:pStyle w:val="Heading4"/>
        <w:rPr>
          <w:lang w:val="en-GB"/>
        </w:rPr>
      </w:pPr>
      <w:bookmarkStart w:id="102" w:name="_jpdzr4ynshuk" w:colFirst="0" w:colLast="0"/>
      <w:bookmarkStart w:id="103" w:name="_Toc3211349"/>
      <w:bookmarkEnd w:id="102"/>
      <w:r w:rsidRPr="0082680A">
        <w:rPr>
          <w:lang w:val="en-GB"/>
        </w:rPr>
        <w:t>Signal Purification</w:t>
      </w:r>
      <w:bookmarkEnd w:id="103"/>
    </w:p>
    <w:p w14:paraId="57082BE3" w14:textId="2072AF48" w:rsidR="00DA56A1" w:rsidRPr="0082680A" w:rsidRDefault="00396E1F" w:rsidP="00EB41E2">
      <w:pPr>
        <w:rPr>
          <w:lang w:val="en-GB"/>
        </w:rPr>
      </w:pPr>
      <w:r w:rsidRPr="0082680A">
        <w:rPr>
          <w:lang w:val="en-GB"/>
        </w:rPr>
        <w:t>In the introduction, we discussed how v</w:t>
      </w:r>
      <w:r w:rsidR="00EB41E2" w:rsidRPr="0082680A">
        <w:rPr>
          <w:lang w:val="en-GB"/>
        </w:rPr>
        <w:t>ery few signature building studies take measures to filter out noise from processes unrelated to the experimental phenotype</w:t>
      </w:r>
      <w:r w:rsidRPr="0082680A">
        <w:rPr>
          <w:lang w:val="en-GB"/>
        </w:rPr>
        <w:t xml:space="preserve"> – condition-generic and tissue non-specific signals</w:t>
      </w:r>
      <w:r w:rsidR="00EB41E2" w:rsidRPr="0082680A">
        <w:rPr>
          <w:lang w:val="en-GB"/>
        </w:rPr>
        <w:t xml:space="preserve">. To purify the signal, two additional signatures were generated; a condition-generic signature, and an unaffected tissue signature. In the case of TDP-43, </w:t>
      </w:r>
      <w:r w:rsidRPr="0082680A">
        <w:rPr>
          <w:lang w:val="en-GB"/>
        </w:rPr>
        <w:t>a condition-generic signature</w:t>
      </w:r>
      <w:r w:rsidR="00EB41E2" w:rsidRPr="0082680A">
        <w:rPr>
          <w:lang w:val="en-GB"/>
        </w:rPr>
        <w:t xml:space="preserve"> </w:t>
      </w:r>
      <w:r w:rsidRPr="0082680A">
        <w:rPr>
          <w:lang w:val="en-GB"/>
        </w:rPr>
        <w:t xml:space="preserve">is that which is </w:t>
      </w:r>
      <w:r w:rsidR="00EB41E2" w:rsidRPr="0082680A">
        <w:rPr>
          <w:lang w:val="en-GB"/>
        </w:rPr>
        <w:t>representative of neurodegeneration in general. Subsequently, two neuronal datasets from patients with SOD1 or FUS mutations were selected</w:t>
      </w:r>
      <w:r w:rsidR="00DA56A1" w:rsidRPr="0082680A">
        <w:rPr>
          <w:lang w:val="en-GB"/>
        </w:rPr>
        <w:t xml:space="preserve"> (Table </w:t>
      </w:r>
      <w:r w:rsidR="0061081A">
        <w:rPr>
          <w:lang w:val="en-GB"/>
        </w:rPr>
        <w:t>7)</w:t>
      </w:r>
      <w:r w:rsidR="00EB41E2" w:rsidRPr="0082680A">
        <w:rPr>
          <w:lang w:val="en-GB"/>
        </w:rPr>
        <w:t>. These individuals experience neurodegeneration but do not present with TDP-43 pathology, therefore any commonalities between the two signatures represent processes unrelated to TDP-43 dysfunction. The condition-generic signature was generated using the same methodology as the experimental signature; differential expression followed by identification of commonly upregulated or downregulated genes between the SOD1 and FUS datasets. One-hundred and twelve dysregulated genes were shown to share the same expression direction in the two signatures. These were subsequently removed from the TDP-43 signature, leaving 285 common DEGs.</w:t>
      </w:r>
    </w:p>
    <w:p w14:paraId="7E96645A" w14:textId="77777777" w:rsidR="00DA56A1" w:rsidRPr="0082680A" w:rsidRDefault="00DA56A1" w:rsidP="00EB41E2">
      <w:pPr>
        <w:rPr>
          <w:lang w:val="en-GB"/>
        </w:rPr>
      </w:pPr>
    </w:p>
    <w:p w14:paraId="6F887FB3" w14:textId="5577EBAF" w:rsidR="00DA56A1" w:rsidRPr="0082680A" w:rsidRDefault="00DA56A1" w:rsidP="00DA56A1">
      <w:pPr>
        <w:rPr>
          <w:lang w:val="en-GB"/>
        </w:rPr>
      </w:pPr>
      <w:r w:rsidRPr="0082680A">
        <w:rPr>
          <w:lang w:val="en-GB"/>
        </w:rPr>
        <w:t xml:space="preserve">The purpose of an unaffected tissue signature is to represent any tissue non-specific gene expression alterations occurring during the disease process. </w:t>
      </w:r>
      <w:r w:rsidR="005C4E13" w:rsidRPr="0082680A">
        <w:rPr>
          <w:lang w:val="en-GB"/>
        </w:rPr>
        <w:t>We</w:t>
      </w:r>
      <w:r w:rsidRPr="0082680A">
        <w:rPr>
          <w:lang w:val="en-GB"/>
        </w:rPr>
        <w:t xml:space="preserve"> selected a fibroblast dataset generated from patients with </w:t>
      </w:r>
      <w:r w:rsidRPr="0082680A">
        <w:rPr>
          <w:i/>
          <w:lang w:val="en-GB"/>
        </w:rPr>
        <w:t xml:space="preserve">TARDBP </w:t>
      </w:r>
      <w:r w:rsidRPr="0082680A">
        <w:rPr>
          <w:lang w:val="en-GB"/>
        </w:rPr>
        <w:t xml:space="preserve">mutations. As only one dataset was available conventional differential expression was applied, and the signature was defined by the significant DEGs (adjusted P-value &lt;0.05). Only two genes that were significantly </w:t>
      </w:r>
      <w:r w:rsidRPr="0082680A">
        <w:rPr>
          <w:lang w:val="en-GB"/>
        </w:rPr>
        <w:lastRenderedPageBreak/>
        <w:t>differentially expressed overlapped with the 285 DEGs. After removal, 283 common DEGs remained.</w:t>
      </w:r>
      <w:r w:rsidR="000F4662" w:rsidRPr="0082680A">
        <w:rPr>
          <w:lang w:val="en-GB"/>
        </w:rPr>
        <w:t xml:space="preserve"> </w:t>
      </w:r>
    </w:p>
    <w:p w14:paraId="6EA63596" w14:textId="75ABB33D" w:rsidR="00402117" w:rsidRPr="0082680A" w:rsidRDefault="00EB41E2" w:rsidP="00EB41E2">
      <w:pPr>
        <w:rPr>
          <w:lang w:val="en-GB"/>
        </w:rPr>
      </w:pPr>
      <w:r w:rsidRPr="0082680A">
        <w:rPr>
          <w:lang w:val="en-GB"/>
        </w:rPr>
        <w:t xml:space="preserve"> </w:t>
      </w:r>
    </w:p>
    <w:p w14:paraId="3B50579F" w14:textId="08A3AA80" w:rsidR="00402117" w:rsidRPr="0082680A" w:rsidRDefault="00402117" w:rsidP="00EB41E2">
      <w:pPr>
        <w:rPr>
          <w:lang w:val="en-GB"/>
        </w:rPr>
      </w:pPr>
      <w:r w:rsidRPr="0082680A">
        <w:rPr>
          <w:lang w:val="en-GB"/>
        </w:rPr>
        <w:br w:type="page"/>
      </w:r>
    </w:p>
    <w:p w14:paraId="66AB62C2" w14:textId="3C0F9C9B" w:rsidR="00D61342" w:rsidRPr="0082680A" w:rsidRDefault="001B61BC" w:rsidP="001B61BC">
      <w:pPr>
        <w:ind w:left="2410"/>
        <w:rPr>
          <w:lang w:val="en-GB"/>
        </w:rPr>
      </w:pPr>
      <w:r w:rsidRPr="0082680A">
        <w:rPr>
          <w:noProof/>
          <w:lang w:val="en-GB"/>
        </w:rPr>
        <w:lastRenderedPageBreak/>
        <mc:AlternateContent>
          <mc:Choice Requires="wps">
            <w:drawing>
              <wp:anchor distT="0" distB="0" distL="114300" distR="114300" simplePos="0" relativeHeight="251663360" behindDoc="0" locked="0" layoutInCell="1" allowOverlap="1" wp14:anchorId="7C766440" wp14:editId="63345EFF">
                <wp:simplePos x="0" y="0"/>
                <wp:positionH relativeFrom="column">
                  <wp:posOffset>-2933065</wp:posOffset>
                </wp:positionH>
                <wp:positionV relativeFrom="paragraph">
                  <wp:posOffset>3408680</wp:posOffset>
                </wp:positionV>
                <wp:extent cx="8645525" cy="182880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rot="5400000">
                          <a:off x="0" y="0"/>
                          <a:ext cx="8645525" cy="1828800"/>
                        </a:xfrm>
                        <a:prstGeom prst="rect">
                          <a:avLst/>
                        </a:prstGeom>
                        <a:noFill/>
                        <a:ln w="6350">
                          <a:noFill/>
                        </a:ln>
                      </wps:spPr>
                      <wps:txbx>
                        <w:txbxContent>
                          <w:p w14:paraId="3DE5793C" w14:textId="1C4F2F79" w:rsidR="00C2072C" w:rsidRPr="00402117" w:rsidRDefault="00C2072C" w:rsidP="001B61BC">
                            <w:pPr>
                              <w:pStyle w:val="Caption"/>
                              <w:keepNext/>
                              <w:rPr>
                                <w:b w:val="0"/>
                              </w:rPr>
                            </w:pPr>
                            <w:bookmarkStart w:id="104" w:name="_Toc530741916"/>
                            <w:bookmarkStart w:id="105" w:name="_Toc531197138"/>
                            <w:bookmarkStart w:id="106" w:name="_Toc3225921"/>
                            <w:r w:rsidRPr="001B61BC">
                              <w:t xml:space="preserve">Table </w:t>
                            </w:r>
                            <w:fldSimple w:instr=" SEQ Table \* ARABIC ">
                              <w:r>
                                <w:rPr>
                                  <w:noProof/>
                                </w:rPr>
                                <w:t>7</w:t>
                              </w:r>
                            </w:fldSimple>
                            <w:r w:rsidRPr="001B61BC">
                              <w:t>: Datasets used to build tissue-nonspecific and condition generic signatures for TDP-43 DEG signature filtering</w:t>
                            </w:r>
                            <w:bookmarkEnd w:id="104"/>
                            <w:bookmarkEnd w:id="105"/>
                            <w:r>
                              <w:rPr>
                                <w:b w:val="0"/>
                              </w:rPr>
                              <w:t xml:space="preserve">. </w:t>
                            </w:r>
                            <w:r w:rsidRPr="006F3FC8">
                              <w:rPr>
                                <w:b w:val="0"/>
                                <w:i/>
                              </w:rPr>
                              <w:t>Tissue</w:t>
                            </w:r>
                            <w:r>
                              <w:rPr>
                                <w:b w:val="0"/>
                              </w:rPr>
                              <w:t xml:space="preserve"> indicates the source of the biological material. </w:t>
                            </w:r>
                            <w:r w:rsidRPr="006F3FC8">
                              <w:rPr>
                                <w:b w:val="0"/>
                                <w:i/>
                              </w:rPr>
                              <w:t>Disease</w:t>
                            </w:r>
                            <w:r>
                              <w:rPr>
                                <w:b w:val="0"/>
                              </w:rPr>
                              <w:t xml:space="preserve"> indicates the medical condition patients had been diagnosed with. </w:t>
                            </w:r>
                            <w:r>
                              <w:rPr>
                                <w:b w:val="0"/>
                                <w:i/>
                              </w:rPr>
                              <w:t>Variant</w:t>
                            </w:r>
                            <w:r>
                              <w:rPr>
                                <w:i/>
                              </w:rPr>
                              <w:t xml:space="preserve"> </w:t>
                            </w:r>
                            <w:r>
                              <w:rPr>
                                <w:b w:val="0"/>
                              </w:rPr>
                              <w:t xml:space="preserve">indicates whether the dataset contains individuals with a known genetic cause, or individuals with sporadic status. </w:t>
                            </w:r>
                            <w:r>
                              <w:rPr>
                                <w:b w:val="0"/>
                                <w:i/>
                              </w:rPr>
                              <w:t>Platform</w:t>
                            </w:r>
                            <w:r>
                              <w:rPr>
                                <w:b w:val="0"/>
                              </w:rPr>
                              <w:t xml:space="preserve"> indicates the technical platform used to collect the expression data. Affymetrix platforms are microarray, Illumina are RNA-Seq. GEO ID is the reference provided by GEO to locate the original dataset. </w:t>
                            </w:r>
                            <w:r>
                              <w:rPr>
                                <w:b w:val="0"/>
                                <w:i/>
                              </w:rPr>
                              <w:t>Publication</w:t>
                            </w:r>
                            <w:r>
                              <w:rPr>
                                <w:b w:val="0"/>
                              </w:rPr>
                              <w:t xml:space="preserve"> contains the reference supplied with the data on GEO. LCM = Laser Capture Microdissected</w:t>
                            </w:r>
                            <w:bookmarkEnd w:id="10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766440" id="Text Box 51" o:spid="_x0000_s1027" type="#_x0000_t202" style="position:absolute;left:0;text-align:left;margin-left:-230.95pt;margin-top:268.4pt;width:680.75pt;height:2in;rotation:90;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" filled="f" stroked="f" strokeweight=".5pt">
                <v:textbox style="mso-fit-shape-to-text:t">
                  <w:txbxContent>
                    <w:p w14:paraId="3DE5793C" w14:textId="1C4F2F79" w:rsidR="00C2072C" w:rsidRPr="00402117" w:rsidRDefault="00C2072C" w:rsidP="001B61BC">
                      <w:pPr>
                        <w:pStyle w:val="Caption"/>
                        <w:keepNext/>
                        <w:rPr>
                          <w:b w:val="0"/>
                        </w:rPr>
                      </w:pPr>
                      <w:bookmarkStart w:id="107" w:name="_Toc530741916"/>
                      <w:bookmarkStart w:id="108" w:name="_Toc531197138"/>
                      <w:bookmarkStart w:id="109" w:name="_Toc3225921"/>
                      <w:r w:rsidRPr="001B61BC">
                        <w:t xml:space="preserve">Table </w:t>
                      </w:r>
                      <w:fldSimple w:instr=" SEQ Table \* ARABIC ">
                        <w:r>
                          <w:rPr>
                            <w:noProof/>
                          </w:rPr>
                          <w:t>7</w:t>
                        </w:r>
                      </w:fldSimple>
                      <w:r w:rsidRPr="001B61BC">
                        <w:t>: Datasets used to build tissue-nonspecific and condition generic signatures for TDP-43 DEG signature filtering</w:t>
                      </w:r>
                      <w:bookmarkEnd w:id="107"/>
                      <w:bookmarkEnd w:id="108"/>
                      <w:r>
                        <w:rPr>
                          <w:b w:val="0"/>
                        </w:rPr>
                        <w:t xml:space="preserve">. </w:t>
                      </w:r>
                      <w:r w:rsidRPr="006F3FC8">
                        <w:rPr>
                          <w:b w:val="0"/>
                          <w:i/>
                        </w:rPr>
                        <w:t>Tissue</w:t>
                      </w:r>
                      <w:r>
                        <w:rPr>
                          <w:b w:val="0"/>
                        </w:rPr>
                        <w:t xml:space="preserve"> indicates the source of the biological material. </w:t>
                      </w:r>
                      <w:r w:rsidRPr="006F3FC8">
                        <w:rPr>
                          <w:b w:val="0"/>
                          <w:i/>
                        </w:rPr>
                        <w:t>Disease</w:t>
                      </w:r>
                      <w:r>
                        <w:rPr>
                          <w:b w:val="0"/>
                        </w:rPr>
                        <w:t xml:space="preserve"> indicates the medical condition patients had been diagnosed with. </w:t>
                      </w:r>
                      <w:r>
                        <w:rPr>
                          <w:b w:val="0"/>
                          <w:i/>
                        </w:rPr>
                        <w:t>Variant</w:t>
                      </w:r>
                      <w:r>
                        <w:rPr>
                          <w:i/>
                        </w:rPr>
                        <w:t xml:space="preserve"> </w:t>
                      </w:r>
                      <w:r>
                        <w:rPr>
                          <w:b w:val="0"/>
                        </w:rPr>
                        <w:t xml:space="preserve">indicates whether the dataset contains individuals with a known genetic cause, or individuals with sporadic status. </w:t>
                      </w:r>
                      <w:r>
                        <w:rPr>
                          <w:b w:val="0"/>
                          <w:i/>
                        </w:rPr>
                        <w:t>Platform</w:t>
                      </w:r>
                      <w:r>
                        <w:rPr>
                          <w:b w:val="0"/>
                        </w:rPr>
                        <w:t xml:space="preserve"> indicates the technical platform used to collect the expression data. Affymetrix platforms are microarray, Illumina are RNA-Seq. GEO ID is the reference provided by GEO to locate the original dataset. </w:t>
                      </w:r>
                      <w:r>
                        <w:rPr>
                          <w:b w:val="0"/>
                          <w:i/>
                        </w:rPr>
                        <w:t>Publication</w:t>
                      </w:r>
                      <w:r>
                        <w:rPr>
                          <w:b w:val="0"/>
                        </w:rPr>
                        <w:t xml:space="preserve"> contains the reference supplied with the data on GEO. LCM = Laser Capture Microdissected</w:t>
                      </w:r>
                      <w:bookmarkEnd w:id="109"/>
                    </w:p>
                  </w:txbxContent>
                </v:textbox>
                <w10:wrap type="square"/>
              </v:shape>
            </w:pict>
          </mc:Fallback>
        </mc:AlternateContent>
      </w:r>
      <w:r w:rsidR="00DD0C53" w:rsidRPr="0082680A">
        <w:rPr>
          <w:noProof/>
          <w:lang w:val="en-GB"/>
        </w:rPr>
        <w:drawing>
          <wp:inline distT="0" distB="0" distL="0" distR="0" wp14:anchorId="49647C82" wp14:editId="47620717">
            <wp:extent cx="8583920" cy="3320347"/>
            <wp:effectExtent l="2858" t="0" r="4762" b="4763"/>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on-TDP_Datasets.pdf"/>
                    <pic:cNvPicPr/>
                  </pic:nvPicPr>
                  <pic:blipFill rotWithShape="1">
                    <a:blip r:embed="rId56">
                      <a:extLst>
                        <a:ext uri="{28A0092B-C50C-407E-A947-70E740481C1C}">
                          <a14:useLocalDpi xmlns:a14="http://schemas.microsoft.com/office/drawing/2010/main" val="0"/>
                        </a:ext>
                      </a:extLst>
                    </a:blip>
                    <a:srcRect t="12366" b="18868"/>
                    <a:stretch/>
                  </pic:blipFill>
                  <pic:spPr bwMode="auto">
                    <a:xfrm rot="5400000">
                      <a:off x="0" y="0"/>
                      <a:ext cx="8583920" cy="3320347"/>
                    </a:xfrm>
                    <a:prstGeom prst="rect">
                      <a:avLst/>
                    </a:prstGeom>
                    <a:ln>
                      <a:noFill/>
                    </a:ln>
                    <a:extLst>
                      <a:ext uri="{53640926-AAD7-44D8-BBD7-CCE9431645EC}">
                        <a14:shadowObscured xmlns:a14="http://schemas.microsoft.com/office/drawing/2010/main"/>
                      </a:ext>
                    </a:extLst>
                  </pic:spPr>
                </pic:pic>
              </a:graphicData>
            </a:graphic>
          </wp:inline>
        </w:drawing>
      </w:r>
    </w:p>
    <w:p w14:paraId="44C75B8B" w14:textId="035F0AA4" w:rsidR="00D61342" w:rsidRPr="009D4A1B" w:rsidRDefault="00CB75D9" w:rsidP="00D61342">
      <w:pPr>
        <w:rPr>
          <w:iCs/>
          <w:color w:val="000000" w:themeColor="text1"/>
          <w:sz w:val="20"/>
          <w:szCs w:val="18"/>
          <w:lang w:val="en-GB"/>
        </w:rPr>
      </w:pPr>
      <w:r w:rsidRPr="0082680A">
        <w:rPr>
          <w:b/>
          <w:lang w:val="en-GB"/>
        </w:rPr>
        <w:br w:type="page"/>
      </w:r>
    </w:p>
    <w:p w14:paraId="5A1B20C1" w14:textId="77777777" w:rsidR="00EB41E2" w:rsidRPr="0082680A" w:rsidRDefault="00EB41E2" w:rsidP="00842FD0">
      <w:pPr>
        <w:pStyle w:val="Heading4"/>
        <w:rPr>
          <w:lang w:val="en-GB"/>
        </w:rPr>
      </w:pPr>
      <w:bookmarkStart w:id="110" w:name="_4syqff4bul6q" w:colFirst="0" w:colLast="0"/>
      <w:bookmarkStart w:id="111" w:name="_Toc3211350"/>
      <w:bookmarkEnd w:id="110"/>
      <w:r w:rsidRPr="0082680A">
        <w:rPr>
          <w:lang w:val="en-GB"/>
        </w:rPr>
        <w:lastRenderedPageBreak/>
        <w:t>Assessment of Common DEG Biology</w:t>
      </w:r>
      <w:bookmarkEnd w:id="111"/>
    </w:p>
    <w:p w14:paraId="5DC473BD" w14:textId="36F710A7" w:rsidR="00EB41E2" w:rsidRPr="0082680A" w:rsidRDefault="00396E1F" w:rsidP="00EB41E2">
      <w:pPr>
        <w:rPr>
          <w:lang w:val="en-GB"/>
        </w:rPr>
      </w:pPr>
      <w:r w:rsidRPr="0082680A">
        <w:rPr>
          <w:lang w:val="en-GB"/>
        </w:rPr>
        <w:t>Although we identified a degree of statistical evidence that our signature is not random, we still require evidence of a biological relationship specific to TDP-43 dysfunction</w:t>
      </w:r>
      <w:r w:rsidR="00EB41E2" w:rsidRPr="0082680A">
        <w:rPr>
          <w:lang w:val="en-GB"/>
        </w:rPr>
        <w:t>.</w:t>
      </w:r>
      <w:r w:rsidR="0050523A" w:rsidRPr="0082680A">
        <w:rPr>
          <w:lang w:val="en-GB"/>
        </w:rPr>
        <w:t xml:space="preserve"> We</w:t>
      </w:r>
      <w:r w:rsidRPr="0082680A">
        <w:rPr>
          <w:lang w:val="en-GB"/>
        </w:rPr>
        <w:t xml:space="preserve"> can partially achieve</w:t>
      </w:r>
      <w:r w:rsidR="0050523A" w:rsidRPr="0082680A">
        <w:rPr>
          <w:lang w:val="en-GB"/>
        </w:rPr>
        <w:t xml:space="preserve"> such evidence</w:t>
      </w:r>
      <w:r w:rsidRPr="0082680A">
        <w:rPr>
          <w:lang w:val="en-GB"/>
        </w:rPr>
        <w:t xml:space="preserve"> through</w:t>
      </w:r>
      <w:r w:rsidR="00EB41E2" w:rsidRPr="0082680A">
        <w:rPr>
          <w:lang w:val="en-GB"/>
        </w:rPr>
        <w:t xml:space="preserve"> enrichment </w:t>
      </w:r>
      <w:r w:rsidRPr="0082680A">
        <w:rPr>
          <w:lang w:val="en-GB"/>
        </w:rPr>
        <w:t>analysis of gene lists representative of the shared phenotype</w:t>
      </w:r>
      <w:r w:rsidR="00EB41E2" w:rsidRPr="0082680A">
        <w:rPr>
          <w:lang w:val="en-GB"/>
        </w:rPr>
        <w:t>. Gene lists representing a particular process can be obtained from pre-curated sources (databases such as KEGG, Wikipathways, Reactome etc) or can be curated by the individual. We decided to assess the TDP-43 signature using both.</w:t>
      </w:r>
    </w:p>
    <w:p w14:paraId="5498FB84" w14:textId="58F495A5" w:rsidR="00EB41E2" w:rsidRPr="0082680A" w:rsidRDefault="00396E1F" w:rsidP="00D2461B">
      <w:pPr>
        <w:pStyle w:val="Heading5"/>
        <w:rPr>
          <w:lang w:val="en-GB"/>
        </w:rPr>
      </w:pPr>
      <w:bookmarkStart w:id="112" w:name="_sjpk1a5fl8ld" w:colFirst="0" w:colLast="0"/>
      <w:bookmarkEnd w:id="112"/>
      <w:r w:rsidRPr="0082680A">
        <w:rPr>
          <w:lang w:val="en-GB"/>
        </w:rPr>
        <w:t xml:space="preserve">Curated </w:t>
      </w:r>
      <w:r w:rsidR="00EB41E2" w:rsidRPr="0082680A">
        <w:rPr>
          <w:lang w:val="en-GB"/>
        </w:rPr>
        <w:t>Phenotype-Specific Gene Lists</w:t>
      </w:r>
    </w:p>
    <w:p w14:paraId="0B0A3E7D" w14:textId="1F421C6B" w:rsidR="00D0571E" w:rsidRPr="0082680A" w:rsidRDefault="00EB41E2" w:rsidP="00EB41E2">
      <w:pPr>
        <w:rPr>
          <w:lang w:val="en-GB"/>
        </w:rPr>
      </w:pPr>
      <w:r w:rsidRPr="0082680A">
        <w:rPr>
          <w:lang w:val="en-GB"/>
        </w:rPr>
        <w:t xml:space="preserve">Phenotype-specific genes lists refers to individually curated lists of genes that we </w:t>
      </w:r>
      <w:r w:rsidR="00396E1F" w:rsidRPr="0082680A">
        <w:rPr>
          <w:lang w:val="en-GB"/>
        </w:rPr>
        <w:t>considered</w:t>
      </w:r>
      <w:r w:rsidRPr="0082680A">
        <w:rPr>
          <w:lang w:val="en-GB"/>
        </w:rPr>
        <w:t xml:space="preserve"> representative of the phenotype. Three sources of information were curated in order to assess the presence of TDP-43 biology at each stage of the pipeline</w:t>
      </w:r>
      <w:r w:rsidR="003301D9" w:rsidRPr="0082680A">
        <w:rPr>
          <w:lang w:val="en-GB"/>
        </w:rPr>
        <w:t xml:space="preserve"> (Table 8)</w:t>
      </w:r>
      <w:r w:rsidRPr="0082680A">
        <w:rPr>
          <w:lang w:val="en-GB"/>
        </w:rPr>
        <w:t xml:space="preserve">. These sources fall into three broad categories; disease-associated genes, pathology-tracking genes, and TDP-43 protein interaction genes. Disease-associated genes were genes which have been consistently associated with TDP-43 pathology-expressing diseases. Many are causative, and some considered contributory to the disease phenotype. One-hundred and </w:t>
      </w:r>
      <w:r w:rsidR="000A00E5" w:rsidRPr="0082680A">
        <w:rPr>
          <w:lang w:val="en-GB"/>
        </w:rPr>
        <w:t>twenty-seven</w:t>
      </w:r>
      <w:r w:rsidRPr="0082680A">
        <w:rPr>
          <w:lang w:val="en-GB"/>
        </w:rPr>
        <w:t xml:space="preserve"> genes were identified through extensive literature searches. Pathology-tracking genes were sourced from a list of 77 genes </w:t>
      </w:r>
      <w:r w:rsidR="00EE0C77" w:rsidRPr="0082680A">
        <w:rPr>
          <w:lang w:val="en-GB"/>
        </w:rPr>
        <w:t>published</w:t>
      </w:r>
      <w:r w:rsidRPr="0082680A">
        <w:rPr>
          <w:lang w:val="en-GB"/>
        </w:rPr>
        <w:t xml:space="preserve"> within the Hide Laboratory whose expression significantly correlates with the severity of TDP-43 pathology </w:t>
      </w:r>
      <w:r w:rsidR="006530BB" w:rsidRPr="0082680A">
        <w:rPr>
          <w:lang w:val="en-GB"/>
        </w:rPr>
        <w:fldChar w:fldCharType="begin" w:fldLock="1"/>
      </w:r>
      <w:r w:rsidR="000507BA">
        <w:rPr>
          <w:lang w:val="en-GB"/>
        </w:rPr>
        <w:instrText>ADDIN CSL_CITATION {"citationItems":[{"id":"ITEM-1","itemData":{"DOI":"10.1186/s40478-017-0424-x","ISSN":"20515960","abstract":"Amyotrophic lateral sclerosis (ALS) is a devastating neurodegenerative disease that lacks a predictive and broadly applicable biomarker. Continued focus on mutation-specific upstream mechanisms has yet to predict disease progression in the clinic. Utilising cellular pathology common to the majority of ALS patients, we implemented an objective transcriptome-driven approach to develop noninvasive prognostic biomarkers for disease progression. Genes expressed in laser captured motor neurons in direct correlation (Spearman rank correlation, p  &lt;  0.01) with counts of neuropathology were developed into co-expression network modules. Screening modules using three gene sets representing rate of disease progression and upstream genetic association with ALS led to the prioritisation of a single module enriched for immune response to motor neuron degeneration. Genes in the network module are important for microglial activation and predict disease progression in genetically heterogeneous ALS cohorts: Expression of three genes in peripheral lymphocytes - LILRA2, ITGB2 and CEBPD - differentiate patients with rapid and slowly progressive disease, suggesting promise as a blood-derived biomarker. TREM2 is a member of the network module and the level of soluble TREM2 protein in cerebrospinal fluid is shown to predict survival when measured in late stage disease (Spearman rank correlation, p = 0.01). Our data-driven systems approach has, for the first time, directly linked microglia to the development of motor neuron pathology. LILRA2, ITGB2 and CEBPD represent peripherally accessible candidate biomarkers and TREM2 provides a broadly applicable therapeutic target for ALS.","author":[{"dropping-particle":"","family":"Cooper-Knock","given":"J.","non-dropping-particle":"","parse-names":false,"suffix":""},{"dropping-particle":"","family":"Green","given":"C.","non-dropping-particle":"","parse-names":false,"suffix":""},{"dropping-particle":"","family":"Altschuler","given":"G.","non-dropping-particle":"","parse-names":false,"suffix":""},{"dropping-particle":"","family":"Wei","given":"W.","non-dropping-particle":"","parse-names":false,"suffix":""},{"dropping-particle":"","family":"Bury","given":"J.J.","non-dropping-particle":"","parse-names":false,"suffix":""},{"dropping-particle":"","family":"Heath","given":"P.R.","non-dropping-particle":"","parse-names":false,"suffix":""},{"dropping-particle":"","family":"Wyles","given":"M.","non-dropping-particle":"","parse-names":false,"suffix":""},{"dropping-particle":"","family":"Gelsthorpe","given":"C.","non-dropping-particle":"","parse-names":false,"suffix":""},{"dropping-particle":"","family":"Highley","given":"J.R.","non-dropping-particle":"","parse-names":false,"suffix":""},{"dropping-particle":"","family":"Lorente-Pons","given":"A.","non-dropping-particle":"","parse-names":false,"suffix":""},{"dropping-particle":"","family":"Beck","given":"T.","non-dropping-particle":"","parse-names":false,"suffix":""},{"dropping-particle":"","family":"Doyle","given":"K.","non-dropping-particle":"","parse-names":false,"suffix":""},{"dropping-particle":"","family":"Otero","given":"K.","non-dropping-particle":"","parse-names":false,"suffix":""},{"dropping-particle":"","family":"Traynor","given":"B.","non-dropping-particle":"","parse-names":false,"suffix":""},{"dropping-particle":"","family":"Kirby","given":"J.","non-dropping-particle":"","parse-names":false,"suffix":""},{"dropping-particle":"","family":"Shaw","given":"P.J.","non-dropping-particle":"","parse-names":false,"suffix":""},{"dropping-particle":"","family":"Hide","given":"W.","non-dropping-particle":"","parse-names":false,"suffix":""}],"container-title":"Acta neuropathologica communications","id":"ITEM-1","issue":"1","issued":{"date-parts":[["2017"]]},"title":"A data-driven approach links microglia to pathology and prognosis in amyotrophic lateral sclerosis","type":"article-journal","volume":"5"},"uris":["http://www.mendeley.com/documents/?uuid=dbb1332a-0002-3a3c-b4fc-76459164fb47"]}],"mendeley":{"formattedCitation":"&lt;sup&gt;159&lt;/sup&gt;","plainTextFormattedCitation":"159","previouslyFormattedCitation":"&lt;sup&gt;159&lt;/sup&gt;"},"properties":{"noteIndex":0},"schema":"https://github.com/citation-style-language/schema/raw/master/csl-citation.json"}</w:instrText>
      </w:r>
      <w:r w:rsidR="006530BB" w:rsidRPr="0082680A">
        <w:rPr>
          <w:lang w:val="en-GB"/>
        </w:rPr>
        <w:fldChar w:fldCharType="separate"/>
      </w:r>
      <w:r w:rsidR="00426B19" w:rsidRPr="00426B19">
        <w:rPr>
          <w:noProof/>
          <w:vertAlign w:val="superscript"/>
          <w:lang w:val="en-GB"/>
        </w:rPr>
        <w:t>159</w:t>
      </w:r>
      <w:r w:rsidR="006530BB" w:rsidRPr="0082680A">
        <w:rPr>
          <w:lang w:val="en-GB"/>
        </w:rPr>
        <w:fldChar w:fldCharType="end"/>
      </w:r>
      <w:r w:rsidRPr="0082680A">
        <w:rPr>
          <w:lang w:val="en-GB"/>
        </w:rPr>
        <w:t xml:space="preserve">. TDP-43 protein interaction genes refer to a list of binding partners of TDP-43 protein, generated by assessing replication of binding events in two immunoprecipitation/mass spectrometry experiments </w:t>
      </w:r>
      <w:r w:rsidR="006530BB" w:rsidRPr="0082680A">
        <w:rPr>
          <w:lang w:val="en-GB"/>
        </w:rPr>
        <w:fldChar w:fldCharType="begin" w:fldLock="1"/>
      </w:r>
      <w:r w:rsidR="000507BA">
        <w:rPr>
          <w:lang w:val="en-GB"/>
        </w:rPr>
        <w:instrText>ADDIN CSL_CITATION {"citationItems":[{"id":"ITEM-1","itemData":{"DOI":"10.1007/s00401-016-1575-8","ISSN":"0001-6322","author":[{"dropping-particle":"","family":"Blokhuis","given":"Anna M.","non-dropping-particle":"","parse-names":false,"suffix":""},{"dropping-particle":"","family":"Koppers","given":"Max","non-dropping-particle":"","parse-names":false,"suffix":""},{"dropping-particle":"","family":"Groen","given":"Ewout J. N.","non-dropping-particle":"","parse-names":false,"suffix":""},{"dropping-particle":"","family":"Heuvel","given":"Dianne M. A.","non-dropping-particle":"van den","parse-names":false,"suffix":""},{"dropping-particle":"","family":"Dini Modigliani","given":"Stefano","non-dropping-particle":"","parse-names":false,"suffix":""},{"dropping-particle":"","family":"Anink","given":"Jasper J.","non-dropping-particle":"","parse-names":false,"suffix":""},{"dropping-particle":"","family":"Fumoto","given":"Katsumi","non-dropping-particle":"","parse-names":false,"suffix":""},{"dropping-particle":"","family":"Diggelen","given":"Femke","non-dropping-particle":"van","parse-names":false,"suffix":""},{"dropping-particle":"","family":"Snelting","given":"Anne","non-dropping-particle":"","parse-names":false,"suffix":""},{"dropping-particle":"","family":"Sodaar","given":"Peter","non-dropping-particle":"","parse-names":false,"suffix":""},{"dropping-particle":"","family":"Verheijen","given":"Bert M.","non-dropping-particle":"","parse-names":false,"suffix":""},{"dropping-particle":"","family":"Demmers","given":"Jeroen A. A.","non-dropping-particle":"","parse-names":false,"suffix":""},{"dropping-particle":"","family":"Veldink","given":"Jan H.","non-dropping-particle":"","parse-names":false,"suffix":""},{"dropping-particle":"","family":"Aronica","given":"Eleonora","non-dropping-particle":"","parse-names":false,"suffix":""},{"dropping-particle":"","family":"Bozzoni","given":"Irene","non-dropping-particle":"","parse-names":false,"suffix":""},{"dropping-particle":"","family":"Hertog","given":"Jeroen","non-dropping-particle":"den","parse-names":false,"suffix":""},{"dropping-particle":"","family":"Berg","given":"Leonard H.","non-dropping-particle":"van den","parse-names":false,"suffix":""},{"dropping-particle":"","family":"Pasterkamp","given":"R. Jeroen","non-dropping-particle":"","parse-names":false,"suffix":""}],"container-title":"Acta Neuropathologica","id":"ITEM-1","issue":"2","issued":{"date-parts":[["2016","8","10"]]},"page":"175-196","publisher":"Springer Berlin Heidelberg","title":"Comparative interactomics analysis of different ALS-associated proteins identifies converging molecular pathways","type":"article-journal","volume":"132"},"uris":["http://www.mendeley.com/documents/?uuid=66bb6267-17fd-368d-be15-84f91f7ac4c5"]},{"id":"ITEM-2","itemData":{"DOI":"10.1021/pr901076y","ISSN":"1535-3907","PMID":"20020773","abstract":"TDP-43 is a highly conserved and ubiquitously expressed member of the heterogeneous nuclear ribonucleoprotein (hnRNP) family of proteins. Recently, TDP-43 was shown to be a major disease protein in the ubiquitinated inclusions characteristic of most cases of amyotrophic lateral sclerosis (ALS), tau-negative frontotemporal lobar degeneration (FTLD), and inclusion body myopathy. In these diseases, TDP-43 is redistributed from its predominantly nuclear location to ubiquitin-positive, cytoplasmic foci. The extent to which TDP-43 drives pathophysiology is unknown, but the identification of mutations in TDP-43 in familial forms of ALS and FTLD-U suggests an important role for this protein in pathogenesis. Little is known about TDP-43 function and only a few TDP-43 interacting proteins have been previously identified, which makes further insight into both the normal and pathological functions of TDP-43 difficult. Here we show, via a global proteomic approach, that TDP-43 has extensive interaction with proteins that regulate RNA metabolism. Some interactions with TDP-43 were found to be dependent on RNA-binding, whereas other interactions are RNA-independent. Disease-causing mutations in TDP-43 (A315T and M337V) do not alter its interaction profile. TDP-43 interacting proteins largely cluster into two distinct interaction networks, a nuclear/splicing cluster and a cytoplasmic/translation cluster, strongly suggesting that TDP-43 has multiple roles in RNA metabolism and functions in both the nucleus and the cytoplasm. Finally, we found numerous TDP-43 interactors that are known components of stress granules, and indeed, we find that TDP-43 is also recruited to stress granules.","author":[{"dropping-particle":"","family":"Freibaum","given":"Brian D","non-dropping-particle":"","parse-names":false,"suffix":""},{"dropping-particle":"","family":"Chitta","given":"Raghu K","non-dropping-particle":"","parse-names":false,"suffix":""},{"dropping-particle":"","family":"High","given":"Anthony A","non-dropping-particle":"","parse-names":false,"suffix":""},{"dropping-particle":"","family":"Taylor","given":"J Paul","non-dropping-particle":"","parse-names":false,"suffix":""}],"container-title":"Journal of proteome research","id":"ITEM-2","issue":"2","issued":{"date-parts":[["2010","2","5"]]},"page":"1104-20","publisher":"NIH Public Access","title":"Global analysis of TDP-43 interacting proteins reveals strong association with RNA splicing and translation machinery.","type":"article-journal","volume":"9"},"uris":["http://www.mendeley.com/documents/?uuid=b4a9e1f2-9bd9-412d-9199-e52a5c23f7bd"]}],"mendeley":{"formattedCitation":"&lt;sup&gt;160,161&lt;/sup&gt;","plainTextFormattedCitation":"160,161","previouslyFormattedCitation":"&lt;sup&gt;160,161&lt;/sup&gt;"},"properties":{"noteIndex":0},"schema":"https://github.com/citation-style-language/schema/raw/master/csl-citation.json"}</w:instrText>
      </w:r>
      <w:r w:rsidR="006530BB" w:rsidRPr="0082680A">
        <w:rPr>
          <w:lang w:val="en-GB"/>
        </w:rPr>
        <w:fldChar w:fldCharType="separate"/>
      </w:r>
      <w:r w:rsidR="00426B19" w:rsidRPr="00426B19">
        <w:rPr>
          <w:noProof/>
          <w:vertAlign w:val="superscript"/>
          <w:lang w:val="en-GB"/>
        </w:rPr>
        <w:t>160,161</w:t>
      </w:r>
      <w:r w:rsidR="006530BB" w:rsidRPr="0082680A">
        <w:rPr>
          <w:lang w:val="en-GB"/>
        </w:rPr>
        <w:fldChar w:fldCharType="end"/>
      </w:r>
      <w:r w:rsidRPr="0082680A">
        <w:rPr>
          <w:lang w:val="en-GB"/>
        </w:rPr>
        <w:t xml:space="preserve">. </w:t>
      </w:r>
    </w:p>
    <w:p w14:paraId="1F9B7929" w14:textId="77777777" w:rsidR="00D0571E" w:rsidRPr="0082680A" w:rsidRDefault="00D0571E" w:rsidP="00EB41E2">
      <w:pPr>
        <w:rPr>
          <w:lang w:val="en-GB"/>
        </w:rPr>
      </w:pPr>
    </w:p>
    <w:p w14:paraId="0BF5D956" w14:textId="3D3D61A5" w:rsidR="00EB41E2" w:rsidRPr="0082680A" w:rsidRDefault="00EB41E2" w:rsidP="00EB41E2">
      <w:pPr>
        <w:rPr>
          <w:lang w:val="en-GB"/>
        </w:rPr>
      </w:pPr>
      <w:r w:rsidRPr="0082680A">
        <w:rPr>
          <w:lang w:val="en-GB"/>
        </w:rPr>
        <w:t xml:space="preserve">Enrichment analysis was calculated using an R function </w:t>
      </w:r>
      <w:proofErr w:type="spellStart"/>
      <w:r w:rsidRPr="0082680A">
        <w:rPr>
          <w:i/>
          <w:lang w:val="en-GB"/>
        </w:rPr>
        <w:t>hyperpathway</w:t>
      </w:r>
      <w:proofErr w:type="spellEnd"/>
      <w:r w:rsidRPr="0082680A">
        <w:rPr>
          <w:lang w:val="en-GB"/>
        </w:rPr>
        <w:t xml:space="preserve">, originally developed as part of the package </w:t>
      </w:r>
      <w:r w:rsidRPr="0082680A">
        <w:rPr>
          <w:i/>
          <w:lang w:val="en-GB"/>
        </w:rPr>
        <w:t>Pathprint</w:t>
      </w:r>
      <w:r w:rsidR="006530BB" w:rsidRPr="0082680A">
        <w:rPr>
          <w:i/>
          <w:lang w:val="en-GB"/>
        </w:rPr>
        <w:t xml:space="preserve"> </w:t>
      </w:r>
      <w:r w:rsidRPr="0082680A">
        <w:rPr>
          <w:lang w:val="en-GB"/>
        </w:rPr>
        <w:t>(</w:t>
      </w:r>
      <w:hyperlink r:id="rId57" w:history="1">
        <w:r w:rsidR="00B958C5" w:rsidRPr="0082680A">
          <w:rPr>
            <w:rStyle w:val="Hyperlink"/>
            <w:lang w:val="en-GB"/>
          </w:rPr>
          <w:t>http://www.bioconductor.org/packages/release/bioc/html/pathprint.html</w:t>
        </w:r>
      </w:hyperlink>
      <w:r w:rsidRPr="0082680A">
        <w:rPr>
          <w:lang w:val="en-GB"/>
        </w:rPr>
        <w:t>)</w:t>
      </w:r>
      <w:r w:rsidR="00B958C5" w:rsidRPr="0082680A">
        <w:rPr>
          <w:i/>
          <w:lang w:val="en-GB"/>
        </w:rPr>
        <w:t xml:space="preserve"> </w:t>
      </w:r>
      <w:r w:rsidR="00DC3226" w:rsidRPr="0082680A">
        <w:rPr>
          <w:i/>
          <w:lang w:val="en-GB"/>
        </w:rPr>
        <w:fldChar w:fldCharType="begin" w:fldLock="1"/>
      </w:r>
      <w:r w:rsidR="000507BA">
        <w:rPr>
          <w:i/>
          <w:lang w:val="en-GB"/>
        </w:rPr>
        <w:instrText>ADDIN CSL_CITATION {"citationItems":[{"id":"ITEM-1","itemData":{"DOI":"10.1186/gm472","ISSN":"1756-994X","PMID":"23890051","abstract":"New strategies to combat complex human disease require systems approaches to biology that integrate experiments from cell lines, primary tissues and model organisms. We have developed Pathprint, a functional approach that compares gene expression profiles in a set of pathways, networks and transcriptionally regulated targets. It can be applied universally to gene expression profiles across species. Integration of large-scale profiling methods and curation of the public repository overcomes platform, species and batch effects to yield a standard measure of functional distance between experiments. We show that pathprints combine mouse and human blood developmental lineage, and can be used to identify new prognostic indicators in acute myeloid leukemia. The code and resources are available at http://compbio.sph.harvard.edu/hidelab/pathprint.","author":[{"dropping-particle":"","family":"Altschuler","given":"Gabriel M","non-dropping-particle":"","parse-names":false,"suffix":""},{"dropping-particle":"","family":"Hofmann","given":"Oliver","non-dropping-particle":"","parse-names":false,"suffix":""},{"dropping-particle":"","family":"Kalatskaya","given":"Irina","non-dropping-particle":"","parse-names":false,"suffix":""},{"dropping-particle":"","family":"Payne","given":"Rebecca","non-dropping-particle":"","parse-names":false,"suffix":""},{"dropping-particle":"","family":"Ho Sui","given":"Shannan J","non-dropping-particle":"","parse-names":false,"suffix":""},{"dropping-particle":"","family":"Saxena","given":"Uma","non-dropping-particle":"","parse-names":false,"suffix":""},{"dropping-particle":"V","family":"Krivtsov","given":"Andrei","non-dropping-particle":"","parse-names":false,"suffix":""},{"dropping-particle":"","family":"Armstrong","given":"Scott A","non-dropping-particle":"","parse-names":false,"suffix":""},{"dropping-particle":"","family":"Cai","given":"Tianxi","non-dropping-particle":"","parse-names":false,"suffix":""},{"dropping-particle":"","family":"Stein","given":"Lincoln","non-dropping-particle":"","parse-names":false,"suffix":""},{"dropping-particle":"","family":"Hide","given":"Winston A","non-dropping-particle":"","parse-names":false,"suffix":""}],"container-title":"Genome medicine","id":"ITEM-1","issue":"7","issued":{"date-parts":[["2013","1"]]},"language":"en","page":"68","publisher":"BioMed Central","title":"Pathprinting: An integrative approach to understand the functional basis of disease.","type":"article-journal","volume":"5"},"uris":["http://www.mendeley.com/documents/?uuid=24e24f94-66dc-44e8-8ef8-244eca5e9d41"]}],"mendeley":{"formattedCitation":"&lt;sup&gt;78&lt;/sup&gt;","plainTextFormattedCitation":"78","previouslyFormattedCitation":"&lt;sup&gt;78&lt;/sup&gt;"},"properties":{"noteIndex":0},"schema":"https://github.com/citation-style-language/schema/raw/master/csl-citation.json"}</w:instrText>
      </w:r>
      <w:r w:rsidR="00DC3226" w:rsidRPr="0082680A">
        <w:rPr>
          <w:i/>
          <w:lang w:val="en-GB"/>
        </w:rPr>
        <w:fldChar w:fldCharType="separate"/>
      </w:r>
      <w:r w:rsidR="00426B19" w:rsidRPr="00426B19">
        <w:rPr>
          <w:noProof/>
          <w:vertAlign w:val="superscript"/>
          <w:lang w:val="en-GB"/>
        </w:rPr>
        <w:t>78</w:t>
      </w:r>
      <w:r w:rsidR="00DC3226" w:rsidRPr="0082680A">
        <w:rPr>
          <w:i/>
          <w:lang w:val="en-GB"/>
        </w:rPr>
        <w:fldChar w:fldCharType="end"/>
      </w:r>
      <w:r w:rsidRPr="0082680A">
        <w:rPr>
          <w:lang w:val="en-GB"/>
        </w:rPr>
        <w:t xml:space="preserve">. </w:t>
      </w:r>
      <w:proofErr w:type="spellStart"/>
      <w:r w:rsidRPr="0082680A">
        <w:rPr>
          <w:i/>
          <w:lang w:val="en-GB"/>
        </w:rPr>
        <w:t>Hyperpathway</w:t>
      </w:r>
      <w:proofErr w:type="spellEnd"/>
      <w:r w:rsidRPr="0082680A">
        <w:rPr>
          <w:lang w:val="en-GB"/>
        </w:rPr>
        <w:t xml:space="preserve"> conducts a hypergeometric test of significance for all comparisons, generating a P-value and adjusted P-value for multiple comparisons. Hypergeometric tests are commonly used for one-tailed enrichment analyses, differing very little from the other commonly used Fisher’s Exact Test. </w:t>
      </w:r>
      <w:proofErr w:type="spellStart"/>
      <w:r w:rsidRPr="0082680A">
        <w:rPr>
          <w:i/>
          <w:lang w:val="en-GB"/>
        </w:rPr>
        <w:t>Hyperpathway</w:t>
      </w:r>
      <w:proofErr w:type="spellEnd"/>
      <w:r w:rsidRPr="0082680A">
        <w:rPr>
          <w:lang w:val="en-GB"/>
        </w:rPr>
        <w:t xml:space="preserve"> was chosen as it is easy to conduct a number of experiments and adjust for multiple comparisons.</w:t>
      </w:r>
    </w:p>
    <w:p w14:paraId="6178B66D" w14:textId="77777777" w:rsidR="00F068AF" w:rsidRPr="0082680A" w:rsidRDefault="00F068AF" w:rsidP="00EB41E2">
      <w:pPr>
        <w:rPr>
          <w:lang w:val="en-GB"/>
        </w:rPr>
      </w:pPr>
    </w:p>
    <w:p w14:paraId="7FE63D1D" w14:textId="41F46E12" w:rsidR="00D0571E" w:rsidRPr="0082680A" w:rsidRDefault="00EB41E2" w:rsidP="00D0571E">
      <w:pPr>
        <w:rPr>
          <w:lang w:val="en-GB"/>
        </w:rPr>
      </w:pPr>
      <w:r w:rsidRPr="0082680A">
        <w:rPr>
          <w:lang w:val="en-GB"/>
        </w:rPr>
        <w:t xml:space="preserve">Enrichment analysis of these benchmarks revealed the presence of a number of genes already associated with neurodegeneration, the most significant being </w:t>
      </w:r>
      <w:r w:rsidRPr="0082680A">
        <w:rPr>
          <w:i/>
          <w:lang w:val="en-GB"/>
        </w:rPr>
        <w:t>TARDBP</w:t>
      </w:r>
      <w:r w:rsidRPr="0082680A">
        <w:rPr>
          <w:lang w:val="en-GB"/>
        </w:rPr>
        <w:t xml:space="preserve"> itself </w:t>
      </w:r>
      <w:r w:rsidR="005F184F" w:rsidRPr="0082680A">
        <w:rPr>
          <w:lang w:val="en-GB"/>
        </w:rPr>
        <w:t xml:space="preserve">(Table </w:t>
      </w:r>
      <w:r w:rsidR="0061081A">
        <w:rPr>
          <w:lang w:val="en-GB"/>
        </w:rPr>
        <w:t>8</w:t>
      </w:r>
      <w:r w:rsidR="005F184F" w:rsidRPr="0082680A">
        <w:rPr>
          <w:lang w:val="en-GB"/>
        </w:rPr>
        <w:t>)</w:t>
      </w:r>
      <w:r w:rsidRPr="0082680A">
        <w:rPr>
          <w:lang w:val="en-GB"/>
        </w:rPr>
        <w:t xml:space="preserve">. Other members with genetic associations to neurodegeneration and TDP-43 pathology include ALS genes </w:t>
      </w:r>
      <w:r w:rsidRPr="0082680A">
        <w:rPr>
          <w:i/>
          <w:lang w:val="en-GB"/>
        </w:rPr>
        <w:t>ERBB4</w:t>
      </w:r>
      <w:r w:rsidRPr="0082680A">
        <w:rPr>
          <w:lang w:val="en-GB"/>
        </w:rPr>
        <w:t xml:space="preserve">, </w:t>
      </w:r>
      <w:r w:rsidRPr="0082680A">
        <w:rPr>
          <w:i/>
          <w:lang w:val="en-GB"/>
        </w:rPr>
        <w:t>NEK1</w:t>
      </w:r>
      <w:r w:rsidRPr="0082680A">
        <w:rPr>
          <w:lang w:val="en-GB"/>
        </w:rPr>
        <w:t xml:space="preserve">, </w:t>
      </w:r>
      <w:r w:rsidRPr="0082680A">
        <w:rPr>
          <w:i/>
          <w:lang w:val="en-GB"/>
        </w:rPr>
        <w:t>ITPR2</w:t>
      </w:r>
      <w:r w:rsidRPr="0082680A">
        <w:rPr>
          <w:lang w:val="en-GB"/>
        </w:rPr>
        <w:t xml:space="preserve">, and </w:t>
      </w:r>
      <w:r w:rsidRPr="0082680A">
        <w:rPr>
          <w:i/>
          <w:lang w:val="en-GB"/>
        </w:rPr>
        <w:t>EFEMP1</w:t>
      </w:r>
      <w:r w:rsidRPr="0082680A">
        <w:rPr>
          <w:lang w:val="en-GB"/>
        </w:rPr>
        <w:t xml:space="preserve">, spastic paraplegia gene </w:t>
      </w:r>
      <w:r w:rsidRPr="0082680A">
        <w:rPr>
          <w:i/>
          <w:lang w:val="en-GB"/>
        </w:rPr>
        <w:t>ZFYVE26</w:t>
      </w:r>
      <w:r w:rsidRPr="0082680A">
        <w:rPr>
          <w:lang w:val="en-GB"/>
        </w:rPr>
        <w:t xml:space="preserve">, and ALS, FTLD, and multisystem proteinopathy gene </w:t>
      </w:r>
      <w:r w:rsidRPr="0082680A">
        <w:rPr>
          <w:i/>
          <w:lang w:val="en-GB"/>
        </w:rPr>
        <w:t>HNRNPA2B1</w:t>
      </w:r>
      <w:r w:rsidRPr="0082680A">
        <w:rPr>
          <w:lang w:val="en-GB"/>
        </w:rPr>
        <w:t xml:space="preserve">. </w:t>
      </w:r>
      <w:r w:rsidRPr="0082680A">
        <w:rPr>
          <w:lang w:val="en-GB"/>
        </w:rPr>
        <w:lastRenderedPageBreak/>
        <w:t xml:space="preserve">Three DEGs coded for proteins which interact with TDP-43 protein; DDX21, PABPC1, and HNRNPA2B1, all involved in processes related to RNA processing </w:t>
      </w:r>
      <w:r w:rsidR="005506A8" w:rsidRPr="0082680A">
        <w:rPr>
          <w:lang w:val="en-GB"/>
        </w:rPr>
        <w:fldChar w:fldCharType="begin" w:fldLock="1"/>
      </w:r>
      <w:r w:rsidR="000507BA">
        <w:rPr>
          <w:lang w:val="en-GB"/>
        </w:rPr>
        <w:instrText>ADDIN CSL_CITATION {"citationItems":[{"id":"ITEM-1","itemData":{"DOI":"10.1038/nature13923","ISSN":"1476-4687","PMID":"25470060","abstract":"DEAD-box RNA helicases are vital for the regulation of various aspects of the RNA life cycle, but the molecular underpinnings of their involvement, particularly in mammalian cells, remain poorly understood. Here we show that the DEAD-box RNA helicase DDX21 can sense the transcriptional status of both RNA polymerase (Pol) I and II to control multiple steps of ribosome biogenesis in human cells. We demonstrate that DDX21 widely associates with Pol I- and Pol II-transcribed genes and with diverse species of RNA, most prominently with non-coding RNAs involved in the formation of ribonucleoprotein complexes, including ribosomal RNA, small nucleolar RNAs (snoRNAs) and 7SK RNA. Although broad, these molecular interactions, both at the chromatin and RNA level, exhibit remarkable specificity for the regulation of ribosomal genes. In the nucleolus, DDX21 occupies the transcribed rDNA locus, directly contacts both rRNA and snoRNAs, and promotes rRNA transcription, processing and modification. In the nucleoplasm, DDX21 binds 7SK RNA and, as a component of the 7SK small nuclear ribonucleoprotein (snRNP) complex, is recruited to the promoters of Pol II-transcribed genes encoding ribosomal proteins and snoRNAs. Promoter-bound DDX21 facilitates the release of the positive transcription elongation factor b (P-TEFb) from the 7SK snRNP in a manner that is dependent on its helicase activity, thereby promoting transcription of its target genes. Our results uncover the multifaceted role of DDX21 in multiple steps of ribosome biogenesis, and provide evidence implicating a mammalian RNA helicase in RNA modification and Pol II elongation control.","author":[{"dropping-particle":"","family":"Calo","given":"Eliezer","non-dropping-particle":"","parse-names":false,"suffix":""},{"dropping-particle":"","family":"Flynn","given":"Ryan A","non-dropping-particle":"","parse-names":false,"suffix":""},{"dropping-particle":"","family":"Martin","given":"Lance","non-dropping-particle":"","parse-names":false,"suffix":""},{"dropping-particle":"","family":"Spitale","given":"Robert C","non-dropping-particle":"","parse-names":false,"suffix":""},{"dropping-particle":"","family":"Chang","given":"Howard Y","non-dropping-particle":"","parse-names":false,"suffix":""},{"dropping-particle":"","family":"Wysocka","given":"Joanna","non-dropping-particle":"","parse-names":false,"suffix":""}],"container-title":"Nature","id":"ITEM-1","issue":"7538","issued":{"date-parts":[["2015","2","12"]]},"page":"249-53","publisher":"NIH Public Access","title":"RNA helicase DDX21 coordinates transcription and ribosomal RNA processing.","type":"article-journal","volume":"518"},"uris":["http://www.mendeley.com/documents/?uuid=94628de0-6cfd-3d16-bc8f-843b9ef5de85"]},{"id":"ITEM-2","itemData":{"DOI":"10.1038/sj.emboj.7601588","ISSN":"0261-4189","PMID":"17318186","abstract":"The nonsense-mediated mRNA decay (NMD) pathway degrades mRNAs with premature translation termination codons (PTCs). The mechanisms by which PTCs and natural stop codons are discriminated remain unclear. We show that the position of stops relative to the poly(A) tail (and thus of PABPC1) is a critical determinant for PTC definition in Drosophila melanogaster. Indeed, tethering of PABPC1 downstream of a PTC abolishes NMD. Conversely, natural stops trigger NMD when the length of the 3' UTR is increased. However, many endogenous transcripts with exceptionally long 3' UTRs escape NMD, suggesting that the increase in 3' UTR length has co-evolved with the acquisition of features that suppress NMD. We provide evidence for the existence of 3' UTRs conferring immunity to NMD. We also show that PABPC1 binding is sufficient for PTC recognition, regardless of cleavage or polyadenylation. The role of PABPC1 in NMD must go beyond that of providing positional information for PTC definition, because its depletion suppresses NMD under conditions in which translation efficiency is not affected. These findings reveal a conserved role for PABPC1 in mRNA surveillance.","author":[{"dropping-particle":"","family":"Behm-Ansmant","given":"Isabelle","non-dropping-particle":"","parse-names":false,"suffix":""},{"dropping-particle":"","family":"Gatfield","given":"David","non-dropping-particle":"","parse-names":false,"suffix":""},{"dropping-particle":"","family":"Rehwinkel","given":"Jan","non-dropping-particle":"","parse-names":false,"suffix":""},{"dropping-particle":"","family":"Hilgers","given":"Valérie","non-dropping-particle":"","parse-names":false,"suffix":""},{"dropping-particle":"","family":"Izaurralde","given":"Elisa","non-dropping-particle":"","parse-names":false,"suffix":""}],"container-title":"The EMBO journal","id":"ITEM-2","issue":"6","issued":{"date-parts":[["2007","3","21"]]},"page":"1591-601","publisher":"EMBO Press","title":"A conserved role for cytoplasmic poly(A)-binding protein 1 (PABPC1) in nonsense-mediated mRNA decay.","type":"article-journal","volume":"26"},"uris":["http://www.mendeley.com/documents/?uuid=c99bded3-8e96-3651-96e7-1a29c393e98a"]},{"id":"ITEM-3","itemData":{"DOI":"10.1128/MCB.01081-09","abstract":"GW182 family proteins are essential in animal cells for microRNA (miRNA)-mediated gene silencing, yet the molecular mechanism that allows GW182 to promote translational repression and mRNA decay remains largely unknown. Previous studies showed that while the GW182 N-terminal domain interacts with Argonaute proteins, translational repression and degradation of miRNA targets are promoted by a bipartite silencing domain comprising the GW182 middle and C-terminal regions. Here we show that the GW182 C-terminal region is required for GW182 to release silenced mRNPs; moreover, GW182 dissociates from miRNA targets at a step of silencing downstream of deadenylation, indicating that GW182 is required to initiate but not to maintain silencing. In addition, we show that the GW182 bipartite silencing domain competes with eukaryotic initiation factor 4G for binding to PABPC1. The GW182-PABPC1 interaction is also required for miRNA target degradation; accordingly, we observed that PABPC1 associates with components of the CCR4-NOT deadenylase complex. Finally, we show that PABPC1 overexpression suppresses the silencing of miRNA targets. We propose a model in which the GW182 silencing domain promotes translational repression, at least in part, by interfering with mRNA circularization and also recruits the deadenylase complex through the interaction with PABPC1.","author":[{"dropping-particle":"","family":"Zekri","given":"Latifa","non-dropping-particle":"","parse-names":false,"suffix":""},{"dropping-particle":"","family":"Huntzinger","given":"Eric","non-dropping-particle":"","parse-names":false,"suffix":""},{"dropping-particle":"","family":"Heimstädt","given":"Susanne","non-dropping-particle":"","parse-names":false,"suffix":""},{"dropping-particle":"","family":"Izaurralde","given":"Elisa","non-dropping-particle":"","parse-names":false,"suffix":""}],"container-title":"Molecular and Cellular Biology","id":"ITEM-3","issue":"23","issued":{"date-parts":[["2009"]]},"page":"6220-6231","title":"The Silencing Domain of GW182 Interacts with PABPC1 To Promote Translational Repression and Degradation of MicroRNA Targets and Is Required for Target Release","type":"article-journal","volume":"29"},"uris":["http://www.mendeley.com/documents/?uuid=d45565d5-7803-3348-9a93-7375049d007c"]},{"id":"ITEM-4","itemData":{"DOI":"10.1038/ncomms3980","ISSN":"2041-1723","abstract":"Cells secrete micro-RNAs by packaging them into exosomes; however, the mechanisms by which this packaging occurs are unclear. Here, the authors identify a sequence motif that confers exosomal targeting to micro-RNAs and identify a ribonucleoprotein complex that plays a role in this process.","author":[{"dropping-particle":"","family":"Villarroya-Beltri","given":"Carolina","non-dropping-particle":"","parse-names":false,"suffix":""},{"dropping-particle":"","family":"Gutiérrez-Vázquez","given":"Cristina","non-dropping-particle":"","parse-names":false,"suffix":""},{"dropping-particle":"","family":"Sánchez-Cabo","given":"Fátima","non-dropping-particle":"","parse-names":false,"suffix":""},{"dropping-particle":"","family":"Pérez-Hernández","given":"Daniel","non-dropping-particle":"","parse-names":false,"suffix":""},{"dropping-particle":"","family":"Vázquez","given":"Jesús","non-dropping-particle":"","parse-names":false,"suffix":""},{"dropping-particle":"","family":"Martin-Cofreces","given":"Noa","non-dropping-particle":"","parse-names":false,"suffix":""},{"dropping-particle":"","family":"Martinez-Herrera","given":"Dannys Jorge","non-dropping-particle":"","parse-names":false,"suffix":""},{"dropping-particle":"","family":"Pascual-Montano","given":"Alberto","non-dropping-particle":"","parse-names":false,"suffix":""},{"dropping-particle":"","family":"Mittelbrunn","given":"María","non-dropping-particle":"","parse-names":false,"suffix":""},{"dropping-particle":"","family":"Sánchez-Madrid","given":"Francisco","non-dropping-particle":"","parse-names":false,"suffix":""}],"container-title":"Nature Communications","id":"ITEM-4","issue":"1","issued":{"date-parts":[["2013","12","20"]]},"page":"2980","publisher":"Nature Publishing Group","title":"Sumoylated hnRNPA2B1 controls the sorting of miRNAs into exosomes through binding to specific motifs","type":"article-journal","volume":"4"},"uris":["http://www.mendeley.com/documents/?uuid=b790d3bf-33df-316d-b78e-55989738ac6d"]}],"mendeley":{"formattedCitation":"&lt;sup&gt;162–165&lt;/sup&gt;","plainTextFormattedCitation":"162–165","previouslyFormattedCitation":"&lt;sup&gt;162–165&lt;/sup&gt;"},"properties":{"noteIndex":0},"schema":"https://github.com/citation-style-language/schema/raw/master/csl-citation.json"}</w:instrText>
      </w:r>
      <w:r w:rsidR="005506A8" w:rsidRPr="0082680A">
        <w:rPr>
          <w:lang w:val="en-GB"/>
        </w:rPr>
        <w:fldChar w:fldCharType="separate"/>
      </w:r>
      <w:r w:rsidR="00426B19" w:rsidRPr="00426B19">
        <w:rPr>
          <w:noProof/>
          <w:vertAlign w:val="superscript"/>
          <w:lang w:val="en-GB"/>
        </w:rPr>
        <w:t>162–165</w:t>
      </w:r>
      <w:r w:rsidR="005506A8" w:rsidRPr="0082680A">
        <w:rPr>
          <w:lang w:val="en-GB"/>
        </w:rPr>
        <w:fldChar w:fldCharType="end"/>
      </w:r>
      <w:r w:rsidRPr="0082680A">
        <w:rPr>
          <w:lang w:val="en-GB"/>
        </w:rPr>
        <w:t xml:space="preserve">. </w:t>
      </w:r>
    </w:p>
    <w:p w14:paraId="7AB7B887" w14:textId="21EF1495" w:rsidR="00D0571E" w:rsidRPr="0082680A" w:rsidRDefault="00D0571E" w:rsidP="00D0571E">
      <w:pPr>
        <w:rPr>
          <w:lang w:val="en-GB"/>
        </w:rPr>
      </w:pPr>
    </w:p>
    <w:p w14:paraId="56BDE69D" w14:textId="77777777" w:rsidR="00D560F7" w:rsidRPr="0082680A" w:rsidRDefault="00D560F7">
      <w:pPr>
        <w:rPr>
          <w:lang w:val="en-GB"/>
        </w:rPr>
      </w:pPr>
      <w:r w:rsidRPr="0082680A">
        <w:rPr>
          <w:lang w:val="en-GB"/>
        </w:rPr>
        <w:br w:type="page"/>
      </w:r>
    </w:p>
    <w:p w14:paraId="27424C92" w14:textId="77777777" w:rsidR="004E562F" w:rsidRPr="0082680A" w:rsidRDefault="004E562F" w:rsidP="00970AF9">
      <w:pPr>
        <w:pStyle w:val="NoSpacing"/>
        <w:rPr>
          <w:lang w:val="en-GB"/>
        </w:rPr>
      </w:pPr>
      <w:r w:rsidRPr="0082680A">
        <w:rPr>
          <w:noProof/>
          <w:lang w:val="en-GB"/>
        </w:rPr>
        <w:lastRenderedPageBreak/>
        <w:drawing>
          <wp:inline distT="0" distB="0" distL="0" distR="0" wp14:anchorId="2048C573" wp14:editId="103878CB">
            <wp:extent cx="4989630" cy="1906438"/>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TDP_BenchmarkEnrichments.pdf"/>
                    <pic:cNvPicPr/>
                  </pic:nvPicPr>
                  <pic:blipFill rotWithShape="1">
                    <a:blip r:embed="rId58">
                      <a:extLst>
                        <a:ext uri="{28A0092B-C50C-407E-A947-70E740481C1C}">
                          <a14:useLocalDpi xmlns:a14="http://schemas.microsoft.com/office/drawing/2010/main" val="0"/>
                        </a:ext>
                      </a:extLst>
                    </a:blip>
                    <a:srcRect t="5257" b="26818"/>
                    <a:stretch/>
                  </pic:blipFill>
                  <pic:spPr bwMode="auto">
                    <a:xfrm>
                      <a:off x="0" y="0"/>
                      <a:ext cx="5008743" cy="1913741"/>
                    </a:xfrm>
                    <a:prstGeom prst="rect">
                      <a:avLst/>
                    </a:prstGeom>
                    <a:ln>
                      <a:noFill/>
                    </a:ln>
                    <a:extLst>
                      <a:ext uri="{53640926-AAD7-44D8-BBD7-CCE9431645EC}">
                        <a14:shadowObscured xmlns:a14="http://schemas.microsoft.com/office/drawing/2010/main"/>
                      </a:ext>
                    </a:extLst>
                  </pic:spPr>
                </pic:pic>
              </a:graphicData>
            </a:graphic>
          </wp:inline>
        </w:drawing>
      </w:r>
    </w:p>
    <w:p w14:paraId="7D316BEF" w14:textId="45E9C7DB" w:rsidR="009039AE" w:rsidRPr="0082680A" w:rsidRDefault="004E562F" w:rsidP="004E562F">
      <w:pPr>
        <w:pStyle w:val="Caption"/>
        <w:rPr>
          <w:b w:val="0"/>
          <w:lang w:val="en-GB"/>
        </w:rPr>
      </w:pPr>
      <w:bookmarkStart w:id="113" w:name="_Toc3225922"/>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8</w:t>
      </w:r>
      <w:r w:rsidR="00483095">
        <w:rPr>
          <w:lang w:val="en-GB"/>
        </w:rPr>
        <w:fldChar w:fldCharType="end"/>
      </w:r>
      <w:r w:rsidRPr="0082680A">
        <w:rPr>
          <w:lang w:val="en-GB"/>
        </w:rPr>
        <w:t xml:space="preserve">: </w:t>
      </w:r>
      <w:r w:rsidR="00051A35" w:rsidRPr="0082680A">
        <w:rPr>
          <w:b w:val="0"/>
          <w:lang w:val="en-GB"/>
        </w:rPr>
        <w:t xml:space="preserve">Results of enrichment analysis for overlap between curated TDP-43-associated genes </w:t>
      </w:r>
      <w:r w:rsidR="00970AF9" w:rsidRPr="0082680A">
        <w:rPr>
          <w:b w:val="0"/>
          <w:lang w:val="en-GB"/>
        </w:rPr>
        <w:t xml:space="preserve">and </w:t>
      </w:r>
      <w:r w:rsidR="009D4A1B">
        <w:rPr>
          <w:b w:val="0"/>
          <w:lang w:val="en-GB"/>
        </w:rPr>
        <w:t xml:space="preserve">the </w:t>
      </w:r>
      <w:r w:rsidR="00970AF9" w:rsidRPr="0082680A">
        <w:rPr>
          <w:b w:val="0"/>
          <w:lang w:val="en-GB"/>
        </w:rPr>
        <w:t>common DEG list</w:t>
      </w:r>
      <w:r w:rsidR="009D4A1B">
        <w:rPr>
          <w:b w:val="0"/>
          <w:lang w:val="en-GB"/>
        </w:rPr>
        <w:t>.</w:t>
      </w:r>
      <w:bookmarkEnd w:id="113"/>
    </w:p>
    <w:p w14:paraId="78E6095B" w14:textId="77777777" w:rsidR="00970AF9" w:rsidRPr="0082680A" w:rsidRDefault="00970AF9" w:rsidP="00970AF9">
      <w:pPr>
        <w:rPr>
          <w:lang w:val="en-GB"/>
        </w:rPr>
      </w:pPr>
    </w:p>
    <w:p w14:paraId="0ECB82CD" w14:textId="77777777" w:rsidR="00EB41E2" w:rsidRPr="0082680A" w:rsidRDefault="00EB41E2" w:rsidP="00D2461B">
      <w:pPr>
        <w:pStyle w:val="Heading5"/>
        <w:rPr>
          <w:lang w:val="en-GB"/>
        </w:rPr>
      </w:pPr>
      <w:bookmarkStart w:id="114" w:name="_olb30nb6hg57" w:colFirst="0" w:colLast="0"/>
      <w:bookmarkEnd w:id="114"/>
      <w:r w:rsidRPr="0082680A">
        <w:rPr>
          <w:lang w:val="en-GB"/>
        </w:rPr>
        <w:t xml:space="preserve">Canonical Pathways </w:t>
      </w:r>
    </w:p>
    <w:p w14:paraId="30659EC2" w14:textId="254C2DE5" w:rsidR="00EB41E2" w:rsidRPr="0082680A" w:rsidRDefault="00EB41E2" w:rsidP="00EB41E2">
      <w:pPr>
        <w:rPr>
          <w:lang w:val="en-GB"/>
        </w:rPr>
      </w:pPr>
      <w:r w:rsidRPr="0082680A">
        <w:rPr>
          <w:lang w:val="en-GB"/>
        </w:rPr>
        <w:t xml:space="preserve">As with curated lists, the benefit of conducting pathway enrichment analysis is to evaluate the proximity of the DEG list to biological features known to associate with the phenotype. Whereas curated lists are good for making a very specific comparison to the phenotype, canonical pathway enrichment allows for a wider ranged and more generalisable analysis, i.e. where does my gene list sit in the space of currently documented biology? Our common DEG list was analysed using the webtool </w:t>
      </w:r>
      <w:proofErr w:type="spellStart"/>
      <w:r w:rsidRPr="0082680A">
        <w:rPr>
          <w:lang w:val="en-GB"/>
        </w:rPr>
        <w:t>EnrichR</w:t>
      </w:r>
      <w:proofErr w:type="spellEnd"/>
      <w:r w:rsidRPr="0082680A">
        <w:rPr>
          <w:lang w:val="en-GB"/>
        </w:rPr>
        <w:t xml:space="preserve"> (</w:t>
      </w:r>
      <w:hyperlink r:id="rId59" w:history="1">
        <w:r w:rsidR="00B958C5" w:rsidRPr="0082680A">
          <w:rPr>
            <w:rStyle w:val="Hyperlink"/>
            <w:lang w:val="en-GB"/>
          </w:rPr>
          <w:t>http://amp.pharm.mssm.edu/Enrichr/</w:t>
        </w:r>
      </w:hyperlink>
      <w:r w:rsidRPr="0082680A">
        <w:rPr>
          <w:lang w:val="en-GB"/>
        </w:rPr>
        <w:t>).</w:t>
      </w:r>
      <w:r w:rsidR="00B958C5" w:rsidRPr="0082680A">
        <w:rPr>
          <w:lang w:val="en-GB"/>
        </w:rPr>
        <w:t xml:space="preserve"> </w:t>
      </w:r>
      <w:proofErr w:type="spellStart"/>
      <w:r w:rsidRPr="0082680A">
        <w:rPr>
          <w:lang w:val="en-GB"/>
        </w:rPr>
        <w:t>EnrichR</w:t>
      </w:r>
      <w:proofErr w:type="spellEnd"/>
      <w:r w:rsidRPr="0082680A">
        <w:rPr>
          <w:lang w:val="en-GB"/>
        </w:rPr>
        <w:t xml:space="preserve"> is fast, takes a simple gene list input, and queries many different pathway databases. The four databases of interest to us were KEGG, Wikipathways, Reactome, and Gene Ontology (Biological Process, Molecular Function and Cellular Component). Querying multiple databases gives more confidence in the enrichments </w:t>
      </w:r>
      <w:r w:rsidR="00277A8A" w:rsidRPr="0082680A">
        <w:rPr>
          <w:lang w:val="en-GB"/>
        </w:rPr>
        <w:t>observed and</w:t>
      </w:r>
      <w:r w:rsidRPr="0082680A">
        <w:rPr>
          <w:lang w:val="en-GB"/>
        </w:rPr>
        <w:t xml:space="preserve"> allows for consideration of any database-specific biases.</w:t>
      </w:r>
    </w:p>
    <w:p w14:paraId="3CF2CF89" w14:textId="77777777" w:rsidR="00F068AF" w:rsidRPr="0082680A" w:rsidRDefault="00F068AF" w:rsidP="00EB41E2">
      <w:pPr>
        <w:rPr>
          <w:lang w:val="en-GB"/>
        </w:rPr>
      </w:pPr>
    </w:p>
    <w:p w14:paraId="3B4509C5" w14:textId="0C403CCC" w:rsidR="009039AE" w:rsidRPr="0082680A" w:rsidRDefault="00EB41E2" w:rsidP="00EB41E2">
      <w:pPr>
        <w:rPr>
          <w:lang w:val="en-GB"/>
        </w:rPr>
      </w:pPr>
      <w:r w:rsidRPr="0082680A">
        <w:rPr>
          <w:lang w:val="en-GB"/>
        </w:rPr>
        <w:t>Top 10 results were collated from KEGG, Wikipathways, Reactome and the three Gene Ontology classes for both upregulated and downregulated genes (</w:t>
      </w:r>
      <w:r w:rsidR="00970AF9" w:rsidRPr="0082680A">
        <w:rPr>
          <w:lang w:val="en-GB"/>
        </w:rPr>
        <w:t xml:space="preserve">Tables </w:t>
      </w:r>
      <w:r w:rsidR="0061081A">
        <w:rPr>
          <w:lang w:val="en-GB"/>
        </w:rPr>
        <w:t>9</w:t>
      </w:r>
      <w:r w:rsidR="00970AF9" w:rsidRPr="0082680A">
        <w:rPr>
          <w:lang w:val="en-GB"/>
        </w:rPr>
        <w:t xml:space="preserve"> &amp; 1</w:t>
      </w:r>
      <w:r w:rsidR="0061081A">
        <w:rPr>
          <w:lang w:val="en-GB"/>
        </w:rPr>
        <w:t>0</w:t>
      </w:r>
      <w:r w:rsidR="00970AF9" w:rsidRPr="0082680A">
        <w:rPr>
          <w:lang w:val="en-GB"/>
        </w:rPr>
        <w:t>)</w:t>
      </w:r>
      <w:r w:rsidRPr="0082680A">
        <w:rPr>
          <w:lang w:val="en-GB"/>
        </w:rPr>
        <w:t xml:space="preserve">. </w:t>
      </w:r>
      <w:r w:rsidR="00502947" w:rsidRPr="0082680A">
        <w:rPr>
          <w:lang w:val="en-GB"/>
        </w:rPr>
        <w:t>Perma-links for the full results can be found here: upregulated genes (</w:t>
      </w:r>
      <w:hyperlink r:id="rId60" w:history="1">
        <w:r w:rsidR="00502947" w:rsidRPr="0082680A">
          <w:rPr>
            <w:rStyle w:val="Hyperlink"/>
            <w:lang w:val="en-GB"/>
          </w:rPr>
          <w:t>http://amp.pharm.mssm.edu/Enrichr/enrich?dataset=8gl6q</w:t>
        </w:r>
      </w:hyperlink>
      <w:r w:rsidR="00502947" w:rsidRPr="0082680A">
        <w:rPr>
          <w:lang w:val="en-GB"/>
        </w:rPr>
        <w:t>), downregulated genes (</w:t>
      </w:r>
      <w:hyperlink r:id="rId61" w:history="1">
        <w:r w:rsidR="00502947" w:rsidRPr="0082680A">
          <w:rPr>
            <w:rStyle w:val="Hyperlink"/>
            <w:lang w:val="en-GB"/>
          </w:rPr>
          <w:t>http://amp.pharm.mssm.edu/Enrichr/enrich?dataset=8gl6r</w:t>
        </w:r>
      </w:hyperlink>
      <w:r w:rsidR="00502947" w:rsidRPr="0082680A">
        <w:rPr>
          <w:lang w:val="en-GB"/>
        </w:rPr>
        <w:t xml:space="preserve">). </w:t>
      </w:r>
      <w:r w:rsidRPr="0082680A">
        <w:rPr>
          <w:lang w:val="en-GB"/>
        </w:rPr>
        <w:t>Pathways were defined as significantly enriched if the adjusted P-value was less than 0.05. For upregulated genes, enriched processes were predominantly associated with RNA processing, specifically mRNA splicing</w:t>
      </w:r>
      <w:r w:rsidR="00396E1F" w:rsidRPr="0082680A">
        <w:rPr>
          <w:lang w:val="en-GB"/>
        </w:rPr>
        <w:t xml:space="preserve"> - processes in which TDP-43 is fundamentally involved</w:t>
      </w:r>
      <w:r w:rsidRPr="0082680A">
        <w:rPr>
          <w:lang w:val="en-GB"/>
        </w:rPr>
        <w:t>. Alternatively, downregulated genes enriched with signalling pathways, including G protein-based, opioid, and calcium signalling.</w:t>
      </w:r>
      <w:r w:rsidR="00396E1F" w:rsidRPr="0082680A">
        <w:rPr>
          <w:lang w:val="en-GB"/>
        </w:rPr>
        <w:t xml:space="preserve"> The relationship of these pathways with TDP-43 is less clear, but due to the only moderately significant P-values it is possible these are not as functionally relatable.</w:t>
      </w:r>
    </w:p>
    <w:p w14:paraId="135F83E9" w14:textId="77777777" w:rsidR="009039AE" w:rsidRPr="0082680A" w:rsidRDefault="009039AE" w:rsidP="009039AE">
      <w:pPr>
        <w:pStyle w:val="NoSpacing"/>
        <w:rPr>
          <w:lang w:val="en-GB"/>
        </w:rPr>
      </w:pPr>
      <w:r w:rsidRPr="0082680A">
        <w:rPr>
          <w:noProof/>
          <w:lang w:val="en-GB"/>
        </w:rPr>
        <w:lastRenderedPageBreak/>
        <w:drawing>
          <wp:inline distT="0" distB="0" distL="0" distR="0" wp14:anchorId="177DE50D" wp14:editId="616C2F54">
            <wp:extent cx="5338324" cy="393701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DP_KWR_Enrichments.pdf"/>
                    <pic:cNvPicPr/>
                  </pic:nvPicPr>
                  <pic:blipFill>
                    <a:blip r:embed="rId62">
                      <a:extLst>
                        <a:ext uri="{28A0092B-C50C-407E-A947-70E740481C1C}">
                          <a14:useLocalDpi xmlns:a14="http://schemas.microsoft.com/office/drawing/2010/main" val="0"/>
                        </a:ext>
                      </a:extLst>
                    </a:blip>
                    <a:stretch>
                      <a:fillRect/>
                    </a:stretch>
                  </pic:blipFill>
                  <pic:spPr bwMode="auto">
                    <a:xfrm>
                      <a:off x="0" y="0"/>
                      <a:ext cx="5338324" cy="3937014"/>
                    </a:xfrm>
                    <a:prstGeom prst="rect">
                      <a:avLst/>
                    </a:prstGeom>
                    <a:ln>
                      <a:noFill/>
                    </a:ln>
                    <a:extLst>
                      <a:ext uri="{53640926-AAD7-44D8-BBD7-CCE9431645EC}">
                        <a14:shadowObscured xmlns:a14="http://schemas.microsoft.com/office/drawing/2010/main"/>
                      </a:ext>
                    </a:extLst>
                  </pic:spPr>
                </pic:pic>
              </a:graphicData>
            </a:graphic>
          </wp:inline>
        </w:drawing>
      </w:r>
    </w:p>
    <w:p w14:paraId="52542EAD" w14:textId="4B341500" w:rsidR="009039AE" w:rsidRPr="0082680A" w:rsidRDefault="009039AE" w:rsidP="009039AE">
      <w:pPr>
        <w:pStyle w:val="Caption"/>
        <w:rPr>
          <w:b w:val="0"/>
          <w:lang w:val="en-GB"/>
        </w:rPr>
      </w:pPr>
      <w:bookmarkStart w:id="115" w:name="_Toc3225923"/>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9</w:t>
      </w:r>
      <w:r w:rsidR="00483095">
        <w:rPr>
          <w:lang w:val="en-GB"/>
        </w:rPr>
        <w:fldChar w:fldCharType="end"/>
      </w:r>
      <w:r w:rsidRPr="0082680A">
        <w:rPr>
          <w:lang w:val="en-GB"/>
        </w:rPr>
        <w:t xml:space="preserve">: </w:t>
      </w:r>
      <w:r w:rsidRPr="0082680A">
        <w:rPr>
          <w:b w:val="0"/>
          <w:lang w:val="en-GB"/>
        </w:rPr>
        <w:t xml:space="preserve">Top 10 enriched pathways in each of the pathway databases for </w:t>
      </w:r>
      <w:r w:rsidR="0083316D" w:rsidRPr="0082680A">
        <w:rPr>
          <w:b w:val="0"/>
          <w:lang w:val="en-GB"/>
        </w:rPr>
        <w:t xml:space="preserve">TDP-43-associated </w:t>
      </w:r>
      <w:r w:rsidRPr="0082680A">
        <w:rPr>
          <w:b w:val="0"/>
          <w:lang w:val="en-GB"/>
        </w:rPr>
        <w:t>upregulated DEGs</w:t>
      </w:r>
      <w:r w:rsidR="00396E1F" w:rsidRPr="0082680A">
        <w:rPr>
          <w:b w:val="0"/>
          <w:lang w:val="en-GB"/>
        </w:rPr>
        <w:t>.</w:t>
      </w:r>
      <w:r w:rsidR="00107399" w:rsidRPr="00107399">
        <w:rPr>
          <w:b w:val="0"/>
          <w:lang w:val="en-GB"/>
        </w:rPr>
        <w:t xml:space="preserve"> </w:t>
      </w:r>
      <w:r w:rsidR="00107399">
        <w:rPr>
          <w:b w:val="0"/>
          <w:lang w:val="en-GB"/>
        </w:rPr>
        <w:t>P-Values are adjusted.</w:t>
      </w:r>
      <w:r w:rsidR="00396E1F" w:rsidRPr="0082680A">
        <w:rPr>
          <w:b w:val="0"/>
          <w:lang w:val="en-GB"/>
        </w:rPr>
        <w:t xml:space="preserve"> (ns) indicates P-values &lt;0.1</w:t>
      </w:r>
      <w:bookmarkEnd w:id="115"/>
    </w:p>
    <w:p w14:paraId="028F830F" w14:textId="77777777" w:rsidR="009039AE" w:rsidRPr="0082680A" w:rsidRDefault="009039AE" w:rsidP="009039AE">
      <w:pPr>
        <w:rPr>
          <w:lang w:val="en-GB"/>
        </w:rPr>
      </w:pPr>
    </w:p>
    <w:p w14:paraId="56A3929E" w14:textId="77777777" w:rsidR="009039AE" w:rsidRPr="0082680A" w:rsidRDefault="009039AE" w:rsidP="009039AE">
      <w:pPr>
        <w:pStyle w:val="NoSpacing"/>
        <w:rPr>
          <w:lang w:val="en-GB"/>
        </w:rPr>
      </w:pPr>
      <w:r w:rsidRPr="0082680A">
        <w:rPr>
          <w:noProof/>
          <w:lang w:val="en-GB"/>
        </w:rPr>
        <w:drawing>
          <wp:inline distT="0" distB="0" distL="0" distR="0" wp14:anchorId="5AFD30CF" wp14:editId="04549C64">
            <wp:extent cx="5058410" cy="3640508"/>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DP_DownDEG_Enrichments.pdf"/>
                    <pic:cNvPicPr/>
                  </pic:nvPicPr>
                  <pic:blipFill rotWithShape="1">
                    <a:blip r:embed="rId63">
                      <a:extLst>
                        <a:ext uri="{28A0092B-C50C-407E-A947-70E740481C1C}">
                          <a14:useLocalDpi xmlns:a14="http://schemas.microsoft.com/office/drawing/2010/main" val="0"/>
                        </a:ext>
                      </a:extLst>
                    </a:blip>
                    <a:srcRect b="2414"/>
                    <a:stretch/>
                  </pic:blipFill>
                  <pic:spPr bwMode="auto">
                    <a:xfrm>
                      <a:off x="0" y="0"/>
                      <a:ext cx="5058999" cy="3640932"/>
                    </a:xfrm>
                    <a:prstGeom prst="rect">
                      <a:avLst/>
                    </a:prstGeom>
                    <a:ln>
                      <a:noFill/>
                    </a:ln>
                    <a:extLst>
                      <a:ext uri="{53640926-AAD7-44D8-BBD7-CCE9431645EC}">
                        <a14:shadowObscured xmlns:a14="http://schemas.microsoft.com/office/drawing/2010/main"/>
                      </a:ext>
                    </a:extLst>
                  </pic:spPr>
                </pic:pic>
              </a:graphicData>
            </a:graphic>
          </wp:inline>
        </w:drawing>
      </w:r>
    </w:p>
    <w:p w14:paraId="28A314BE" w14:textId="407A2511" w:rsidR="009039AE" w:rsidRPr="0082680A" w:rsidRDefault="009039AE" w:rsidP="00EB778D">
      <w:pPr>
        <w:pStyle w:val="Caption"/>
        <w:rPr>
          <w:b w:val="0"/>
          <w:lang w:val="en-GB"/>
        </w:rPr>
      </w:pPr>
      <w:bookmarkStart w:id="116" w:name="_Toc3225924"/>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10</w:t>
      </w:r>
      <w:r w:rsidR="00483095">
        <w:rPr>
          <w:lang w:val="en-GB"/>
        </w:rPr>
        <w:fldChar w:fldCharType="end"/>
      </w:r>
      <w:r w:rsidRPr="0082680A">
        <w:rPr>
          <w:lang w:val="en-GB"/>
        </w:rPr>
        <w:t xml:space="preserve">: </w:t>
      </w:r>
      <w:r w:rsidRPr="0082680A">
        <w:rPr>
          <w:b w:val="0"/>
          <w:lang w:val="en-GB"/>
        </w:rPr>
        <w:t>Top 10 enriched pathways</w:t>
      </w:r>
      <w:r w:rsidRPr="0082680A">
        <w:rPr>
          <w:lang w:val="en-GB"/>
        </w:rPr>
        <w:t xml:space="preserve"> </w:t>
      </w:r>
      <w:r w:rsidRPr="0082680A">
        <w:rPr>
          <w:b w:val="0"/>
          <w:lang w:val="en-GB"/>
        </w:rPr>
        <w:t xml:space="preserve">in each of the pathway databases for </w:t>
      </w:r>
      <w:r w:rsidR="0083316D" w:rsidRPr="0082680A">
        <w:rPr>
          <w:b w:val="0"/>
          <w:lang w:val="en-GB"/>
        </w:rPr>
        <w:t xml:space="preserve">TDP-43-associated </w:t>
      </w:r>
      <w:r w:rsidRPr="0082680A">
        <w:rPr>
          <w:b w:val="0"/>
          <w:lang w:val="en-GB"/>
        </w:rPr>
        <w:t>downregulated DEGs</w:t>
      </w:r>
      <w:r w:rsidR="00396E1F" w:rsidRPr="0082680A">
        <w:rPr>
          <w:b w:val="0"/>
          <w:lang w:val="en-GB"/>
        </w:rPr>
        <w:t xml:space="preserve">. </w:t>
      </w:r>
      <w:r w:rsidR="00107399">
        <w:rPr>
          <w:b w:val="0"/>
          <w:lang w:val="en-GB"/>
        </w:rPr>
        <w:t xml:space="preserve">P-Values are adjusted. </w:t>
      </w:r>
      <w:r w:rsidR="00396E1F" w:rsidRPr="0082680A">
        <w:rPr>
          <w:b w:val="0"/>
          <w:lang w:val="en-GB"/>
        </w:rPr>
        <w:t>(ns) indicates P-values &lt;0.1</w:t>
      </w:r>
      <w:bookmarkEnd w:id="116"/>
      <w:r w:rsidRPr="0082680A">
        <w:rPr>
          <w:b w:val="0"/>
          <w:lang w:val="en-GB"/>
        </w:rPr>
        <w:br w:type="page"/>
      </w:r>
    </w:p>
    <w:p w14:paraId="160D8A2B" w14:textId="77777777" w:rsidR="00EB41E2" w:rsidRPr="0082680A" w:rsidRDefault="00EB41E2" w:rsidP="00842FD0">
      <w:pPr>
        <w:pStyle w:val="Heading4"/>
        <w:rPr>
          <w:lang w:val="en-GB"/>
        </w:rPr>
      </w:pPr>
      <w:bookmarkStart w:id="117" w:name="_5gk8vaz4l0m4" w:colFirst="0" w:colLast="0"/>
      <w:bookmarkStart w:id="118" w:name="_Toc3211351"/>
      <w:bookmarkEnd w:id="117"/>
      <w:r w:rsidRPr="0082680A">
        <w:rPr>
          <w:lang w:val="en-GB"/>
        </w:rPr>
        <w:lastRenderedPageBreak/>
        <w:t>Summary</w:t>
      </w:r>
      <w:bookmarkEnd w:id="118"/>
    </w:p>
    <w:p w14:paraId="207A3DE2" w14:textId="77777777" w:rsidR="00EB41E2" w:rsidRPr="0082680A" w:rsidRDefault="00EB41E2" w:rsidP="00EB41E2">
      <w:pPr>
        <w:rPr>
          <w:lang w:val="en-GB"/>
        </w:rPr>
      </w:pPr>
      <w:r w:rsidRPr="0082680A">
        <w:rPr>
          <w:lang w:val="en-GB"/>
        </w:rPr>
        <w:t xml:space="preserve">We have established an analysis protocol for identification of common DEGs in datasets which would otherwise have produced no tangible results. By substituting a statistical threshold for a common functional overlap, we have been able to identify a list of genes that is not only significantly larger than expected, but which also enriches for biology we would associate with TDP-43 dysfunction. </w:t>
      </w:r>
    </w:p>
    <w:p w14:paraId="7A7AE6D2" w14:textId="77777777" w:rsidR="00F068AF" w:rsidRPr="0082680A" w:rsidRDefault="00F068AF" w:rsidP="00EB41E2">
      <w:pPr>
        <w:rPr>
          <w:lang w:val="en-GB"/>
        </w:rPr>
      </w:pPr>
    </w:p>
    <w:p w14:paraId="099FB947" w14:textId="7369DA49" w:rsidR="00396E1F" w:rsidRPr="0082680A" w:rsidRDefault="00EB41E2" w:rsidP="00EB41E2">
      <w:pPr>
        <w:rPr>
          <w:lang w:val="en-GB"/>
        </w:rPr>
      </w:pPr>
      <w:r w:rsidRPr="0082680A">
        <w:rPr>
          <w:lang w:val="en-GB"/>
        </w:rPr>
        <w:t>A number of challenges were highlighted at this stage. Firstly, the availabili</w:t>
      </w:r>
      <w:r w:rsidR="00FE6CFC" w:rsidRPr="0082680A">
        <w:rPr>
          <w:lang w:val="en-GB"/>
        </w:rPr>
        <w:t xml:space="preserve">ty of data </w:t>
      </w:r>
      <w:r w:rsidR="00396E1F" w:rsidRPr="0082680A">
        <w:rPr>
          <w:lang w:val="en-GB"/>
        </w:rPr>
        <w:t xml:space="preserve">fitting our search criteria </w:t>
      </w:r>
      <w:r w:rsidR="00FE6CFC" w:rsidRPr="0082680A">
        <w:rPr>
          <w:lang w:val="en-GB"/>
        </w:rPr>
        <w:t>was less than expected</w:t>
      </w:r>
      <w:r w:rsidRPr="0082680A">
        <w:rPr>
          <w:lang w:val="en-GB"/>
        </w:rPr>
        <w:t xml:space="preserve">. </w:t>
      </w:r>
      <w:r w:rsidR="00396E1F" w:rsidRPr="0082680A">
        <w:rPr>
          <w:lang w:val="en-GB"/>
        </w:rPr>
        <w:t xml:space="preserve">There is a noticeable </w:t>
      </w:r>
      <w:r w:rsidRPr="0082680A">
        <w:rPr>
          <w:lang w:val="en-GB"/>
        </w:rPr>
        <w:t xml:space="preserve">lack of diversity in the conditions we have analysed as 4 of the 6 datasets were ALS patients. </w:t>
      </w:r>
      <w:r w:rsidR="00396E1F" w:rsidRPr="0082680A">
        <w:rPr>
          <w:lang w:val="en-GB"/>
        </w:rPr>
        <w:t>It is possible that this may produce bias towards ALS biology. Unfortunately, due to the nature of</w:t>
      </w:r>
      <w:r w:rsidRPr="0082680A">
        <w:rPr>
          <w:lang w:val="en-GB"/>
        </w:rPr>
        <w:t xml:space="preserve"> working with very rare diseases</w:t>
      </w:r>
      <w:r w:rsidR="00396E1F" w:rsidRPr="0082680A">
        <w:rPr>
          <w:lang w:val="en-GB"/>
        </w:rPr>
        <w:t xml:space="preserve"> - </w:t>
      </w:r>
      <w:r w:rsidRPr="0082680A">
        <w:rPr>
          <w:lang w:val="en-GB"/>
        </w:rPr>
        <w:t>particularly neurodegenerative diseases where neuronal tissue is so hard to obtain</w:t>
      </w:r>
      <w:r w:rsidR="00396E1F" w:rsidRPr="0082680A">
        <w:rPr>
          <w:lang w:val="en-GB"/>
        </w:rPr>
        <w:t xml:space="preserve"> – inconsistent data representation is a possibility</w:t>
      </w:r>
      <w:r w:rsidRPr="0082680A">
        <w:rPr>
          <w:lang w:val="en-GB"/>
        </w:rPr>
        <w:t>.</w:t>
      </w:r>
      <w:r w:rsidR="00396E1F" w:rsidRPr="0082680A">
        <w:rPr>
          <w:lang w:val="en-GB"/>
        </w:rPr>
        <w:t xml:space="preserve"> With more time and resources, a larger number of appropriate datasets could be sourced to counteract this bias.</w:t>
      </w:r>
    </w:p>
    <w:p w14:paraId="68796742" w14:textId="77777777" w:rsidR="00396E1F" w:rsidRPr="0082680A" w:rsidRDefault="00396E1F" w:rsidP="00EB41E2">
      <w:pPr>
        <w:rPr>
          <w:lang w:val="en-GB"/>
        </w:rPr>
      </w:pPr>
    </w:p>
    <w:p w14:paraId="18AB3571" w14:textId="0A53A709" w:rsidR="00961FCD" w:rsidRPr="0082680A" w:rsidRDefault="00961FCD" w:rsidP="00EB41E2">
      <w:pPr>
        <w:rPr>
          <w:lang w:val="en-GB"/>
        </w:rPr>
      </w:pPr>
      <w:r w:rsidRPr="0082680A">
        <w:rPr>
          <w:lang w:val="en-GB"/>
        </w:rPr>
        <w:t xml:space="preserve">From a statistical perspective, the use of common </w:t>
      </w:r>
      <w:r w:rsidR="008958EB">
        <w:rPr>
          <w:lang w:val="en-GB"/>
        </w:rPr>
        <w:t>dysregulation</w:t>
      </w:r>
      <w:r w:rsidR="007A3DEF" w:rsidRPr="0082680A">
        <w:rPr>
          <w:lang w:val="en-GB"/>
        </w:rPr>
        <w:t xml:space="preserve"> rather than a P-value threshold</w:t>
      </w:r>
      <w:r w:rsidRPr="0082680A">
        <w:rPr>
          <w:lang w:val="en-GB"/>
        </w:rPr>
        <w:t xml:space="preserve"> does leave this methodology </w:t>
      </w:r>
      <w:r w:rsidR="006C1F55" w:rsidRPr="0082680A">
        <w:rPr>
          <w:lang w:val="en-GB"/>
        </w:rPr>
        <w:t>vulnerable to both false positives</w:t>
      </w:r>
      <w:r w:rsidR="00F14610" w:rsidRPr="0082680A">
        <w:rPr>
          <w:lang w:val="en-GB"/>
        </w:rPr>
        <w:t xml:space="preserve"> </w:t>
      </w:r>
      <w:r w:rsidR="007A3DEF" w:rsidRPr="0082680A">
        <w:rPr>
          <w:lang w:val="en-GB"/>
        </w:rPr>
        <w:t>if a</w:t>
      </w:r>
      <w:r w:rsidR="00396E1F" w:rsidRPr="0082680A">
        <w:rPr>
          <w:lang w:val="en-GB"/>
        </w:rPr>
        <w:t xml:space="preserve">n </w:t>
      </w:r>
      <w:r w:rsidR="007A3DEF" w:rsidRPr="0082680A">
        <w:rPr>
          <w:lang w:val="en-GB"/>
        </w:rPr>
        <w:t xml:space="preserve">unrelated gene so happens to have consistent </w:t>
      </w:r>
      <w:r w:rsidR="00F14610" w:rsidRPr="0082680A">
        <w:rPr>
          <w:lang w:val="en-GB"/>
        </w:rPr>
        <w:t>fold change</w:t>
      </w:r>
      <w:r w:rsidR="003202B8" w:rsidRPr="0082680A">
        <w:rPr>
          <w:lang w:val="en-GB"/>
        </w:rPr>
        <w:t>,</w:t>
      </w:r>
      <w:r w:rsidR="00F14610" w:rsidRPr="0082680A">
        <w:rPr>
          <w:lang w:val="en-GB"/>
        </w:rPr>
        <w:t xml:space="preserve"> </w:t>
      </w:r>
      <w:r w:rsidR="006C1F55" w:rsidRPr="0082680A">
        <w:rPr>
          <w:lang w:val="en-GB"/>
        </w:rPr>
        <w:t>and</w:t>
      </w:r>
      <w:r w:rsidR="00F14610" w:rsidRPr="0082680A">
        <w:rPr>
          <w:lang w:val="en-GB"/>
        </w:rPr>
        <w:t xml:space="preserve"> false</w:t>
      </w:r>
      <w:r w:rsidR="006C1F55" w:rsidRPr="0082680A">
        <w:rPr>
          <w:lang w:val="en-GB"/>
        </w:rPr>
        <w:t xml:space="preserve"> negatives</w:t>
      </w:r>
      <w:r w:rsidR="00F14610" w:rsidRPr="0082680A">
        <w:rPr>
          <w:lang w:val="en-GB"/>
        </w:rPr>
        <w:t xml:space="preserve"> if a related gene is regulated differently in ju</w:t>
      </w:r>
      <w:r w:rsidR="003202B8" w:rsidRPr="0082680A">
        <w:rPr>
          <w:lang w:val="en-GB"/>
        </w:rPr>
        <w:t>st one dataset and</w:t>
      </w:r>
      <w:r w:rsidR="00F14610" w:rsidRPr="0082680A">
        <w:rPr>
          <w:lang w:val="en-GB"/>
        </w:rPr>
        <w:t xml:space="preserve"> is discarded</w:t>
      </w:r>
      <w:r w:rsidR="006C1F55" w:rsidRPr="0082680A">
        <w:rPr>
          <w:lang w:val="en-GB"/>
        </w:rPr>
        <w:t xml:space="preserve">. </w:t>
      </w:r>
      <w:proofErr w:type="gramStart"/>
      <w:r w:rsidR="00AF6C08">
        <w:rPr>
          <w:lang w:val="en-GB"/>
        </w:rPr>
        <w:t>However</w:t>
      </w:r>
      <w:proofErr w:type="gramEnd"/>
      <w:r w:rsidR="00AF6C08">
        <w:rPr>
          <w:lang w:val="en-GB"/>
        </w:rPr>
        <w:t xml:space="preserve"> since the combination of RNA-Seq and Microarray data is not statistically advisable, and</w:t>
      </w:r>
      <w:r w:rsidR="008958EB">
        <w:rPr>
          <w:lang w:val="en-GB"/>
        </w:rPr>
        <w:t xml:space="preserve"> most trusted</w:t>
      </w:r>
      <w:r w:rsidR="00AF6C08">
        <w:rPr>
          <w:lang w:val="en-GB"/>
        </w:rPr>
        <w:t xml:space="preserve"> </w:t>
      </w:r>
      <w:r w:rsidR="008958EB">
        <w:rPr>
          <w:lang w:val="en-GB"/>
        </w:rPr>
        <w:t xml:space="preserve">P-Value combination methods apply to either microarray </w:t>
      </w:r>
      <w:r w:rsidR="008958EB" w:rsidRPr="008958EB">
        <w:rPr>
          <w:i/>
          <w:lang w:val="en-GB"/>
        </w:rPr>
        <w:t>or</w:t>
      </w:r>
      <w:r w:rsidR="008958EB">
        <w:rPr>
          <w:lang w:val="en-GB"/>
        </w:rPr>
        <w:t xml:space="preserve"> RNA-Seq data, our approach may be the most statistically responsible at this point in time</w:t>
      </w:r>
      <w:r w:rsidR="005D5DC6" w:rsidRPr="0082680A">
        <w:rPr>
          <w:lang w:val="en-GB"/>
        </w:rPr>
        <w:t>.</w:t>
      </w:r>
    </w:p>
    <w:p w14:paraId="2E7AF5CE" w14:textId="77777777" w:rsidR="00961FCD" w:rsidRPr="0082680A" w:rsidRDefault="00961FCD" w:rsidP="00EB41E2">
      <w:pPr>
        <w:rPr>
          <w:lang w:val="en-GB"/>
        </w:rPr>
      </w:pPr>
    </w:p>
    <w:p w14:paraId="0CA4CBAA" w14:textId="70EFEA67" w:rsidR="00EB41E2" w:rsidRPr="0082680A" w:rsidRDefault="00081BD9" w:rsidP="00EB41E2">
      <w:pPr>
        <w:rPr>
          <w:lang w:val="en-GB"/>
        </w:rPr>
      </w:pPr>
      <w:r w:rsidRPr="0082680A">
        <w:rPr>
          <w:lang w:val="en-GB"/>
        </w:rPr>
        <w:t xml:space="preserve">Of the gene list we have generated, we as of yet </w:t>
      </w:r>
      <w:r w:rsidR="00EB41E2" w:rsidRPr="0082680A">
        <w:rPr>
          <w:lang w:val="en-GB"/>
        </w:rPr>
        <w:t xml:space="preserve">have </w:t>
      </w:r>
      <w:r w:rsidRPr="0082680A">
        <w:rPr>
          <w:lang w:val="en-GB"/>
        </w:rPr>
        <w:t>little</w:t>
      </w:r>
      <w:r w:rsidR="00EB41E2" w:rsidRPr="0082680A">
        <w:rPr>
          <w:lang w:val="en-GB"/>
        </w:rPr>
        <w:t xml:space="preserve"> evidence to suggest that the common DEGs form functional relationships with one </w:t>
      </w:r>
      <w:r w:rsidRPr="0082680A">
        <w:rPr>
          <w:lang w:val="en-GB"/>
        </w:rPr>
        <w:t xml:space="preserve">another, </w:t>
      </w:r>
      <w:r w:rsidR="00D428EB" w:rsidRPr="0082680A">
        <w:rPr>
          <w:lang w:val="en-GB"/>
        </w:rPr>
        <w:t>and</w:t>
      </w:r>
      <w:r w:rsidR="00EB41E2" w:rsidRPr="0082680A">
        <w:rPr>
          <w:lang w:val="en-GB"/>
        </w:rPr>
        <w:t xml:space="preserve"> the functional signals we have are relatively weak</w:t>
      </w:r>
      <w:r w:rsidR="00D428EB" w:rsidRPr="0082680A">
        <w:rPr>
          <w:lang w:val="en-GB"/>
        </w:rPr>
        <w:t xml:space="preserve">. </w:t>
      </w:r>
      <w:r w:rsidR="00EB41E2" w:rsidRPr="0082680A">
        <w:rPr>
          <w:lang w:val="en-GB"/>
        </w:rPr>
        <w:t>The next stage of development will need to increase our understanding of the wider fu</w:t>
      </w:r>
      <w:r w:rsidR="00A77B07" w:rsidRPr="0082680A">
        <w:rPr>
          <w:lang w:val="en-GB"/>
        </w:rPr>
        <w:t>nctional context of these genes</w:t>
      </w:r>
      <w:r w:rsidR="00EB41E2" w:rsidRPr="0082680A">
        <w:rPr>
          <w:lang w:val="en-GB"/>
        </w:rPr>
        <w:t xml:space="preserve"> to sufficiently establish a relationship with TDP-43 dysfunction.</w:t>
      </w:r>
    </w:p>
    <w:p w14:paraId="2925F3F4" w14:textId="77777777" w:rsidR="00EB41E2" w:rsidRPr="0082680A" w:rsidRDefault="00EB41E2" w:rsidP="00EB41E2">
      <w:pPr>
        <w:rPr>
          <w:lang w:val="en-GB"/>
        </w:rPr>
      </w:pPr>
      <w:bookmarkStart w:id="119" w:name="_ioba2idjcqk" w:colFirst="0" w:colLast="0"/>
      <w:bookmarkEnd w:id="119"/>
      <w:r w:rsidRPr="0082680A">
        <w:rPr>
          <w:lang w:val="en-GB"/>
        </w:rPr>
        <w:br w:type="page"/>
      </w:r>
    </w:p>
    <w:p w14:paraId="300C9E26" w14:textId="77777777" w:rsidR="00EB41E2" w:rsidRPr="00691215" w:rsidRDefault="00EB41E2" w:rsidP="00691215">
      <w:pPr>
        <w:pStyle w:val="Heading3"/>
      </w:pPr>
      <w:bookmarkStart w:id="120" w:name="_sd3qpn514b0y" w:colFirst="0" w:colLast="0"/>
      <w:bookmarkStart w:id="121" w:name="_Toc3211352"/>
      <w:bookmarkEnd w:id="120"/>
      <w:r w:rsidRPr="00691215">
        <w:lastRenderedPageBreak/>
        <w:t>Protein Interaction Network Generation</w:t>
      </w:r>
      <w:bookmarkEnd w:id="121"/>
    </w:p>
    <w:p w14:paraId="6F1BEEB8" w14:textId="77777777" w:rsidR="00EB41E2" w:rsidRPr="0082680A" w:rsidRDefault="00EB41E2" w:rsidP="00842FD0">
      <w:pPr>
        <w:pStyle w:val="Heading4"/>
        <w:rPr>
          <w:lang w:val="en-GB"/>
        </w:rPr>
      </w:pPr>
      <w:bookmarkStart w:id="122" w:name="_uqw55i5z1c43" w:colFirst="0" w:colLast="0"/>
      <w:bookmarkStart w:id="123" w:name="_Toc3211353"/>
      <w:bookmarkEnd w:id="122"/>
      <w:r w:rsidRPr="0082680A">
        <w:rPr>
          <w:lang w:val="en-GB"/>
        </w:rPr>
        <w:t>Protein Interaction</w:t>
      </w:r>
      <w:bookmarkEnd w:id="123"/>
    </w:p>
    <w:p w14:paraId="1DA1FDA9" w14:textId="45BAC7CF" w:rsidR="00EB41E2" w:rsidRPr="0082680A" w:rsidRDefault="00EB41E2" w:rsidP="00EB41E2">
      <w:pPr>
        <w:rPr>
          <w:lang w:val="en-GB"/>
        </w:rPr>
      </w:pPr>
      <w:r w:rsidRPr="0082680A">
        <w:rPr>
          <w:lang w:val="en-GB"/>
        </w:rPr>
        <w:t xml:space="preserve">Differentially expressed genes alone, as inferred by Subramanian et al., are isolated islands of information. To fully understand their context within the cell, </w:t>
      </w:r>
      <w:r w:rsidR="00396E1F" w:rsidRPr="0082680A">
        <w:rPr>
          <w:lang w:val="en-GB"/>
        </w:rPr>
        <w:t>we must</w:t>
      </w:r>
      <w:r w:rsidRPr="0082680A">
        <w:rPr>
          <w:lang w:val="en-GB"/>
        </w:rPr>
        <w:t xml:space="preserve"> identify their molecular friends and neighbours. The most effective way of expanding a gene’s context is to build a network of its relationships</w:t>
      </w:r>
      <w:r w:rsidR="00396E1F" w:rsidRPr="0082680A">
        <w:rPr>
          <w:lang w:val="en-GB"/>
        </w:rPr>
        <w:t xml:space="preserve"> with other genes</w:t>
      </w:r>
      <w:r w:rsidRPr="0082680A">
        <w:rPr>
          <w:lang w:val="en-GB"/>
        </w:rPr>
        <w:t xml:space="preserve">. </w:t>
      </w:r>
      <w:r w:rsidR="00396E1F" w:rsidRPr="0082680A">
        <w:rPr>
          <w:lang w:val="en-GB"/>
        </w:rPr>
        <w:t>Although coexpression and PPI data were both candidates for this process, p</w:t>
      </w:r>
      <w:r w:rsidRPr="0082680A">
        <w:rPr>
          <w:lang w:val="en-GB"/>
        </w:rPr>
        <w:t>rotein interaction relationships were chosen for a number of reasons. Firstly, canonical PPI edges are generally well curated and evidenced; each edge stored in IrefIndex14</w:t>
      </w:r>
      <w:r w:rsidR="00396E1F" w:rsidRPr="0082680A">
        <w:rPr>
          <w:lang w:val="en-GB"/>
        </w:rPr>
        <w:t xml:space="preserve"> -</w:t>
      </w:r>
      <w:r w:rsidRPr="0082680A">
        <w:rPr>
          <w:lang w:val="en-GB"/>
        </w:rPr>
        <w:t xml:space="preserve"> the PPI database chosen for this experiment</w:t>
      </w:r>
      <w:r w:rsidR="00396E1F" w:rsidRPr="0082680A">
        <w:rPr>
          <w:lang w:val="en-GB"/>
        </w:rPr>
        <w:t xml:space="preserve"> -</w:t>
      </w:r>
      <w:r w:rsidRPr="0082680A">
        <w:rPr>
          <w:lang w:val="en-GB"/>
        </w:rPr>
        <w:t xml:space="preserve"> is supported by 9 sources of information, including both predicted and experimental </w:t>
      </w:r>
      <w:r w:rsidR="006E3284" w:rsidRPr="0082680A">
        <w:rPr>
          <w:lang w:val="en-GB"/>
        </w:rPr>
        <w:fldChar w:fldCharType="begin" w:fldLock="1"/>
      </w:r>
      <w:r w:rsidR="000507BA">
        <w:rPr>
          <w:lang w:val="en-GB"/>
        </w:rPr>
        <w:instrText>ADDIN CSL_CITATION {"citationItems":[{"id":"ITEM-1","itemData":{"DOI":"10.1186/1471-2105-9-405","ISSN":"1471-2105","abstract":"Interaction data for a given protein may be spread across multiple databases. We set out to create a unifying index that would facilitate searching for these data and that would group together redundant interaction data while recording the methods used to perform this grouping. We present a method to generate a key for a protein interaction record and a key for each participant protein. These keys may be generated by anyone using only the primary sequence of the proteins, their taxonomy identifiers and the Secure Hash Algorithm. Two interaction records will have identical keys if they refer to the same set of identical protein sequences and taxonomy identifiers. We define records with identical keys as a redundant group. Our method required that we map protein database references found in interaction records to current protein sequence records. Operations performed during this mapping are described by a mapping score that may provide valuable feedback to source interaction databases on problematic references that are malformed, deprecated, ambiguous or unfound. Keys for protein participants allow for retrieval of interaction information independent of the protein references used in the original records. We have applied our method to protein interaction records from BIND, BioGrid, DIP, HPRD, IntAct, MINT, MPact, MPPI and OPHID. The resulting interaction reference index is provided in PSI-MITAB 2.5 format at \n                    http://irefindex.uio.no\n                    \n                  . This index may form the basis of alternative redundant groupings based on gene identifiers or near sequence identity groupings.","author":[{"dropping-particle":"","family":"Razick","given":"Sabry","non-dropping-particle":"","parse-names":false,"suffix":""},{"dropping-particle":"","family":"Magklaras","given":"George","non-dropping-particle":"","parse-names":false,"suffix":""},{"dropping-particle":"","family":"Donaldson","given":"Ian M","non-dropping-particle":"","parse-names":false,"suffix":""}],"container-title":"BMC Bioinformatics","id":"ITEM-1","issue":"1","issued":{"date-parts":[["2008","9","30"]]},"page":"405","publisher":"BioMed Central","title":"iRefIndex: A consolidated protein interaction database with provenance","type":"article-journal","volume":"9"},"uris":["http://www.mendeley.com/documents/?uuid=da9a6a8f-3258-3e33-a846-bf3dafff1b8b"]}],"mendeley":{"formattedCitation":"&lt;sup&gt;166&lt;/sup&gt;","plainTextFormattedCitation":"166","previouslyFormattedCitation":"&lt;sup&gt;166&lt;/sup&gt;"},"properties":{"noteIndex":0},"schema":"https://github.com/citation-style-language/schema/raw/master/csl-citation.json"}</w:instrText>
      </w:r>
      <w:r w:rsidR="006E3284" w:rsidRPr="0082680A">
        <w:rPr>
          <w:lang w:val="en-GB"/>
        </w:rPr>
        <w:fldChar w:fldCharType="separate"/>
      </w:r>
      <w:r w:rsidR="00426B19" w:rsidRPr="00426B19">
        <w:rPr>
          <w:noProof/>
          <w:vertAlign w:val="superscript"/>
          <w:lang w:val="en-GB"/>
        </w:rPr>
        <w:t>166</w:t>
      </w:r>
      <w:r w:rsidR="006E3284" w:rsidRPr="0082680A">
        <w:rPr>
          <w:lang w:val="en-GB"/>
        </w:rPr>
        <w:fldChar w:fldCharType="end"/>
      </w:r>
      <w:r w:rsidRPr="0082680A">
        <w:rPr>
          <w:lang w:val="en-GB"/>
        </w:rPr>
        <w:t>. Secondly,</w:t>
      </w:r>
      <w:r w:rsidR="00396E1F" w:rsidRPr="0082680A">
        <w:rPr>
          <w:lang w:val="en-GB"/>
        </w:rPr>
        <w:t xml:space="preserve"> our datasets represent a wide range of conditions, platforms, and tissue types, therefore to generate a single representative network would require some form of edge combination</w:t>
      </w:r>
      <w:r w:rsidRPr="0082680A">
        <w:rPr>
          <w:lang w:val="en-GB"/>
        </w:rPr>
        <w:t xml:space="preserve">. </w:t>
      </w:r>
      <w:r w:rsidR="00396E1F" w:rsidRPr="0082680A">
        <w:rPr>
          <w:lang w:val="en-GB"/>
        </w:rPr>
        <w:t xml:space="preserve">As the aim of this developmental step is to provide the most accurate, robust representation of the cellular context of the common DEGs, coexpression may be too easily influenced by aspects such as platform effect, technical effects, and sample effects. </w:t>
      </w:r>
      <w:r w:rsidRPr="0082680A">
        <w:rPr>
          <w:lang w:val="en-GB"/>
        </w:rPr>
        <w:t>Finally, PPI edges represent a direct</w:t>
      </w:r>
      <w:r w:rsidR="00396E1F" w:rsidRPr="0082680A">
        <w:rPr>
          <w:lang w:val="en-GB"/>
        </w:rPr>
        <w:t>ly measurable</w:t>
      </w:r>
      <w:r w:rsidRPr="0082680A">
        <w:rPr>
          <w:lang w:val="en-GB"/>
        </w:rPr>
        <w:t xml:space="preserve"> event, whereas coexpression is an inferred relationship. </w:t>
      </w:r>
    </w:p>
    <w:p w14:paraId="2D38C2E7" w14:textId="77777777" w:rsidR="006D2854" w:rsidRPr="0082680A" w:rsidRDefault="006D2854" w:rsidP="00EB41E2">
      <w:pPr>
        <w:rPr>
          <w:lang w:val="en-GB"/>
        </w:rPr>
      </w:pPr>
    </w:p>
    <w:p w14:paraId="6A8CF6C3" w14:textId="6FD15FC0" w:rsidR="00EB41E2" w:rsidRPr="0082680A" w:rsidRDefault="00A56352" w:rsidP="00EB41E2">
      <w:pPr>
        <w:rPr>
          <w:lang w:val="en-GB"/>
        </w:rPr>
      </w:pPr>
      <w:r w:rsidRPr="0082680A">
        <w:rPr>
          <w:lang w:val="en-GB"/>
        </w:rPr>
        <w:t>A pre-processed</w:t>
      </w:r>
      <w:r w:rsidR="00EB41E2" w:rsidRPr="0082680A">
        <w:rPr>
          <w:lang w:val="en-GB"/>
        </w:rPr>
        <w:t xml:space="preserve"> database for Irefindex14 was </w:t>
      </w:r>
      <w:r w:rsidRPr="0082680A">
        <w:rPr>
          <w:lang w:val="en-GB"/>
        </w:rPr>
        <w:t>provided</w:t>
      </w:r>
      <w:r w:rsidR="00EB41E2" w:rsidRPr="0082680A">
        <w:rPr>
          <w:lang w:val="en-GB"/>
        </w:rPr>
        <w:t xml:space="preserve"> b</w:t>
      </w:r>
      <w:r w:rsidR="00452509" w:rsidRPr="0082680A">
        <w:rPr>
          <w:lang w:val="en-GB"/>
        </w:rPr>
        <w:t xml:space="preserve">y Dr Sandeep </w:t>
      </w:r>
      <w:proofErr w:type="spellStart"/>
      <w:r w:rsidR="00452509" w:rsidRPr="0082680A">
        <w:rPr>
          <w:lang w:val="en-GB"/>
        </w:rPr>
        <w:t>Amberkar</w:t>
      </w:r>
      <w:proofErr w:type="spellEnd"/>
      <w:r w:rsidR="00452509" w:rsidRPr="0082680A">
        <w:rPr>
          <w:lang w:val="en-GB"/>
        </w:rPr>
        <w:t>, Hide Lab</w:t>
      </w:r>
      <w:r w:rsidRPr="0082680A">
        <w:rPr>
          <w:lang w:val="en-GB"/>
        </w:rPr>
        <w:t xml:space="preserve">. </w:t>
      </w:r>
      <w:r w:rsidR="00EB41E2" w:rsidRPr="0082680A">
        <w:rPr>
          <w:lang w:val="en-GB"/>
        </w:rPr>
        <w:t xml:space="preserve">The matrix of PPI relationships was subsetted to include rows where at least one member of the relationship is a DEG. As IrefIndex uses UniProt IDs, the DEG’s HGNC symbols were used to </w:t>
      </w:r>
      <w:r w:rsidR="00452509" w:rsidRPr="0082680A">
        <w:rPr>
          <w:lang w:val="en-GB"/>
        </w:rPr>
        <w:t>identify</w:t>
      </w:r>
      <w:r w:rsidR="00EB41E2" w:rsidRPr="0082680A">
        <w:rPr>
          <w:lang w:val="en-GB"/>
        </w:rPr>
        <w:t xml:space="preserve"> the UniProt IDs for their corresponding protein using the R package </w:t>
      </w:r>
      <w:r w:rsidR="00EB41E2" w:rsidRPr="0082680A">
        <w:rPr>
          <w:i/>
          <w:lang w:val="en-GB"/>
        </w:rPr>
        <w:t>biomaRt</w:t>
      </w:r>
      <w:r w:rsidR="00EB41E2" w:rsidRPr="0082680A">
        <w:rPr>
          <w:lang w:val="en-GB"/>
        </w:rPr>
        <w:t xml:space="preserve"> (</w:t>
      </w:r>
      <w:hyperlink r:id="rId64" w:history="1">
        <w:r w:rsidR="00B958C5" w:rsidRPr="0082680A">
          <w:rPr>
            <w:rStyle w:val="Hyperlink"/>
            <w:lang w:val="en-GB"/>
          </w:rPr>
          <w:t>https://bioconductor.org/packages/release/bioc/html/biomaRt.html</w:t>
        </w:r>
      </w:hyperlink>
      <w:r w:rsidR="00EB41E2" w:rsidRPr="0082680A">
        <w:rPr>
          <w:lang w:val="en-GB"/>
        </w:rPr>
        <w:t>).</w:t>
      </w:r>
      <w:r w:rsidR="00B958C5" w:rsidRPr="0082680A">
        <w:rPr>
          <w:lang w:val="en-GB"/>
        </w:rPr>
        <w:t xml:space="preserve"> </w:t>
      </w:r>
      <w:r w:rsidR="00EB41E2" w:rsidRPr="0082680A">
        <w:rPr>
          <w:lang w:val="en-GB"/>
        </w:rPr>
        <w:t>If UniProt IDs were missing, they were sourced manually from UniProt’s online database (</w:t>
      </w:r>
      <w:hyperlink r:id="rId65" w:history="1">
        <w:r w:rsidR="00B958C5" w:rsidRPr="0082680A">
          <w:rPr>
            <w:rStyle w:val="Hyperlink"/>
            <w:lang w:val="en-GB"/>
          </w:rPr>
          <w:t>https://www.uniprot.org/</w:t>
        </w:r>
      </w:hyperlink>
      <w:r w:rsidR="00EB41E2" w:rsidRPr="0082680A">
        <w:rPr>
          <w:lang w:val="en-GB"/>
        </w:rPr>
        <w:t>).</w:t>
      </w:r>
      <w:r w:rsidR="00B958C5" w:rsidRPr="0082680A">
        <w:rPr>
          <w:lang w:val="en-GB"/>
        </w:rPr>
        <w:t xml:space="preserve"> </w:t>
      </w:r>
      <w:r w:rsidR="00EB41E2" w:rsidRPr="0082680A">
        <w:rPr>
          <w:lang w:val="en-GB"/>
        </w:rPr>
        <w:t xml:space="preserve">If a gene was not protein coding, the gene name was removed. If more than one UniProt ID was present for a single gene, one ID was used, to avoid bias towards genes with multiple proteins. Using the list of UniProt IDs for the DEGs, the IrefIndex </w:t>
      </w:r>
      <w:r w:rsidR="00452509" w:rsidRPr="0082680A">
        <w:rPr>
          <w:lang w:val="en-GB"/>
        </w:rPr>
        <w:t>data frame</w:t>
      </w:r>
      <w:r w:rsidR="00EB41E2" w:rsidRPr="0082680A">
        <w:rPr>
          <w:lang w:val="en-GB"/>
        </w:rPr>
        <w:t xml:space="preserve"> was subsetted for all rows in which one of the members of the interaction was the protein of a DEG. Rows containing blank IDs were removed. The final network was visualised using the tool Cytoscape (</w:t>
      </w:r>
      <w:hyperlink r:id="rId66" w:history="1">
        <w:r w:rsidR="00B958C5" w:rsidRPr="0082680A">
          <w:rPr>
            <w:rStyle w:val="Hyperlink"/>
            <w:lang w:val="en-GB"/>
          </w:rPr>
          <w:t>http://www.cytoscape.org</w:t>
        </w:r>
      </w:hyperlink>
      <w:r w:rsidR="00EB41E2" w:rsidRPr="0082680A">
        <w:rPr>
          <w:lang w:val="en-GB"/>
        </w:rPr>
        <w:t>).</w:t>
      </w:r>
      <w:r w:rsidR="00B958C5" w:rsidRPr="0082680A">
        <w:rPr>
          <w:lang w:val="en-GB"/>
        </w:rPr>
        <w:t xml:space="preserve"> </w:t>
      </w:r>
    </w:p>
    <w:p w14:paraId="3CE383C9" w14:textId="77777777" w:rsidR="00EB41E2" w:rsidRPr="0082680A" w:rsidRDefault="00EB41E2" w:rsidP="00842FD0">
      <w:pPr>
        <w:pStyle w:val="Heading4"/>
        <w:rPr>
          <w:lang w:val="en-GB"/>
        </w:rPr>
      </w:pPr>
      <w:bookmarkStart w:id="124" w:name="_sw46x0orx9x0" w:colFirst="0" w:colLast="0"/>
      <w:bookmarkStart w:id="125" w:name="_Toc3211354"/>
      <w:bookmarkEnd w:id="124"/>
      <w:r w:rsidRPr="0082680A">
        <w:rPr>
          <w:lang w:val="en-GB"/>
        </w:rPr>
        <w:t>Generating the Network</w:t>
      </w:r>
      <w:bookmarkEnd w:id="125"/>
    </w:p>
    <w:p w14:paraId="7F4393E7" w14:textId="16934848" w:rsidR="00EB41E2" w:rsidRPr="0082680A" w:rsidRDefault="00EB41E2" w:rsidP="00EB41E2">
      <w:pPr>
        <w:rPr>
          <w:lang w:val="en-GB"/>
        </w:rPr>
      </w:pPr>
      <w:r w:rsidRPr="0082680A">
        <w:rPr>
          <w:lang w:val="en-GB"/>
        </w:rPr>
        <w:t>Of the 283 DEGS, 251 successfully seeded a PPI network of 3535 nodes and 6650 edges</w:t>
      </w:r>
      <w:r w:rsidR="000E46C0">
        <w:rPr>
          <w:lang w:val="en-GB"/>
        </w:rPr>
        <w:t xml:space="preserve">. </w:t>
      </w:r>
      <w:r w:rsidRPr="0082680A">
        <w:rPr>
          <w:lang w:val="en-GB"/>
        </w:rPr>
        <w:t xml:space="preserve">Benchmark enrichment </w:t>
      </w:r>
      <w:r w:rsidR="008958EB">
        <w:rPr>
          <w:lang w:val="en-GB"/>
        </w:rPr>
        <w:t xml:space="preserve">– as described in section 2.3.1.5.1 - </w:t>
      </w:r>
      <w:r w:rsidRPr="0082680A">
        <w:rPr>
          <w:lang w:val="en-GB"/>
        </w:rPr>
        <w:t>revealed the PPI network enriched significantly for TDP-43 PPI genes</w:t>
      </w:r>
      <w:r w:rsidR="00396E1F" w:rsidRPr="0082680A">
        <w:rPr>
          <w:lang w:val="en-GB"/>
        </w:rPr>
        <w:t xml:space="preserve"> (predominantly heterogeneous nuclear ribonucleoproteins and ribosomal proteins)</w:t>
      </w:r>
      <w:r w:rsidRPr="0082680A">
        <w:rPr>
          <w:lang w:val="en-GB"/>
        </w:rPr>
        <w:t xml:space="preserve"> and TDP-43 </w:t>
      </w:r>
      <w:r w:rsidR="00396E1F" w:rsidRPr="0082680A">
        <w:rPr>
          <w:lang w:val="en-GB"/>
        </w:rPr>
        <w:t>disease</w:t>
      </w:r>
      <w:r w:rsidRPr="0082680A">
        <w:rPr>
          <w:lang w:val="en-GB"/>
        </w:rPr>
        <w:t xml:space="preserve"> genes, but not TDP-43 </w:t>
      </w:r>
      <w:r w:rsidR="005F184F" w:rsidRPr="0082680A">
        <w:rPr>
          <w:lang w:val="en-GB"/>
        </w:rPr>
        <w:t>pathology-</w:t>
      </w:r>
      <w:r w:rsidRPr="0082680A">
        <w:rPr>
          <w:lang w:val="en-GB"/>
        </w:rPr>
        <w:t xml:space="preserve">tracking genes. Out of a possible 128 </w:t>
      </w:r>
      <w:r w:rsidR="00396E1F" w:rsidRPr="0082680A">
        <w:rPr>
          <w:lang w:val="en-GB"/>
        </w:rPr>
        <w:t xml:space="preserve">disease </w:t>
      </w:r>
      <w:r w:rsidRPr="0082680A">
        <w:rPr>
          <w:lang w:val="en-GB"/>
        </w:rPr>
        <w:t xml:space="preserve">genes, 41 were present in the PPI </w:t>
      </w:r>
      <w:r w:rsidRPr="0082680A">
        <w:rPr>
          <w:lang w:val="en-GB"/>
        </w:rPr>
        <w:lastRenderedPageBreak/>
        <w:t>network</w:t>
      </w:r>
      <w:r w:rsidR="0050523A" w:rsidRPr="0082680A">
        <w:rPr>
          <w:lang w:val="en-GB"/>
        </w:rPr>
        <w:t xml:space="preserve"> </w:t>
      </w:r>
      <w:r w:rsidRPr="0082680A">
        <w:rPr>
          <w:lang w:val="en-GB"/>
        </w:rPr>
        <w:t>includ</w:t>
      </w:r>
      <w:r w:rsidR="0050523A" w:rsidRPr="0082680A">
        <w:rPr>
          <w:lang w:val="en-GB"/>
        </w:rPr>
        <w:t>ing</w:t>
      </w:r>
      <w:r w:rsidRPr="0082680A">
        <w:rPr>
          <w:lang w:val="en-GB"/>
        </w:rPr>
        <w:t xml:space="preserve"> highly neurodegeneration-associated genes</w:t>
      </w:r>
      <w:r w:rsidR="0050523A" w:rsidRPr="0082680A">
        <w:rPr>
          <w:lang w:val="en-GB"/>
        </w:rPr>
        <w:t xml:space="preserve"> </w:t>
      </w:r>
      <w:r w:rsidRPr="0082680A">
        <w:rPr>
          <w:i/>
          <w:lang w:val="en-GB"/>
        </w:rPr>
        <w:t>C9orf72</w:t>
      </w:r>
      <w:r w:rsidRPr="0082680A">
        <w:rPr>
          <w:lang w:val="en-GB"/>
        </w:rPr>
        <w:t xml:space="preserve">, </w:t>
      </w:r>
      <w:r w:rsidRPr="0082680A">
        <w:rPr>
          <w:i/>
          <w:lang w:val="en-GB"/>
        </w:rPr>
        <w:t>GRN</w:t>
      </w:r>
      <w:r w:rsidRPr="0082680A">
        <w:rPr>
          <w:lang w:val="en-GB"/>
        </w:rPr>
        <w:t xml:space="preserve">, </w:t>
      </w:r>
      <w:r w:rsidRPr="0082680A">
        <w:rPr>
          <w:i/>
          <w:lang w:val="en-GB"/>
        </w:rPr>
        <w:t>SQSTM1</w:t>
      </w:r>
      <w:r w:rsidRPr="0082680A">
        <w:rPr>
          <w:lang w:val="en-GB"/>
        </w:rPr>
        <w:t xml:space="preserve">, </w:t>
      </w:r>
      <w:r w:rsidRPr="0082680A">
        <w:rPr>
          <w:i/>
          <w:lang w:val="en-GB"/>
        </w:rPr>
        <w:t>MAPT</w:t>
      </w:r>
      <w:r w:rsidRPr="0082680A">
        <w:rPr>
          <w:lang w:val="en-GB"/>
        </w:rPr>
        <w:t xml:space="preserve">, </w:t>
      </w:r>
      <w:r w:rsidRPr="0082680A">
        <w:rPr>
          <w:i/>
          <w:lang w:val="en-GB"/>
        </w:rPr>
        <w:t>VCP</w:t>
      </w:r>
      <w:r w:rsidRPr="0082680A">
        <w:rPr>
          <w:lang w:val="en-GB"/>
        </w:rPr>
        <w:t xml:space="preserve">, </w:t>
      </w:r>
      <w:r w:rsidRPr="0082680A">
        <w:rPr>
          <w:i/>
          <w:lang w:val="en-GB"/>
        </w:rPr>
        <w:t>DCTN1</w:t>
      </w:r>
      <w:r w:rsidRPr="0082680A">
        <w:rPr>
          <w:lang w:val="en-GB"/>
        </w:rPr>
        <w:t xml:space="preserve">, </w:t>
      </w:r>
      <w:r w:rsidRPr="0082680A">
        <w:rPr>
          <w:i/>
          <w:lang w:val="en-GB"/>
        </w:rPr>
        <w:t>HTT</w:t>
      </w:r>
      <w:r w:rsidRPr="0082680A">
        <w:rPr>
          <w:lang w:val="en-GB"/>
        </w:rPr>
        <w:t xml:space="preserve">, and </w:t>
      </w:r>
      <w:r w:rsidRPr="0082680A">
        <w:rPr>
          <w:i/>
          <w:lang w:val="en-GB"/>
        </w:rPr>
        <w:t>PSEN1</w:t>
      </w:r>
      <w:r w:rsidR="0050523A" w:rsidRPr="0082680A">
        <w:rPr>
          <w:lang w:val="en-GB"/>
        </w:rPr>
        <w:t xml:space="preserve"> (Table 1</w:t>
      </w:r>
      <w:r w:rsidR="0061081A">
        <w:rPr>
          <w:lang w:val="en-GB"/>
        </w:rPr>
        <w:t>1</w:t>
      </w:r>
      <w:r w:rsidR="0050523A" w:rsidRPr="0082680A">
        <w:rPr>
          <w:lang w:val="en-GB"/>
        </w:rPr>
        <w:t>)</w:t>
      </w:r>
      <w:r w:rsidRPr="0082680A">
        <w:rPr>
          <w:lang w:val="en-GB"/>
        </w:rPr>
        <w:t>. Functional enrichment analysis of this network revealed a strong enrichment of processes involved in gene expression, the immune system and the cell cycle (</w:t>
      </w:r>
      <w:r w:rsidR="005467D0" w:rsidRPr="0082680A">
        <w:rPr>
          <w:lang w:val="en-GB"/>
        </w:rPr>
        <w:t>Table 1</w:t>
      </w:r>
      <w:r w:rsidR="0061081A">
        <w:rPr>
          <w:lang w:val="en-GB"/>
        </w:rPr>
        <w:t>2</w:t>
      </w:r>
      <w:r w:rsidR="005467D0" w:rsidRPr="0082680A">
        <w:rPr>
          <w:lang w:val="en-GB"/>
        </w:rPr>
        <w:t xml:space="preserve"> &amp; 1</w:t>
      </w:r>
      <w:r w:rsidR="0061081A">
        <w:rPr>
          <w:lang w:val="en-GB"/>
        </w:rPr>
        <w:t>3</w:t>
      </w:r>
      <w:r w:rsidR="00502947" w:rsidRPr="0082680A">
        <w:rPr>
          <w:lang w:val="en-GB"/>
        </w:rPr>
        <w:t xml:space="preserve">, </w:t>
      </w:r>
      <w:hyperlink r:id="rId67" w:history="1">
        <w:r w:rsidR="00502947" w:rsidRPr="0082680A">
          <w:rPr>
            <w:rStyle w:val="Hyperlink"/>
            <w:lang w:val="en-GB"/>
          </w:rPr>
          <w:t>http://amp.pharm.mssm.edu/Enrichr/enrich?dataset=8gl6g</w:t>
        </w:r>
      </w:hyperlink>
      <w:r w:rsidRPr="0082680A">
        <w:rPr>
          <w:lang w:val="en-GB"/>
        </w:rPr>
        <w:t>)</w:t>
      </w:r>
      <w:r w:rsidR="00502947" w:rsidRPr="0082680A">
        <w:rPr>
          <w:lang w:val="en-GB"/>
        </w:rPr>
        <w:t xml:space="preserve">. </w:t>
      </w:r>
    </w:p>
    <w:p w14:paraId="2F36035F" w14:textId="462C2F86" w:rsidR="002F40CD" w:rsidRPr="0082680A" w:rsidRDefault="002F40CD" w:rsidP="00EB41E2">
      <w:pPr>
        <w:rPr>
          <w:lang w:val="en-GB"/>
        </w:rPr>
      </w:pPr>
    </w:p>
    <w:p w14:paraId="4342028B" w14:textId="77777777" w:rsidR="002F40CD" w:rsidRPr="0082680A" w:rsidRDefault="002F40CD" w:rsidP="002F40CD">
      <w:pPr>
        <w:pStyle w:val="NoSpacing"/>
        <w:rPr>
          <w:lang w:val="en-GB"/>
        </w:rPr>
      </w:pPr>
      <w:r w:rsidRPr="0082680A">
        <w:rPr>
          <w:noProof/>
          <w:lang w:val="en-GB"/>
        </w:rPr>
        <w:drawing>
          <wp:inline distT="0" distB="0" distL="0" distR="0" wp14:anchorId="480F67EE" wp14:editId="4223763B">
            <wp:extent cx="5017439" cy="3096883"/>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DP_PPI_BenchmarkEnrichments.pdf"/>
                    <pic:cNvPicPr/>
                  </pic:nvPicPr>
                  <pic:blipFill rotWithShape="1">
                    <a:blip r:embed="rId68">
                      <a:extLst>
                        <a:ext uri="{28A0092B-C50C-407E-A947-70E740481C1C}">
                          <a14:useLocalDpi xmlns:a14="http://schemas.microsoft.com/office/drawing/2010/main" val="0"/>
                        </a:ext>
                      </a:extLst>
                    </a:blip>
                    <a:srcRect b="9121"/>
                    <a:stretch/>
                  </pic:blipFill>
                  <pic:spPr bwMode="auto">
                    <a:xfrm>
                      <a:off x="0" y="0"/>
                      <a:ext cx="5038552" cy="3109915"/>
                    </a:xfrm>
                    <a:prstGeom prst="rect">
                      <a:avLst/>
                    </a:prstGeom>
                    <a:ln>
                      <a:noFill/>
                    </a:ln>
                    <a:extLst>
                      <a:ext uri="{53640926-AAD7-44D8-BBD7-CCE9431645EC}">
                        <a14:shadowObscured xmlns:a14="http://schemas.microsoft.com/office/drawing/2010/main"/>
                      </a:ext>
                    </a:extLst>
                  </pic:spPr>
                </pic:pic>
              </a:graphicData>
            </a:graphic>
          </wp:inline>
        </w:drawing>
      </w:r>
    </w:p>
    <w:p w14:paraId="2828039E" w14:textId="00535CDA" w:rsidR="002F40CD" w:rsidRPr="0082680A" w:rsidRDefault="002F40CD" w:rsidP="002F40CD">
      <w:pPr>
        <w:pStyle w:val="Caption"/>
        <w:rPr>
          <w:b w:val="0"/>
          <w:lang w:val="en-GB"/>
        </w:rPr>
      </w:pPr>
      <w:bookmarkStart w:id="126" w:name="_Toc3225925"/>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11</w:t>
      </w:r>
      <w:r w:rsidR="00483095">
        <w:rPr>
          <w:lang w:val="en-GB"/>
        </w:rPr>
        <w:fldChar w:fldCharType="end"/>
      </w:r>
      <w:r w:rsidRPr="0082680A">
        <w:rPr>
          <w:lang w:val="en-GB"/>
        </w:rPr>
        <w:t xml:space="preserve">: </w:t>
      </w:r>
      <w:r w:rsidRPr="0082680A">
        <w:rPr>
          <w:b w:val="0"/>
          <w:lang w:val="en-GB"/>
        </w:rPr>
        <w:t>Results of enrichment analysis for overlap between curated TDP-43-associated genes’ proteins and the PPI network proteins</w:t>
      </w:r>
      <w:bookmarkEnd w:id="126"/>
    </w:p>
    <w:p w14:paraId="00A441EA" w14:textId="77777777" w:rsidR="002F40CD" w:rsidRPr="0082680A" w:rsidRDefault="002F40CD">
      <w:pPr>
        <w:rPr>
          <w:iCs/>
          <w:color w:val="000000" w:themeColor="text1"/>
          <w:sz w:val="20"/>
          <w:szCs w:val="18"/>
          <w:lang w:val="en-GB"/>
        </w:rPr>
      </w:pPr>
      <w:r w:rsidRPr="0082680A">
        <w:rPr>
          <w:b/>
          <w:lang w:val="en-GB"/>
        </w:rPr>
        <w:br w:type="page"/>
      </w:r>
    </w:p>
    <w:p w14:paraId="70DF98EC" w14:textId="77777777" w:rsidR="00536269" w:rsidRPr="0082680A" w:rsidRDefault="002F40CD" w:rsidP="00536269">
      <w:pPr>
        <w:pStyle w:val="Caption"/>
        <w:keepNext/>
        <w:rPr>
          <w:lang w:val="en-GB"/>
        </w:rPr>
      </w:pPr>
      <w:r w:rsidRPr="0082680A">
        <w:rPr>
          <w:b w:val="0"/>
          <w:noProof/>
          <w:lang w:val="en-GB"/>
        </w:rPr>
        <w:lastRenderedPageBreak/>
        <w:drawing>
          <wp:inline distT="0" distB="0" distL="0" distR="0" wp14:anchorId="3499B803" wp14:editId="6D294CE0">
            <wp:extent cx="5002509" cy="3729317"/>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DP_PPI_KWREnrichment.pdf"/>
                    <pic:cNvPicPr/>
                  </pic:nvPicPr>
                  <pic:blipFill rotWithShape="1">
                    <a:blip r:embed="rId69">
                      <a:extLst>
                        <a:ext uri="{28A0092B-C50C-407E-A947-70E740481C1C}">
                          <a14:useLocalDpi xmlns:a14="http://schemas.microsoft.com/office/drawing/2010/main" val="0"/>
                        </a:ext>
                      </a:extLst>
                    </a:blip>
                    <a:srcRect b="-1084"/>
                    <a:stretch/>
                  </pic:blipFill>
                  <pic:spPr bwMode="auto">
                    <a:xfrm>
                      <a:off x="0" y="0"/>
                      <a:ext cx="5013912" cy="3737818"/>
                    </a:xfrm>
                    <a:prstGeom prst="rect">
                      <a:avLst/>
                    </a:prstGeom>
                    <a:ln>
                      <a:noFill/>
                    </a:ln>
                    <a:extLst>
                      <a:ext uri="{53640926-AAD7-44D8-BBD7-CCE9431645EC}">
                        <a14:shadowObscured xmlns:a14="http://schemas.microsoft.com/office/drawing/2010/main"/>
                      </a:ext>
                    </a:extLst>
                  </pic:spPr>
                </pic:pic>
              </a:graphicData>
            </a:graphic>
          </wp:inline>
        </w:drawing>
      </w:r>
    </w:p>
    <w:p w14:paraId="7D0963E6" w14:textId="65281792" w:rsidR="002F40CD" w:rsidRPr="0082680A" w:rsidRDefault="00536269" w:rsidP="00536269">
      <w:pPr>
        <w:pStyle w:val="Caption"/>
        <w:rPr>
          <w:b w:val="0"/>
          <w:lang w:val="en-GB"/>
        </w:rPr>
      </w:pPr>
      <w:bookmarkStart w:id="127" w:name="_Toc3225926"/>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12</w:t>
      </w:r>
      <w:r w:rsidR="00483095">
        <w:rPr>
          <w:lang w:val="en-GB"/>
        </w:rPr>
        <w:fldChar w:fldCharType="end"/>
      </w:r>
      <w:r w:rsidRPr="0082680A">
        <w:rPr>
          <w:lang w:val="en-GB"/>
        </w:rPr>
        <w:t>:</w:t>
      </w:r>
      <w:r w:rsidRPr="0082680A">
        <w:rPr>
          <w:b w:val="0"/>
          <w:lang w:val="en-GB"/>
        </w:rPr>
        <w:t xml:space="preserve"> Top 10 enriched pathways in KEGG, Wikipathways, and Reactome databases for </w:t>
      </w:r>
      <w:r w:rsidR="0083316D" w:rsidRPr="0082680A">
        <w:rPr>
          <w:b w:val="0"/>
          <w:lang w:val="en-GB"/>
        </w:rPr>
        <w:t xml:space="preserve">TDP-43 </w:t>
      </w:r>
      <w:r w:rsidRPr="0082680A">
        <w:rPr>
          <w:b w:val="0"/>
          <w:lang w:val="en-GB"/>
        </w:rPr>
        <w:t>protein interaction network</w:t>
      </w:r>
      <w:r w:rsidR="00D8751A">
        <w:rPr>
          <w:b w:val="0"/>
          <w:lang w:val="en-GB"/>
        </w:rPr>
        <w:t>. P-Values are adjusted.</w:t>
      </w:r>
      <w:bookmarkEnd w:id="127"/>
    </w:p>
    <w:p w14:paraId="004B42BE" w14:textId="77777777" w:rsidR="00786F2D" w:rsidRPr="0082680A" w:rsidRDefault="00786F2D" w:rsidP="00786F2D">
      <w:pPr>
        <w:rPr>
          <w:lang w:val="en-GB"/>
        </w:rPr>
      </w:pPr>
    </w:p>
    <w:p w14:paraId="047FBDF5" w14:textId="77777777" w:rsidR="00786F2D" w:rsidRPr="0082680A" w:rsidRDefault="00786F2D" w:rsidP="00786F2D">
      <w:pPr>
        <w:pStyle w:val="NoSpacing"/>
        <w:rPr>
          <w:lang w:val="en-GB"/>
        </w:rPr>
      </w:pPr>
      <w:r w:rsidRPr="0082680A">
        <w:rPr>
          <w:noProof/>
          <w:lang w:val="en-GB"/>
        </w:rPr>
        <w:drawing>
          <wp:inline distT="0" distB="0" distL="0" distR="0" wp14:anchorId="7338C7A6" wp14:editId="42B95347">
            <wp:extent cx="5039360" cy="3716528"/>
            <wp:effectExtent l="0" t="0" r="254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DP_PPI_GOEnrichment.pdf"/>
                    <pic:cNvPicPr/>
                  </pic:nvPicPr>
                  <pic:blipFill>
                    <a:blip r:embed="rId70">
                      <a:extLst>
                        <a:ext uri="{28A0092B-C50C-407E-A947-70E740481C1C}">
                          <a14:useLocalDpi xmlns:a14="http://schemas.microsoft.com/office/drawing/2010/main" val="0"/>
                        </a:ext>
                      </a:extLst>
                    </a:blip>
                    <a:stretch>
                      <a:fillRect/>
                    </a:stretch>
                  </pic:blipFill>
                  <pic:spPr>
                    <a:xfrm>
                      <a:off x="0" y="0"/>
                      <a:ext cx="5039360" cy="3716528"/>
                    </a:xfrm>
                    <a:prstGeom prst="rect">
                      <a:avLst/>
                    </a:prstGeom>
                  </pic:spPr>
                </pic:pic>
              </a:graphicData>
            </a:graphic>
          </wp:inline>
        </w:drawing>
      </w:r>
    </w:p>
    <w:p w14:paraId="329264F3" w14:textId="0F9D5DDA" w:rsidR="00786F2D" w:rsidRPr="0082680A" w:rsidRDefault="00786F2D" w:rsidP="00786F2D">
      <w:pPr>
        <w:pStyle w:val="Caption"/>
        <w:rPr>
          <w:lang w:val="en-GB"/>
        </w:rPr>
      </w:pPr>
      <w:bookmarkStart w:id="128" w:name="_Toc3225927"/>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13</w:t>
      </w:r>
      <w:r w:rsidR="00483095">
        <w:rPr>
          <w:lang w:val="en-GB"/>
        </w:rPr>
        <w:fldChar w:fldCharType="end"/>
      </w:r>
      <w:r w:rsidRPr="0082680A">
        <w:rPr>
          <w:b w:val="0"/>
          <w:lang w:val="en-GB"/>
        </w:rPr>
        <w:t xml:space="preserve">: Top 10 enriched </w:t>
      </w:r>
      <w:r w:rsidR="00BC315B" w:rsidRPr="0082680A">
        <w:rPr>
          <w:b w:val="0"/>
          <w:lang w:val="en-GB"/>
        </w:rPr>
        <w:t>terms</w:t>
      </w:r>
      <w:r w:rsidRPr="0082680A">
        <w:rPr>
          <w:b w:val="0"/>
          <w:lang w:val="en-GB"/>
        </w:rPr>
        <w:t xml:space="preserve"> in GO for </w:t>
      </w:r>
      <w:r w:rsidR="0083316D" w:rsidRPr="0082680A">
        <w:rPr>
          <w:b w:val="0"/>
          <w:lang w:val="en-GB"/>
        </w:rPr>
        <w:t xml:space="preserve">TDP-43 </w:t>
      </w:r>
      <w:r w:rsidRPr="0082680A">
        <w:rPr>
          <w:b w:val="0"/>
          <w:lang w:val="en-GB"/>
        </w:rPr>
        <w:t>protein interaction network</w:t>
      </w:r>
      <w:r w:rsidR="00D8751A">
        <w:rPr>
          <w:b w:val="0"/>
          <w:lang w:val="en-GB"/>
        </w:rPr>
        <w:t>. P Values are adjusted</w:t>
      </w:r>
      <w:bookmarkEnd w:id="128"/>
    </w:p>
    <w:p w14:paraId="06F5EAD0" w14:textId="624C1D22" w:rsidR="002F40CD" w:rsidRPr="0082680A" w:rsidRDefault="005467D0" w:rsidP="002F40CD">
      <w:pPr>
        <w:rPr>
          <w:iCs/>
          <w:color w:val="000000" w:themeColor="text1"/>
          <w:sz w:val="20"/>
          <w:szCs w:val="18"/>
          <w:lang w:val="en-GB"/>
        </w:rPr>
      </w:pPr>
      <w:r w:rsidRPr="0082680A">
        <w:rPr>
          <w:b/>
          <w:lang w:val="en-GB"/>
        </w:rPr>
        <w:br w:type="page"/>
      </w:r>
    </w:p>
    <w:p w14:paraId="5E8DF59C" w14:textId="77777777" w:rsidR="00EB41E2" w:rsidRPr="0082680A" w:rsidRDefault="00EB41E2" w:rsidP="00842FD0">
      <w:pPr>
        <w:pStyle w:val="Heading4"/>
        <w:rPr>
          <w:lang w:val="en-GB"/>
        </w:rPr>
      </w:pPr>
      <w:bookmarkStart w:id="129" w:name="_v44zgoamxzvl" w:colFirst="0" w:colLast="0"/>
      <w:bookmarkStart w:id="130" w:name="_Toc3211355"/>
      <w:bookmarkEnd w:id="129"/>
      <w:r w:rsidRPr="0082680A">
        <w:rPr>
          <w:lang w:val="en-GB"/>
        </w:rPr>
        <w:lastRenderedPageBreak/>
        <w:t>Summary</w:t>
      </w:r>
      <w:bookmarkEnd w:id="130"/>
    </w:p>
    <w:p w14:paraId="071442B5" w14:textId="7AE3A1EE" w:rsidR="00EB41E2" w:rsidRPr="0082680A" w:rsidRDefault="00EB41E2" w:rsidP="00EB41E2">
      <w:pPr>
        <w:rPr>
          <w:lang w:val="en-GB"/>
        </w:rPr>
      </w:pPr>
      <w:r w:rsidRPr="0082680A">
        <w:rPr>
          <w:lang w:val="en-GB"/>
        </w:rPr>
        <w:t>Expansion of the common DEG</w:t>
      </w:r>
      <w:r w:rsidR="008726F8" w:rsidRPr="0082680A">
        <w:rPr>
          <w:lang w:val="en-GB"/>
        </w:rPr>
        <w:t>s</w:t>
      </w:r>
      <w:r w:rsidRPr="0082680A">
        <w:rPr>
          <w:lang w:val="en-GB"/>
        </w:rPr>
        <w:t xml:space="preserve"> into a functional network could have been approached in a number of ways, however it was decided that a protein-interaction network</w:t>
      </w:r>
      <w:r w:rsidR="00C95624" w:rsidRPr="0082680A">
        <w:rPr>
          <w:lang w:val="en-GB"/>
        </w:rPr>
        <w:t xml:space="preserve"> represented the optimal tissue </w:t>
      </w:r>
      <w:r w:rsidR="00452509" w:rsidRPr="0082680A">
        <w:rPr>
          <w:lang w:val="en-GB"/>
        </w:rPr>
        <w:t>non-specific</w:t>
      </w:r>
      <w:r w:rsidRPr="0082680A">
        <w:rPr>
          <w:lang w:val="en-GB"/>
        </w:rPr>
        <w:t xml:space="preserve"> approach. Protein interaction has its downsides, however; a protein interaction network by its nature will only reflect the products of protein-coding genes. Non-protein coding genes such as RNA-coding genes and pseudogenes are removed at this </w:t>
      </w:r>
      <w:r w:rsidR="00C95624" w:rsidRPr="0082680A">
        <w:rPr>
          <w:lang w:val="en-GB"/>
        </w:rPr>
        <w:t>point and</w:t>
      </w:r>
      <w:r w:rsidRPr="0082680A">
        <w:rPr>
          <w:lang w:val="en-GB"/>
        </w:rPr>
        <w:t xml:space="preserve"> may reflect a loss of regulatory features of the signal. Only a small number of common DEGs were lost at this stage, however, and the value provided by the proteome was considered greater than the loss of these genes. </w:t>
      </w:r>
      <w:r w:rsidR="00396E1F" w:rsidRPr="0082680A">
        <w:rPr>
          <w:lang w:val="en-GB"/>
        </w:rPr>
        <w:t>Another criticism of p</w:t>
      </w:r>
      <w:r w:rsidRPr="0082680A">
        <w:rPr>
          <w:lang w:val="en-GB"/>
        </w:rPr>
        <w:t xml:space="preserve">rotein </w:t>
      </w:r>
      <w:r w:rsidR="00396E1F" w:rsidRPr="0082680A">
        <w:rPr>
          <w:lang w:val="en-GB"/>
        </w:rPr>
        <w:t>interaction is its reliability</w:t>
      </w:r>
      <w:r w:rsidRPr="0082680A">
        <w:rPr>
          <w:lang w:val="en-GB"/>
        </w:rPr>
        <w:t xml:space="preserve">; many protein interaction relationships are predicted computationally, or the result of lab experiments in which both non-specific and failure of binding is possible. Subsequently, protein interaction is often criticised for producing a high rate of false positives </w:t>
      </w:r>
      <w:r w:rsidR="00EE6827" w:rsidRPr="0082680A">
        <w:rPr>
          <w:lang w:val="en-GB"/>
        </w:rPr>
        <w:fldChar w:fldCharType="begin" w:fldLock="1"/>
      </w:r>
      <w:r w:rsidR="000507BA">
        <w:rPr>
          <w:lang w:val="en-GB"/>
        </w:rPr>
        <w:instrText>ADDIN CSL_CITATION {"citationItems":[{"id":"ITEM-1","itemData":{"DOI":"10.1016/j.sbi.2004.05.003","abstract":"Protein interaction networks summarize large amounts of protein-protein interaction data, both from individual, small-scale experiments and from automated high-throughput screens. The past year has seen a flood of new experimental data, especially on metazoans, as well as an increasing number of analyses designed to reveal aspects of network topology, modularity and evolution. As only minimal progress has been made in mapping the human proteome using high-throughput screens, the transfer of interaction information within and across species has become increasingly important. With more and more heterogeneous raw data becoming available, proper data integration and quality control have become essential for reliable protein network reconstruction, and will be especially important for reconstructing the human protein interaction network.","author":[{"dropping-particle":"","family":"Bork","given":"Peer","non-dropping-particle":"","parse-names":false,"suffix":""},{"dropping-particle":"","family":"Jensen","given":"Lars J","non-dropping-particle":"","parse-names":false,"suffix":""},{"dropping-particle":"","family":"Mering","given":"Christian","non-dropping-particle":"Von","parse-names":false,"suffix":""},{"dropping-particle":"","family":"Ramani","given":"Arun K","non-dropping-particle":"","parse-names":false,"suffix":""},{"dropping-particle":"","family":"Lee","given":"Insuk","non-dropping-particle":"","parse-names":false,"suffix":""},{"dropping-particle":"","family":"Marcotte","given":"Edward M","non-dropping-particle":"","parse-names":false,"suffix":""}],"container-title":"Current Opinion in Structural Biology","id":"ITEM-1","issued":{"date-parts":[["2004"]]},"page":"292-299","title":"Protein interaction networks from yeast to human This review comes from a themed issue on Sequences and topology Edited by Peer Bork and Christine A Orengo","type":"article-journal","volume":"14"},"uris":["http://www.mendeley.com/documents/?uuid=e6774144-9e0f-35ce-bc14-6fd66d496738"]},{"id":"ITEM-2","itemData":{"ISSN":"0168-9525","PMID":"12350343","abstract":"Currently, there is a major effort to map protein-protein interactions on a genome-wide scale. The utility of the resulting interaction networks will depend on the reliability of the experimental methods and the coverage of the approaches. Known macromolecular complexes provide a defined and objective set of protein interactions with which to compare biochemical and genetic data for validation. Here, we show that a significant fraction of the protein-protein interactions in genome-wide datasets, as well as many of the individual interactions reported in the literature, are inconsistent with the known 3D structures of three recent complexes (RNA polymerase II, Arp2/3 and the proteasome). Furthermore, comparison among genome-wide datasets, and between them and a larger (but less well resolved) group of 174 complexes, also shows marked inconsistencies. Finally, individual interaction datasets, being inherently noisy, are best used when integrated together, and we show how simple Bayesian approaches can combine them, significantly decreasing error rate.","author":[{"dropping-particle":"","family":"Edwards","given":"Aled M","non-dropping-particle":"","parse-names":false,"suffix":""},{"dropping-particle":"","family":"Kus","given":"Bart","non-dropping-particle":"","parse-names":false,"suffix":""},{"dropping-particle":"","family":"Jansen","given":"Ronald","non-dropping-particle":"","parse-names":false,"suffix":""},{"dropping-particle":"","family":"Greenbaum","given":"Dov","non-dropping-particle":"","parse-names":false,"suffix":""},{"dropping-particle":"","family":"Greenblatt","given":"Jack","non-dropping-particle":"","parse-names":false,"suffix":""},{"dropping-particle":"","family":"Gerstein","given":"Mark","non-dropping-particle":"","parse-names":false,"suffix":""}],"container-title":"Trends in genetics : TIG","id":"ITEM-2","issue":"10","issued":{"date-parts":[["2002","10"]]},"page":"529-36","title":"Bridging structural biology and genomics: assessing protein interaction data with known complexes.","type":"article-journal","volume":"18"},"uris":["http://www.mendeley.com/documents/?uuid=3d1317cb-d93d-3fa2-a7e4-90f569e6ccbb"]}],"mendeley":{"formattedCitation":"&lt;sup&gt;167,168&lt;/sup&gt;","plainTextFormattedCitation":"167,168","previouslyFormattedCitation":"&lt;sup&gt;167,168&lt;/sup&gt;"},"properties":{"noteIndex":0},"schema":"https://github.com/citation-style-language/schema/raw/master/csl-citation.json"}</w:instrText>
      </w:r>
      <w:r w:rsidR="00EE6827" w:rsidRPr="0082680A">
        <w:rPr>
          <w:lang w:val="en-GB"/>
        </w:rPr>
        <w:fldChar w:fldCharType="separate"/>
      </w:r>
      <w:r w:rsidR="00426B19" w:rsidRPr="00426B19">
        <w:rPr>
          <w:noProof/>
          <w:vertAlign w:val="superscript"/>
          <w:lang w:val="en-GB"/>
        </w:rPr>
        <w:t>167,168</w:t>
      </w:r>
      <w:r w:rsidR="00EE6827" w:rsidRPr="0082680A">
        <w:rPr>
          <w:lang w:val="en-GB"/>
        </w:rPr>
        <w:fldChar w:fldCharType="end"/>
      </w:r>
      <w:r w:rsidRPr="0082680A">
        <w:rPr>
          <w:lang w:val="en-GB"/>
        </w:rPr>
        <w:t>. Despite this criticism, IrefIndex uses nine sources of information to support the existence of each protein interaction edge, providing a higher level of confidence than any single source.</w:t>
      </w:r>
    </w:p>
    <w:p w14:paraId="31350C7A" w14:textId="5B2C6FC6" w:rsidR="00396E1F" w:rsidRPr="0082680A" w:rsidRDefault="00396E1F" w:rsidP="00EB41E2">
      <w:pPr>
        <w:rPr>
          <w:lang w:val="en-GB"/>
        </w:rPr>
      </w:pPr>
    </w:p>
    <w:p w14:paraId="52C8D565" w14:textId="2C084010" w:rsidR="00396E1F" w:rsidRPr="0082680A" w:rsidRDefault="00396E1F" w:rsidP="00EB41E2">
      <w:pPr>
        <w:rPr>
          <w:lang w:val="en-GB"/>
        </w:rPr>
      </w:pPr>
      <w:r w:rsidRPr="0082680A">
        <w:rPr>
          <w:lang w:val="en-GB"/>
        </w:rPr>
        <w:t>The functional enrichments at this stage were promising, but when the size of the input gene list is considered, the significance cannot be taken at face value. The most significantly enriched pathways are quite generic (notice the enrichment of the Reactome pathway “Disease”) suggesting that pathway enrichment with an input gene list of this size is less useful at this stage. Benchmark gene list enrichment, however, is slightly more revealing as there was not consistent enrichment across the board. Overall, the most revealing enrichment analyses is likely to be later on, during the module generation stage.</w:t>
      </w:r>
    </w:p>
    <w:p w14:paraId="552629A4" w14:textId="77777777" w:rsidR="00EE6827" w:rsidRPr="0082680A" w:rsidRDefault="00EE6827" w:rsidP="00EB41E2">
      <w:pPr>
        <w:rPr>
          <w:lang w:val="en-GB"/>
        </w:rPr>
      </w:pPr>
    </w:p>
    <w:p w14:paraId="24CBB33C" w14:textId="6AEBDAC4" w:rsidR="00EB41E2" w:rsidRPr="0082680A" w:rsidRDefault="00396E1F" w:rsidP="00EB41E2">
      <w:pPr>
        <w:rPr>
          <w:lang w:val="en-GB"/>
        </w:rPr>
      </w:pPr>
      <w:r w:rsidRPr="0082680A">
        <w:rPr>
          <w:lang w:val="en-GB"/>
        </w:rPr>
        <w:t>The size of our protein interaction network -</w:t>
      </w:r>
      <w:r w:rsidR="00EB41E2" w:rsidRPr="0082680A">
        <w:rPr>
          <w:lang w:val="en-GB"/>
        </w:rPr>
        <w:t xml:space="preserve"> over three-and-a-half thousand</w:t>
      </w:r>
      <w:r w:rsidRPr="0082680A">
        <w:rPr>
          <w:lang w:val="en-GB"/>
        </w:rPr>
        <w:t xml:space="preserve"> proteins – was larger than expected and raises questions about its specificity to the phenotype</w:t>
      </w:r>
      <w:r w:rsidR="00EB41E2" w:rsidRPr="0082680A">
        <w:rPr>
          <w:lang w:val="en-GB"/>
        </w:rPr>
        <w:t xml:space="preserve">. However, according to proteomic databases such as </w:t>
      </w:r>
      <w:r w:rsidR="00EE6827" w:rsidRPr="0082680A">
        <w:rPr>
          <w:lang w:val="en-GB"/>
        </w:rPr>
        <w:t>UniProt</w:t>
      </w:r>
      <w:r w:rsidR="00EB41E2" w:rsidRPr="0082680A">
        <w:rPr>
          <w:lang w:val="en-GB"/>
        </w:rPr>
        <w:t xml:space="preserve"> and The Human Proteome Map, the number of reported proteins in the human body is likely to be somewhere between 30,000 and 44,000 proteins, leaving our network representative of somewhere between 8-11% of the whole human proteome. </w:t>
      </w:r>
      <w:r w:rsidRPr="0082680A">
        <w:rPr>
          <w:lang w:val="en-GB"/>
        </w:rPr>
        <w:t>Despite the size of the protein interaction network and c</w:t>
      </w:r>
      <w:r w:rsidR="00EB41E2" w:rsidRPr="0082680A">
        <w:rPr>
          <w:lang w:val="en-GB"/>
        </w:rPr>
        <w:t xml:space="preserve">onsidering our </w:t>
      </w:r>
      <w:r w:rsidRPr="0082680A">
        <w:rPr>
          <w:lang w:val="en-GB"/>
        </w:rPr>
        <w:t>intention to</w:t>
      </w:r>
      <w:r w:rsidR="00EB41E2" w:rsidRPr="0082680A">
        <w:rPr>
          <w:lang w:val="en-GB"/>
        </w:rPr>
        <w:t xml:space="preserve"> isolate a sub-module of this network, we </w:t>
      </w:r>
      <w:r w:rsidRPr="0082680A">
        <w:rPr>
          <w:lang w:val="en-GB"/>
        </w:rPr>
        <w:t>concluded</w:t>
      </w:r>
      <w:r w:rsidR="00EB41E2" w:rsidRPr="0082680A">
        <w:rPr>
          <w:lang w:val="en-GB"/>
        </w:rPr>
        <w:t xml:space="preserve"> it was </w:t>
      </w:r>
      <w:r w:rsidRPr="0082680A">
        <w:rPr>
          <w:lang w:val="en-GB"/>
        </w:rPr>
        <w:t>acceptable</w:t>
      </w:r>
      <w:r w:rsidR="00EB41E2" w:rsidRPr="0082680A">
        <w:rPr>
          <w:lang w:val="en-GB"/>
        </w:rPr>
        <w:t xml:space="preserve"> to cast a wide net at this particular stage in development, to allow for significant reduction later on.</w:t>
      </w:r>
      <w:bookmarkStart w:id="131" w:name="_2ipnrgiiny4n" w:colFirst="0" w:colLast="0"/>
      <w:bookmarkEnd w:id="131"/>
      <w:r w:rsidR="00EB41E2" w:rsidRPr="0082680A">
        <w:rPr>
          <w:lang w:val="en-GB"/>
        </w:rPr>
        <w:br w:type="page"/>
      </w:r>
    </w:p>
    <w:p w14:paraId="35A7D0A0" w14:textId="77777777" w:rsidR="00EB41E2" w:rsidRPr="00691215" w:rsidRDefault="00EB41E2" w:rsidP="00691215">
      <w:pPr>
        <w:pStyle w:val="Heading3"/>
      </w:pPr>
      <w:bookmarkStart w:id="132" w:name="_r2va6wt5ruyy" w:colFirst="0" w:colLast="0"/>
      <w:bookmarkStart w:id="133" w:name="_Toc3211356"/>
      <w:bookmarkEnd w:id="132"/>
      <w:r w:rsidRPr="00691215">
        <w:lastRenderedPageBreak/>
        <w:t>Common Coexpression Module Generation</w:t>
      </w:r>
      <w:bookmarkEnd w:id="133"/>
    </w:p>
    <w:p w14:paraId="01FB5D13" w14:textId="6F0C3F05" w:rsidR="00EB41E2" w:rsidRPr="0082680A" w:rsidRDefault="00EB41E2" w:rsidP="00EB41E2">
      <w:pPr>
        <w:rPr>
          <w:lang w:val="en-GB"/>
        </w:rPr>
      </w:pPr>
      <w:r w:rsidRPr="0082680A">
        <w:rPr>
          <w:lang w:val="en-GB"/>
        </w:rPr>
        <w:t xml:space="preserve">The combination of multiple data-types has already been discussed as an effective method to increase the biological validity of a network. </w:t>
      </w:r>
      <w:r w:rsidR="00396E1F" w:rsidRPr="0082680A">
        <w:rPr>
          <w:lang w:val="en-GB"/>
        </w:rPr>
        <w:t>The role of protein</w:t>
      </w:r>
      <w:r w:rsidRPr="0082680A">
        <w:rPr>
          <w:lang w:val="en-GB"/>
        </w:rPr>
        <w:t xml:space="preserve"> interaction </w:t>
      </w:r>
      <w:r w:rsidR="00396E1F" w:rsidRPr="0082680A">
        <w:rPr>
          <w:lang w:val="en-GB"/>
        </w:rPr>
        <w:t>was to</w:t>
      </w:r>
      <w:r w:rsidRPr="0082680A">
        <w:rPr>
          <w:lang w:val="en-GB"/>
        </w:rPr>
        <w:t xml:space="preserve"> provid</w:t>
      </w:r>
      <w:r w:rsidR="00396E1F" w:rsidRPr="0082680A">
        <w:rPr>
          <w:lang w:val="en-GB"/>
        </w:rPr>
        <w:t>e</w:t>
      </w:r>
      <w:r w:rsidRPr="0082680A">
        <w:rPr>
          <w:lang w:val="en-GB"/>
        </w:rPr>
        <w:t xml:space="preserve"> a </w:t>
      </w:r>
      <w:r w:rsidR="00396E1F" w:rsidRPr="0082680A">
        <w:rPr>
          <w:lang w:val="en-GB"/>
        </w:rPr>
        <w:t xml:space="preserve">canonical </w:t>
      </w:r>
      <w:proofErr w:type="gramStart"/>
      <w:r w:rsidRPr="0082680A">
        <w:rPr>
          <w:lang w:val="en-GB"/>
        </w:rPr>
        <w:t>framework,</w:t>
      </w:r>
      <w:proofErr w:type="gramEnd"/>
      <w:r w:rsidRPr="0082680A">
        <w:rPr>
          <w:lang w:val="en-GB"/>
        </w:rPr>
        <w:t xml:space="preserve"> </w:t>
      </w:r>
      <w:r w:rsidR="00396E1F" w:rsidRPr="0082680A">
        <w:rPr>
          <w:lang w:val="en-GB"/>
        </w:rPr>
        <w:t xml:space="preserve">however it cannot truly represent the disease as it does not possess disease-specific data. Although </w:t>
      </w:r>
      <w:r w:rsidRPr="0082680A">
        <w:rPr>
          <w:lang w:val="en-GB"/>
        </w:rPr>
        <w:t>coexpression was inappropriate for expanding the functional space</w:t>
      </w:r>
      <w:r w:rsidR="00396E1F" w:rsidRPr="0082680A">
        <w:rPr>
          <w:lang w:val="en-GB"/>
        </w:rPr>
        <w:t>,</w:t>
      </w:r>
      <w:r w:rsidRPr="0082680A">
        <w:rPr>
          <w:lang w:val="en-GB"/>
        </w:rPr>
        <w:t xml:space="preserve"> </w:t>
      </w:r>
      <w:r w:rsidR="00396E1F" w:rsidRPr="0082680A">
        <w:rPr>
          <w:lang w:val="en-GB"/>
        </w:rPr>
        <w:t>n</w:t>
      </w:r>
      <w:r w:rsidRPr="0082680A">
        <w:rPr>
          <w:lang w:val="en-GB"/>
        </w:rPr>
        <w:t xml:space="preserve">ow that such a space has already been defined, coexpression represents a powerful means to represent our signature in the context of patient data. </w:t>
      </w:r>
    </w:p>
    <w:p w14:paraId="232E584D" w14:textId="77777777" w:rsidR="00EB41E2" w:rsidRPr="0082680A" w:rsidRDefault="00EB41E2" w:rsidP="00842FD0">
      <w:pPr>
        <w:pStyle w:val="Heading4"/>
        <w:rPr>
          <w:lang w:val="en-GB"/>
        </w:rPr>
      </w:pPr>
      <w:bookmarkStart w:id="134" w:name="_krugfdpngacn" w:colFirst="0" w:colLast="0"/>
      <w:bookmarkStart w:id="135" w:name="_Toc3211357"/>
      <w:bookmarkEnd w:id="134"/>
      <w:r w:rsidRPr="0082680A">
        <w:rPr>
          <w:lang w:val="en-GB"/>
        </w:rPr>
        <w:t>Selection of a Module Generation Methodology</w:t>
      </w:r>
      <w:bookmarkEnd w:id="135"/>
    </w:p>
    <w:p w14:paraId="43FE56DE" w14:textId="505E4F21" w:rsidR="00EB41E2" w:rsidRPr="0082680A" w:rsidRDefault="00EB41E2" w:rsidP="00EB41E2">
      <w:pPr>
        <w:rPr>
          <w:lang w:val="en-GB"/>
        </w:rPr>
      </w:pPr>
      <w:r w:rsidRPr="0082680A">
        <w:rPr>
          <w:lang w:val="en-GB"/>
        </w:rPr>
        <w:t xml:space="preserve">The goal of this pipeline is to isolate a single, tightly inter-related, functionally coherent network module that can be assessed for potential upstream targets of TDP-43 dysfunction. A number of module-generation methodologies have been discussed in the Introduction. These methods, however, were not considered appropriate for this methodological pipeline, for three reasons. Firstly, many module generation methodologies require the user to decide the number of modules desired in the output, introducing experimenter bias, and impacting on this approach as a data-driven methodology. Secondly, most algorithms for module generation have been built upon the assumption of a minimum number of samples. For WGCNA, for example, this is fifteen. As three of the </w:t>
      </w:r>
      <w:r w:rsidR="00396E1F" w:rsidRPr="0082680A">
        <w:rPr>
          <w:lang w:val="en-GB"/>
        </w:rPr>
        <w:t>six</w:t>
      </w:r>
      <w:r w:rsidRPr="0082680A">
        <w:rPr>
          <w:lang w:val="en-GB"/>
        </w:rPr>
        <w:t xml:space="preserve"> TDP-43 datasets are below this number, a WGCNA approach would be severely underpowered. Finally, most module generation methodologies are also built under the assumption that a single dataset will be analysed. Many do not have the capability of conducting a </w:t>
      </w:r>
      <w:r w:rsidR="00F00FDB" w:rsidRPr="0082680A">
        <w:rPr>
          <w:lang w:val="en-GB"/>
        </w:rPr>
        <w:t>meta-analysis</w:t>
      </w:r>
      <w:r w:rsidRPr="0082680A">
        <w:rPr>
          <w:lang w:val="en-GB"/>
        </w:rPr>
        <w:t xml:space="preserve"> of multiple datasets in search for a conserved coexpression module, and certainly not for datasets from different platforms. </w:t>
      </w:r>
    </w:p>
    <w:p w14:paraId="6D2DE838" w14:textId="77777777" w:rsidR="006D2854" w:rsidRPr="0082680A" w:rsidRDefault="006D2854" w:rsidP="00EB41E2">
      <w:pPr>
        <w:rPr>
          <w:lang w:val="en-GB"/>
        </w:rPr>
      </w:pPr>
    </w:p>
    <w:p w14:paraId="0F576BC7" w14:textId="525AFBDF" w:rsidR="0048459E" w:rsidRPr="0082680A" w:rsidRDefault="00EB41E2" w:rsidP="00EB41E2">
      <w:pPr>
        <w:rPr>
          <w:lang w:val="en-GB"/>
        </w:rPr>
      </w:pPr>
      <w:r w:rsidRPr="0082680A">
        <w:rPr>
          <w:lang w:val="en-GB"/>
        </w:rPr>
        <w:t xml:space="preserve">Instead, through collaboration with the </w:t>
      </w:r>
      <w:proofErr w:type="spellStart"/>
      <w:r w:rsidRPr="0082680A">
        <w:rPr>
          <w:lang w:val="en-GB"/>
        </w:rPr>
        <w:t>Pinzón</w:t>
      </w:r>
      <w:proofErr w:type="spellEnd"/>
      <w:r w:rsidRPr="0082680A">
        <w:rPr>
          <w:lang w:val="en-GB"/>
        </w:rPr>
        <w:t xml:space="preserve"> Velasco Lab (Universidad Nacional de Colombia), we employed an approach adapted from their methodology, Common Connectivity Patterns (CCP) </w:t>
      </w:r>
      <w:r w:rsidR="00767317" w:rsidRPr="0082680A">
        <w:rPr>
          <w:lang w:val="en-GB"/>
        </w:rPr>
        <w:fldChar w:fldCharType="begin" w:fldLock="1"/>
      </w:r>
      <w:r w:rsidR="000507BA">
        <w:rPr>
          <w:lang w:val="en-GB"/>
        </w:rPr>
        <w:instrText>ADDIN CSL_CITATION {"citationItems":[{"id":"ITEM-1","itemData":{"abstract":"La  biología  de  redes  ha  permitido  el  estudio  de  complejas  relaciones  moleculares  dentro\r\nde una célula por medio de datos obtenidos a partir de técnicas de alto rendimiento, con ello\r\nalgunas  hipótesis  acerca  del  proceso  biológico  subyacente  acerca  del  origen  y/o  desarrollo\r\nde fenotipos específicos han sido generados. Por otro lado, el enfoque clásico para generar\r\nhipótesis que relacionan dos o más fenotipos ha sido llevado a cabo por medio de la identificación de elementos moleculares comunes tales como genes entre fenotipos. Recientemente, los\r\nenfoques basados en teoría de redes han permitido ir más allá del paradigma de los elementos\r\ncompartidos hacia los procesos biológicos comunes entre fenotipos. Estas metodologías están\r\nbasadas en la detección y comparación de módulos de red. En la mayoría de los casos, este\r\nenfoque ignora la información almacenada en la totalidad de la red o información multiómi-\r\nca es unida para crear una  única red la cual puede generar ruido de fondo en los resultados\r\nfinales. Por lo tanto, un nuevo método denominado Patrones de Conectividad Común (CCP\r\npor sus siglas en inglés) es propuesto en este trabajo. Este método permite la identificación\r\nde patrones comunes de conexión entre fenotipos a partir de información molecular específica\r\n(co-expresión, interacción proteína-proteína, regulación, entre otros) obteniendo para cada\r\nuno de ellos las subredes donde cada una de ellas es considerada como un CCP. Para evaluar\r\nel  poder  predictivo  de  este  nuevo  enfoque,  cuatro  des ordenes  neurológicos  fueron  comparados: Enfermedad de Alzheimer (AD), enfermedad de Parkinson (PD), esclerosis múltiple\r\n(MS) y esquizofrenia (SZ) bajo las capas de abstracción molecular correspondientes a co-expresión e interacción proteína-proteína.\r\nEn la capa de co-expresión, este método fue capaz de establecer la existencia de cuatro CCPs\r\nentre AD y PD, un CCP entre AD y MS, dos CCPs entre AD y SZ, tres CCPs entre PD y\r\nMS, 11 CCPs entre PD y SZ, tres CCPs entre MS y SZ y un CCP entre PD, MS y SZ. En la\r\ncapa de interacción proteína-proteína, este método identifico seis CCPs entre AD y PD, dos \r\nCCPs entre AD y MS, dos CCPs entre AZ y SZ, 12 CCPs entre PD y MS, 13 CCPs entre\r\nPD y SZ, 11 CCPs entre MS y SZ, un CCP entre AD, PD y MS, un CCP entre AD, PD y SZ\r\ny cuatro CCPs entre PD, MS y SZ. Adicionalmente, elementos solitarios fueron identificados\r\nen la intersección de redes entre diferentes comparaciones obt…","author":[{"dropping-particle":"","family":"Henao Sánchez","given":"Juan David","non-dropping-particle":"","parse-names":false,"suffix":""}],"id":"ITEM-1","issued":{"date-parts":[["2017","4","18"]]},"title":"Modelado computacional de redes multinivel para la identificación del conjunto de factores, procesos y asociaciones moleculares comunes en diferentes redes biológicas","type":"thesis"},"uris":["http://www.mendeley.com/documents/?uuid=12e382ba-ea4c-3a34-8870-f6e6a3988166"]}],"mendeley":{"formattedCitation":"&lt;sup&gt;169&lt;/sup&gt;","plainTextFormattedCitation":"169","previouslyFormattedCitation":"&lt;sup&gt;169&lt;/sup&gt;"},"properties":{"noteIndex":0},"schema":"https://github.com/citation-style-language/schema/raw/master/csl-citation.json"}</w:instrText>
      </w:r>
      <w:r w:rsidR="00767317" w:rsidRPr="0082680A">
        <w:rPr>
          <w:lang w:val="en-GB"/>
        </w:rPr>
        <w:fldChar w:fldCharType="separate"/>
      </w:r>
      <w:r w:rsidR="00426B19" w:rsidRPr="00426B19">
        <w:rPr>
          <w:noProof/>
          <w:vertAlign w:val="superscript"/>
          <w:lang w:val="en-GB"/>
        </w:rPr>
        <w:t>169</w:t>
      </w:r>
      <w:r w:rsidR="00767317" w:rsidRPr="0082680A">
        <w:rPr>
          <w:lang w:val="en-GB"/>
        </w:rPr>
        <w:fldChar w:fldCharType="end"/>
      </w:r>
      <w:r w:rsidRPr="0082680A">
        <w:rPr>
          <w:lang w:val="en-GB"/>
        </w:rPr>
        <w:t xml:space="preserve">. CCP permits the identification of conserved network edges shared between different populations. Such an approach allows for the comparison of small datasets (within the boundaries of coexpression statistics), as well as datasets from a multitude of different platforms and data types. </w:t>
      </w:r>
    </w:p>
    <w:p w14:paraId="0D768D8A" w14:textId="7C926C9D" w:rsidR="00EB41E2" w:rsidRPr="0082680A" w:rsidRDefault="0048459E" w:rsidP="00EB41E2">
      <w:pPr>
        <w:rPr>
          <w:lang w:val="en-GB"/>
        </w:rPr>
      </w:pPr>
      <w:r w:rsidRPr="0082680A">
        <w:rPr>
          <w:lang w:val="en-GB"/>
        </w:rPr>
        <w:br w:type="page"/>
      </w:r>
    </w:p>
    <w:p w14:paraId="27CE5EB4" w14:textId="2AE68269" w:rsidR="00EB41E2" w:rsidRPr="0082680A" w:rsidRDefault="006D2854" w:rsidP="00842FD0">
      <w:pPr>
        <w:pStyle w:val="Heading4"/>
        <w:rPr>
          <w:lang w:val="en-GB"/>
        </w:rPr>
      </w:pPr>
      <w:bookmarkStart w:id="136" w:name="_zd0gn1f6cfze" w:colFirst="0" w:colLast="0"/>
      <w:bookmarkStart w:id="137" w:name="_Toc3211358"/>
      <w:bookmarkEnd w:id="136"/>
      <w:r w:rsidRPr="0082680A">
        <w:rPr>
          <w:lang w:val="en-GB"/>
        </w:rPr>
        <w:lastRenderedPageBreak/>
        <w:t>Identification of</w:t>
      </w:r>
      <w:r w:rsidR="00EB41E2" w:rsidRPr="0082680A">
        <w:rPr>
          <w:lang w:val="en-GB"/>
        </w:rPr>
        <w:t xml:space="preserve"> a Common Coexpression Module</w:t>
      </w:r>
      <w:bookmarkEnd w:id="137"/>
    </w:p>
    <w:p w14:paraId="5C9CB4FF" w14:textId="3353E901" w:rsidR="0048459E" w:rsidRPr="0082680A" w:rsidRDefault="00EB41E2" w:rsidP="00EB41E2">
      <w:pPr>
        <w:rPr>
          <w:lang w:val="en-GB"/>
        </w:rPr>
      </w:pPr>
      <w:r w:rsidRPr="0082680A">
        <w:rPr>
          <w:lang w:val="en-GB"/>
        </w:rPr>
        <w:t xml:space="preserve">Our adaptation of this methodology was conducted thus; the proteins of the PPI network are collected into a list of corresponding HGNC symbols. The list of gene symbols is then used to subset each individual dataset expression matrix. A number of genes </w:t>
      </w:r>
      <w:r w:rsidR="00396E1F" w:rsidRPr="0082680A">
        <w:rPr>
          <w:lang w:val="en-GB"/>
        </w:rPr>
        <w:t>were</w:t>
      </w:r>
      <w:r w:rsidRPr="0082680A">
        <w:rPr>
          <w:lang w:val="en-GB"/>
        </w:rPr>
        <w:t xml:space="preserve"> lost at this </w:t>
      </w:r>
      <w:r w:rsidR="00396E1F" w:rsidRPr="0082680A">
        <w:rPr>
          <w:lang w:val="en-GB"/>
        </w:rPr>
        <w:t>stage</w:t>
      </w:r>
      <w:r w:rsidRPr="0082680A">
        <w:rPr>
          <w:lang w:val="en-GB"/>
        </w:rPr>
        <w:t>, as multiple platforms have been used</w:t>
      </w:r>
      <w:r w:rsidR="00396E1F" w:rsidRPr="0082680A">
        <w:rPr>
          <w:lang w:val="en-GB"/>
        </w:rPr>
        <w:t xml:space="preserve"> meaning</w:t>
      </w:r>
      <w:r w:rsidRPr="0082680A">
        <w:rPr>
          <w:lang w:val="en-GB"/>
        </w:rPr>
        <w:t xml:space="preserve"> annotations were inconsistent. To ensure every coexpression matrix is constructed from the same genes, only genes which are common to all datasets are used. The final number of genes used as input for coexpression analysis was 2572. Spearman’s correlation was applied to every gene pair in every dataset, using the R function </w:t>
      </w:r>
      <w:proofErr w:type="spellStart"/>
      <w:r w:rsidRPr="0082680A">
        <w:rPr>
          <w:i/>
          <w:lang w:val="en-GB"/>
        </w:rPr>
        <w:t>cor.test</w:t>
      </w:r>
      <w:proofErr w:type="spellEnd"/>
      <w:r w:rsidRPr="0082680A">
        <w:rPr>
          <w:lang w:val="en-GB"/>
        </w:rPr>
        <w:t xml:space="preserve"> in R’s basic </w:t>
      </w:r>
      <w:r w:rsidRPr="0082680A">
        <w:rPr>
          <w:i/>
          <w:lang w:val="en-GB"/>
        </w:rPr>
        <w:t>stats</w:t>
      </w:r>
      <w:r w:rsidRPr="0082680A">
        <w:rPr>
          <w:lang w:val="en-GB"/>
        </w:rPr>
        <w:t xml:space="preserve"> package. Spearman’s correlation method was selected over the more commonly used Pearson</w:t>
      </w:r>
      <w:r w:rsidR="00DE7CC3">
        <w:rPr>
          <w:lang w:val="en-GB"/>
        </w:rPr>
        <w:t xml:space="preserve"> correlation</w:t>
      </w:r>
      <w:r w:rsidRPr="0082680A">
        <w:rPr>
          <w:lang w:val="en-GB"/>
        </w:rPr>
        <w:t xml:space="preserve"> as it has been shown to be more effective in identifying gene correlation </w:t>
      </w:r>
      <w:r w:rsidR="00334DC0" w:rsidRPr="0082680A">
        <w:rPr>
          <w:lang w:val="en-GB"/>
        </w:rPr>
        <w:fldChar w:fldCharType="begin" w:fldLock="1"/>
      </w:r>
      <w:r w:rsidR="000507BA">
        <w:rPr>
          <w:lang w:val="en-GB"/>
        </w:rPr>
        <w:instrText>ADDIN CSL_CITATION {"citationItems":[{"id":"ITEM-1","itemData":{"DOI":"10.1371/journal.pone.0050411","ISSN":"1932-6203","PMID":"23226279","abstract":"BACKGROUND Constructing coexpression networks and performing network analysis using large-scale gene expression data sets is an effective way to uncover new biological knowledge; however, the methods used for gene association in constructing these coexpression networks have not been thoroughly evaluated. Since different methods lead to structurally different coexpression networks and provide different information, selecting the optimal gene association method is critical. METHODS AND RESULTS In this study, we compared eight gene association methods - Spearman rank correlation, Weighted Rank Correlation, Kendall, Hoeffding's D measure, Theil-Sen, Rank Theil-Sen, Distance Covariance, and Pearson - and focused on their true knowledge discovery rates in associating pathway genes and construction coordination networks of regulatory genes. We also examined the behaviors of different methods to microarray data with different properties, and whether the biological processes affect the efficiency of different methods. CONCLUSIONS We found that the Spearman, Hoeffding and Kendall methods are effective in identifying coexpressed pathway genes, whereas the Theil-sen, Rank Theil-Sen, Spearman, and Weighted Rank methods perform well in identifying coordinated transcription factors that control the same biological processes and traits. Surprisingly, the widely used Pearson method is generally less efficient, and so is the Distance Covariance method that can find gene pairs of multiple relationships. Some analyses we did clearly show Pearson and Distance Covariance methods have distinct behaviors as compared to all other six methods. The efficiencies of different methods vary with the data properties to some degree and are largely contingent upon the biological processes, which necessitates the pre-analysis to identify the best performing method for gene association and coexpression network construction.","author":[{"dropping-particle":"","family":"Kumari","given":"Sapna","non-dropping-particle":"","parse-names":false,"suffix":""},{"dropping-particle":"","family":"Nie","given":"Jeff","non-dropping-particle":"","parse-names":false,"suffix":""},{"dropping-particle":"","family":"Chen","given":"Huann-Sheng","non-dropping-particle":"","parse-names":false,"suffix":""},{"dropping-particle":"","family":"Ma","given":"Hao","non-dropping-particle":"","parse-names":false,"suffix":""},{"dropping-particle":"","family":"Stewart","given":"Ron","non-dropping-particle":"","parse-names":false,"suffix":""},{"dropping-particle":"","family":"Li","given":"Xiang","non-dropping-particle":"","parse-names":false,"suffix":""},{"dropping-particle":"","family":"Lu","given":"Meng-Zhu","non-dropping-particle":"","parse-names":false,"suffix":""},{"dropping-particle":"","family":"Taylor","given":"William M","non-dropping-particle":"","parse-names":false,"suffix":""},{"dropping-particle":"","family":"Wei","given":"Hairong","non-dropping-particle":"","parse-names":false,"suffix":""}],"container-title":"PloS one","id":"ITEM-1","issue":"11","issued":{"date-parts":[["2012"]]},"page":"e50411","publisher":"Public Library of Science","title":"Evaluation of gene association methods for coexpression network construction and biological knowledge discovery.","type":"article-journal","volume":"7"},"uris":["http://www.mendeley.com/documents/?uuid=463514d8-e4dc-31c0-bf49-d7abe5e512e5"]}],"mendeley":{"formattedCitation":"&lt;sup&gt;170&lt;/sup&gt;","plainTextFormattedCitation":"170","previouslyFormattedCitation":"&lt;sup&gt;170&lt;/sup&gt;"},"properties":{"noteIndex":0},"schema":"https://github.com/citation-style-language/schema/raw/master/csl-citation.json"}</w:instrText>
      </w:r>
      <w:r w:rsidR="00334DC0" w:rsidRPr="0082680A">
        <w:rPr>
          <w:lang w:val="en-GB"/>
        </w:rPr>
        <w:fldChar w:fldCharType="separate"/>
      </w:r>
      <w:r w:rsidR="00426B19" w:rsidRPr="00426B19">
        <w:rPr>
          <w:noProof/>
          <w:vertAlign w:val="superscript"/>
          <w:lang w:val="en-GB"/>
        </w:rPr>
        <w:t>170</w:t>
      </w:r>
      <w:r w:rsidR="00334DC0" w:rsidRPr="0082680A">
        <w:rPr>
          <w:lang w:val="en-GB"/>
        </w:rPr>
        <w:fldChar w:fldCharType="end"/>
      </w:r>
      <w:r w:rsidRPr="0082680A">
        <w:rPr>
          <w:lang w:val="en-GB"/>
        </w:rPr>
        <w:t xml:space="preserve">. After correlation values were calculated for each gene pair, the distribution of correlation values was assessed. Of the 6 datasets used in this analysis, </w:t>
      </w:r>
      <w:r w:rsidR="005467D0" w:rsidRPr="0082680A">
        <w:rPr>
          <w:lang w:val="en-GB"/>
        </w:rPr>
        <w:t xml:space="preserve">the </w:t>
      </w:r>
      <w:r w:rsidR="0048459E" w:rsidRPr="0082680A">
        <w:rPr>
          <w:lang w:val="en-GB"/>
        </w:rPr>
        <w:t>Kirby</w:t>
      </w:r>
      <w:r w:rsidR="005467D0" w:rsidRPr="0082680A">
        <w:rPr>
          <w:lang w:val="en-GB"/>
        </w:rPr>
        <w:t xml:space="preserve"> </w:t>
      </w:r>
      <w:proofErr w:type="spellStart"/>
      <w:r w:rsidR="005467D0" w:rsidRPr="0082680A">
        <w:rPr>
          <w:lang w:val="en-GB"/>
        </w:rPr>
        <w:t>sALS</w:t>
      </w:r>
      <w:proofErr w:type="spellEnd"/>
      <w:r w:rsidR="005467D0" w:rsidRPr="0082680A">
        <w:rPr>
          <w:lang w:val="en-GB"/>
        </w:rPr>
        <w:t xml:space="preserve"> dataset</w:t>
      </w:r>
      <w:r w:rsidRPr="0082680A">
        <w:rPr>
          <w:lang w:val="en-GB"/>
        </w:rPr>
        <w:t xml:space="preserve"> was removed due to a non-normal distribution of correlation values</w:t>
      </w:r>
      <w:r w:rsidR="0048459E" w:rsidRPr="0082680A">
        <w:rPr>
          <w:lang w:val="en-GB"/>
        </w:rPr>
        <w:t xml:space="preserve"> (Figure </w:t>
      </w:r>
      <w:r w:rsidR="001200FB" w:rsidRPr="0082680A">
        <w:rPr>
          <w:lang w:val="en-GB"/>
        </w:rPr>
        <w:t>4</w:t>
      </w:r>
      <w:r w:rsidR="0048459E" w:rsidRPr="0082680A">
        <w:rPr>
          <w:lang w:val="en-GB"/>
        </w:rPr>
        <w:t>)</w:t>
      </w:r>
      <w:r w:rsidRPr="0082680A">
        <w:rPr>
          <w:lang w:val="en-GB"/>
        </w:rPr>
        <w:t>.</w:t>
      </w:r>
      <w:r w:rsidR="00DF5882">
        <w:rPr>
          <w:lang w:val="en-GB"/>
        </w:rPr>
        <w:t xml:space="preserve"> To show </w:t>
      </w:r>
      <w:r w:rsidR="00533DF3">
        <w:rPr>
          <w:lang w:val="en-GB"/>
        </w:rPr>
        <w:t>expected distribution, a histogram of a random gene set of the same size was generated in GSE68605 (Figure 5).</w:t>
      </w:r>
    </w:p>
    <w:p w14:paraId="0B8980AA" w14:textId="77777777" w:rsidR="006D2854" w:rsidRPr="0082680A" w:rsidRDefault="006D2854" w:rsidP="00EB41E2">
      <w:pPr>
        <w:rPr>
          <w:lang w:val="en-GB"/>
        </w:rPr>
      </w:pPr>
    </w:p>
    <w:p w14:paraId="1AFA9B69" w14:textId="6C1B5CE2" w:rsidR="00EB41E2" w:rsidRPr="0082680A" w:rsidRDefault="00EB41E2" w:rsidP="00EB41E2">
      <w:pPr>
        <w:rPr>
          <w:lang w:val="en-GB"/>
        </w:rPr>
      </w:pPr>
      <w:r w:rsidRPr="0082680A">
        <w:rPr>
          <w:lang w:val="en-GB"/>
        </w:rPr>
        <w:t>To produce a common coexpression module, a number of criteria were applied; firstly, conserved edges had to be present across all datasets</w:t>
      </w:r>
      <w:r w:rsidR="00396E1F" w:rsidRPr="0082680A">
        <w:rPr>
          <w:lang w:val="en-GB"/>
        </w:rPr>
        <w:t>,</w:t>
      </w:r>
      <w:r w:rsidRPr="0082680A">
        <w:rPr>
          <w:lang w:val="en-GB"/>
        </w:rPr>
        <w:t xml:space="preserve"> and direction of correlation (either positive or negative) must be consistent. This criterion was applied for the same reason as for differential expression; we desired biology which replicated in every dataset. Secondly, a soft threshold was applied to ensure the strength of correlation was appropriate. It was decided that the minimum correlation coefficient value would be set at </w:t>
      </w:r>
      <w:proofErr w:type="gramStart"/>
      <w:r w:rsidRPr="0082680A">
        <w:rPr>
          <w:lang w:val="en-GB"/>
        </w:rPr>
        <w:t>0.25, but</w:t>
      </w:r>
      <w:proofErr w:type="gramEnd"/>
      <w:r w:rsidRPr="0082680A">
        <w:rPr>
          <w:lang w:val="en-GB"/>
        </w:rPr>
        <w:t xml:space="preserve"> could be increased to any value.</w:t>
      </w:r>
      <w:r w:rsidR="00396E1F" w:rsidRPr="0082680A">
        <w:rPr>
          <w:lang w:val="en-GB"/>
        </w:rPr>
        <w:t xml:space="preserve"> For this application, </w:t>
      </w:r>
      <w:r w:rsidRPr="0082680A">
        <w:rPr>
          <w:lang w:val="en-GB"/>
        </w:rPr>
        <w:t xml:space="preserve">0.55 was chosen as it generated a network of a </w:t>
      </w:r>
      <w:proofErr w:type="gramStart"/>
      <w:r w:rsidRPr="0082680A">
        <w:rPr>
          <w:lang w:val="en-GB"/>
        </w:rPr>
        <w:t>size</w:t>
      </w:r>
      <w:proofErr w:type="gramEnd"/>
      <w:r w:rsidRPr="0082680A">
        <w:rPr>
          <w:lang w:val="en-GB"/>
        </w:rPr>
        <w:t xml:space="preserve"> we predicted to be large enough to retain biological signal, but small enough for subsequent stages of analysis; somewhere between 200 and 400 genes. After filtering, 374 nodes and 667 edges were conserved. The largest and most interconnected module was isolated, as this is likely to represent the strongest functional signal. The largest connected component</w:t>
      </w:r>
      <w:r w:rsidR="00706027" w:rsidRPr="0082680A">
        <w:rPr>
          <w:lang w:val="en-GB"/>
        </w:rPr>
        <w:t xml:space="preserve"> (LCC)</w:t>
      </w:r>
      <w:r w:rsidRPr="0082680A">
        <w:rPr>
          <w:lang w:val="en-GB"/>
        </w:rPr>
        <w:t xml:space="preserve"> was selected</w:t>
      </w:r>
      <w:r w:rsidR="0050523A" w:rsidRPr="0082680A">
        <w:rPr>
          <w:lang w:val="en-GB"/>
        </w:rPr>
        <w:t xml:space="preserve">, </w:t>
      </w:r>
      <w:r w:rsidRPr="0082680A">
        <w:rPr>
          <w:lang w:val="en-GB"/>
        </w:rPr>
        <w:t>consist</w:t>
      </w:r>
      <w:r w:rsidR="0050523A" w:rsidRPr="0082680A">
        <w:rPr>
          <w:lang w:val="en-GB"/>
        </w:rPr>
        <w:t>ing</w:t>
      </w:r>
      <w:r w:rsidRPr="0082680A">
        <w:rPr>
          <w:lang w:val="en-GB"/>
        </w:rPr>
        <w:t xml:space="preserve"> of a subnetwork module of 236 nodes and 587 edges. </w:t>
      </w:r>
    </w:p>
    <w:p w14:paraId="67F36DF1" w14:textId="77777777" w:rsidR="0048459E" w:rsidRPr="0082680A" w:rsidRDefault="0048459E" w:rsidP="0048459E">
      <w:pPr>
        <w:pStyle w:val="NoSpacing"/>
        <w:rPr>
          <w:lang w:val="en-GB"/>
        </w:rPr>
      </w:pPr>
      <w:r w:rsidRPr="0082680A">
        <w:rPr>
          <w:noProof/>
          <w:lang w:val="en-GB"/>
        </w:rPr>
        <w:lastRenderedPageBreak/>
        <w:drawing>
          <wp:inline distT="0" distB="0" distL="0" distR="0" wp14:anchorId="7A0BB720" wp14:editId="1B1899EA">
            <wp:extent cx="5039302" cy="554284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DP_Coexp_Dist.pdf"/>
                    <pic:cNvPicPr/>
                  </pic:nvPicPr>
                  <pic:blipFill rotWithShape="1">
                    <a:blip r:embed="rId71">
                      <a:extLst>
                        <a:ext uri="{28A0092B-C50C-407E-A947-70E740481C1C}">
                          <a14:useLocalDpi xmlns:a14="http://schemas.microsoft.com/office/drawing/2010/main" val="0"/>
                        </a:ext>
                      </a:extLst>
                    </a:blip>
                    <a:srcRect b="22813"/>
                    <a:stretch/>
                  </pic:blipFill>
                  <pic:spPr bwMode="auto">
                    <a:xfrm>
                      <a:off x="0" y="0"/>
                      <a:ext cx="5039360" cy="5542908"/>
                    </a:xfrm>
                    <a:prstGeom prst="rect">
                      <a:avLst/>
                    </a:prstGeom>
                    <a:ln>
                      <a:noFill/>
                    </a:ln>
                    <a:extLst>
                      <a:ext uri="{53640926-AAD7-44D8-BBD7-CCE9431645EC}">
                        <a14:shadowObscured xmlns:a14="http://schemas.microsoft.com/office/drawing/2010/main"/>
                      </a:ext>
                    </a:extLst>
                  </pic:spPr>
                </pic:pic>
              </a:graphicData>
            </a:graphic>
          </wp:inline>
        </w:drawing>
      </w:r>
    </w:p>
    <w:p w14:paraId="62F3DE91" w14:textId="6BC89B15" w:rsidR="00786F2D" w:rsidRDefault="0048459E" w:rsidP="0048459E">
      <w:pPr>
        <w:pStyle w:val="Caption"/>
        <w:rPr>
          <w:b w:val="0"/>
          <w:lang w:val="en-GB"/>
        </w:rPr>
      </w:pPr>
      <w:bookmarkStart w:id="138" w:name="_Toc3225999"/>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3</w:t>
      </w:r>
      <w:r w:rsidR="00666C92" w:rsidRPr="0082680A">
        <w:rPr>
          <w:noProof/>
          <w:lang w:val="en-GB"/>
        </w:rPr>
        <w:fldChar w:fldCharType="end"/>
      </w:r>
      <w:r w:rsidRPr="0082680A">
        <w:rPr>
          <w:lang w:val="en-GB"/>
        </w:rPr>
        <w:t xml:space="preserve">: </w:t>
      </w:r>
      <w:r w:rsidR="00500574" w:rsidRPr="00DF5882">
        <w:rPr>
          <w:lang w:val="en-GB"/>
        </w:rPr>
        <w:t>Histograms</w:t>
      </w:r>
      <w:r w:rsidRPr="00DF5882">
        <w:rPr>
          <w:lang w:val="en-GB"/>
        </w:rPr>
        <w:t xml:space="preserve"> of </w:t>
      </w:r>
      <w:r w:rsidR="00500574" w:rsidRPr="00DF5882">
        <w:rPr>
          <w:lang w:val="en-GB"/>
        </w:rPr>
        <w:t>Spearman’s Rho values</w:t>
      </w:r>
      <w:r w:rsidRPr="00DF5882">
        <w:rPr>
          <w:lang w:val="en-GB"/>
        </w:rPr>
        <w:t xml:space="preserve"> for the correlation networks produced in each </w:t>
      </w:r>
      <w:r w:rsidR="0083316D" w:rsidRPr="00DF5882">
        <w:rPr>
          <w:lang w:val="en-GB"/>
        </w:rPr>
        <w:t xml:space="preserve">TDP-43 </w:t>
      </w:r>
      <w:r w:rsidRPr="00DF5882">
        <w:rPr>
          <w:lang w:val="en-GB"/>
        </w:rPr>
        <w:t>dataset.</w:t>
      </w:r>
      <w:r w:rsidRPr="0082680A">
        <w:rPr>
          <w:b w:val="0"/>
          <w:lang w:val="en-GB"/>
        </w:rPr>
        <w:t xml:space="preserve"> The Kirby </w:t>
      </w:r>
      <w:proofErr w:type="spellStart"/>
      <w:r w:rsidRPr="0082680A">
        <w:rPr>
          <w:b w:val="0"/>
          <w:lang w:val="en-GB"/>
        </w:rPr>
        <w:t>sALS</w:t>
      </w:r>
      <w:proofErr w:type="spellEnd"/>
      <w:r w:rsidRPr="0082680A">
        <w:rPr>
          <w:b w:val="0"/>
          <w:lang w:val="en-GB"/>
        </w:rPr>
        <w:t xml:space="preserve"> dataset (B) exhibited a non-normal distribution and so was removed from further analysis.</w:t>
      </w:r>
      <w:bookmarkEnd w:id="138"/>
    </w:p>
    <w:p w14:paraId="6D8166F7" w14:textId="77777777" w:rsidR="00DF5882" w:rsidRPr="00DF5882" w:rsidRDefault="00DF5882" w:rsidP="00DF5882">
      <w:pPr>
        <w:rPr>
          <w:lang w:val="en-GB"/>
        </w:rPr>
      </w:pPr>
    </w:p>
    <w:p w14:paraId="39C5A405" w14:textId="77777777" w:rsidR="00DF5882" w:rsidRDefault="00DF5882" w:rsidP="00DF5882">
      <w:pPr>
        <w:pStyle w:val="NoSpacing"/>
        <w:jc w:val="center"/>
      </w:pPr>
      <w:r>
        <w:rPr>
          <w:noProof/>
          <w:lang w:val="en-GB"/>
        </w:rPr>
        <w:drawing>
          <wp:inline distT="0" distB="0" distL="0" distR="0" wp14:anchorId="0A1D9402" wp14:editId="29B37ACC">
            <wp:extent cx="2696033" cy="1749496"/>
            <wp:effectExtent l="0" t="0" r="0" b="317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randomlist.pdf"/>
                    <pic:cNvPicPr/>
                  </pic:nvPicPr>
                  <pic:blipFill rotWithShape="1">
                    <a:blip r:embed="rId72" cstate="print">
                      <a:extLst>
                        <a:ext uri="{28A0092B-C50C-407E-A947-70E740481C1C}">
                          <a14:useLocalDpi xmlns:a14="http://schemas.microsoft.com/office/drawing/2010/main" val="0"/>
                        </a:ext>
                      </a:extLst>
                    </a:blip>
                    <a:srcRect t="8285"/>
                    <a:stretch/>
                  </pic:blipFill>
                  <pic:spPr bwMode="auto">
                    <a:xfrm>
                      <a:off x="0" y="0"/>
                      <a:ext cx="2722008" cy="1766351"/>
                    </a:xfrm>
                    <a:prstGeom prst="rect">
                      <a:avLst/>
                    </a:prstGeom>
                    <a:ln>
                      <a:noFill/>
                    </a:ln>
                    <a:extLst>
                      <a:ext uri="{53640926-AAD7-44D8-BBD7-CCE9431645EC}">
                        <a14:shadowObscured xmlns:a14="http://schemas.microsoft.com/office/drawing/2010/main"/>
                      </a:ext>
                    </a:extLst>
                  </pic:spPr>
                </pic:pic>
              </a:graphicData>
            </a:graphic>
          </wp:inline>
        </w:drawing>
      </w:r>
    </w:p>
    <w:p w14:paraId="36C3F533" w14:textId="49EEDFCC" w:rsidR="006D2854" w:rsidRPr="00533DF3" w:rsidRDefault="00DF5882" w:rsidP="00533DF3">
      <w:pPr>
        <w:pStyle w:val="Caption"/>
        <w:rPr>
          <w:b w:val="0"/>
          <w:lang w:val="en-GB"/>
        </w:rPr>
      </w:pPr>
      <w:bookmarkStart w:id="139" w:name="_Toc3226000"/>
      <w:r>
        <w:t xml:space="preserve">Figure </w:t>
      </w:r>
      <w:fldSimple w:instr=" SEQ Figure \* ARABIC ">
        <w:r w:rsidR="00066B5A">
          <w:rPr>
            <w:noProof/>
          </w:rPr>
          <w:t>4</w:t>
        </w:r>
      </w:fldSimple>
      <w:r>
        <w:t>: Histogram of a random selection of genes</w:t>
      </w:r>
      <w:r>
        <w:rPr>
          <w:b w:val="0"/>
        </w:rPr>
        <w:t>. Conducted in GSE68605. Indicates a similar distribution of coexpression rho values to the experimental set.</w:t>
      </w:r>
      <w:bookmarkEnd w:id="139"/>
      <w:r w:rsidR="00786F2D" w:rsidRPr="0082680A">
        <w:rPr>
          <w:b w:val="0"/>
          <w:lang w:val="en-GB"/>
        </w:rPr>
        <w:br w:type="page"/>
      </w:r>
    </w:p>
    <w:p w14:paraId="6E514676" w14:textId="72FB78E7" w:rsidR="00EB778D" w:rsidRPr="0082680A" w:rsidRDefault="00EB41E2" w:rsidP="00EB41E2">
      <w:pPr>
        <w:rPr>
          <w:lang w:val="en-GB"/>
        </w:rPr>
      </w:pPr>
      <w:r w:rsidRPr="0082680A">
        <w:rPr>
          <w:lang w:val="en-GB"/>
        </w:rPr>
        <w:lastRenderedPageBreak/>
        <w:t xml:space="preserve">To ensure the network was representative of dysfunctional relationships only, we attempted to generate the same subnetwork from the control samples. The 236 genes of the network module were used to subset expression matrices for the controls, and a coexpression matrix was generated for each. After applying the same edge overlap filters, thirteen edges overlapped between patient and control networks, and after removal, 2 nodes were removed also. </w:t>
      </w:r>
      <w:r w:rsidR="00396E1F" w:rsidRPr="0082680A">
        <w:rPr>
          <w:lang w:val="en-GB"/>
        </w:rPr>
        <w:t>To</w:t>
      </w:r>
      <w:r w:rsidRPr="0082680A">
        <w:rPr>
          <w:lang w:val="en-GB"/>
        </w:rPr>
        <w:t xml:space="preserve"> ensure the network was representative of TDP-43-associated dysfunction only, we </w:t>
      </w:r>
      <w:r w:rsidR="00396E1F" w:rsidRPr="0082680A">
        <w:rPr>
          <w:lang w:val="en-GB"/>
        </w:rPr>
        <w:t>also sought to remove</w:t>
      </w:r>
      <w:r w:rsidRPr="0082680A">
        <w:rPr>
          <w:lang w:val="en-GB"/>
        </w:rPr>
        <w:t xml:space="preserve"> edges common to a network generated from the </w:t>
      </w:r>
      <w:r w:rsidRPr="0082680A">
        <w:rPr>
          <w:i/>
          <w:lang w:val="en-GB"/>
        </w:rPr>
        <w:t>SOD1</w:t>
      </w:r>
      <w:r w:rsidRPr="0082680A">
        <w:rPr>
          <w:lang w:val="en-GB"/>
        </w:rPr>
        <w:t xml:space="preserve"> and </w:t>
      </w:r>
      <w:r w:rsidRPr="0082680A">
        <w:rPr>
          <w:i/>
          <w:lang w:val="en-GB"/>
        </w:rPr>
        <w:t>FUS</w:t>
      </w:r>
      <w:r w:rsidRPr="0082680A">
        <w:rPr>
          <w:lang w:val="en-GB"/>
        </w:rPr>
        <w:t xml:space="preserve"> </w:t>
      </w:r>
      <w:r w:rsidR="00396E1F" w:rsidRPr="0082680A">
        <w:rPr>
          <w:lang w:val="en-GB"/>
        </w:rPr>
        <w:t xml:space="preserve">ALS </w:t>
      </w:r>
      <w:r w:rsidRPr="0082680A">
        <w:rPr>
          <w:lang w:val="en-GB"/>
        </w:rPr>
        <w:t>datasets. After removal of 45 shared edges and 1 node, the final common coex</w:t>
      </w:r>
      <w:r w:rsidR="006B37E6" w:rsidRPr="0082680A">
        <w:rPr>
          <w:lang w:val="en-GB"/>
        </w:rPr>
        <w:t>pression module consisted of 232</w:t>
      </w:r>
      <w:r w:rsidRPr="0082680A">
        <w:rPr>
          <w:lang w:val="en-GB"/>
        </w:rPr>
        <w:t xml:space="preserve"> nodes and 529 edges (Figure </w:t>
      </w:r>
      <w:r w:rsidR="0061081A">
        <w:rPr>
          <w:lang w:val="en-GB"/>
        </w:rPr>
        <w:t>6, Table 14</w:t>
      </w:r>
      <w:r w:rsidRPr="0082680A">
        <w:rPr>
          <w:lang w:val="en-GB"/>
        </w:rPr>
        <w:t xml:space="preserve">). </w:t>
      </w:r>
      <w:r w:rsidR="00396E1F" w:rsidRPr="0082680A">
        <w:rPr>
          <w:lang w:val="en-GB"/>
        </w:rPr>
        <w:t>Due to the small sample numbers, correlation could not be calculated for the TDP-43 fibroblast datasets.</w:t>
      </w:r>
    </w:p>
    <w:p w14:paraId="1F817837" w14:textId="77777777" w:rsidR="00786F2D" w:rsidRPr="0082680A" w:rsidRDefault="00786F2D" w:rsidP="00EB41E2">
      <w:pPr>
        <w:rPr>
          <w:lang w:val="en-GB"/>
        </w:rPr>
      </w:pPr>
    </w:p>
    <w:p w14:paraId="76557D54" w14:textId="77777777" w:rsidR="00786F2D" w:rsidRPr="0082680A" w:rsidRDefault="00786F2D" w:rsidP="00844611">
      <w:pPr>
        <w:pStyle w:val="NoSpacing"/>
        <w:ind w:left="-426"/>
        <w:rPr>
          <w:lang w:val="en-GB"/>
        </w:rPr>
      </w:pPr>
      <w:r w:rsidRPr="0082680A">
        <w:rPr>
          <w:noProof/>
          <w:lang w:val="en-GB"/>
        </w:rPr>
        <w:drawing>
          <wp:inline distT="0" distB="0" distL="0" distR="0" wp14:anchorId="383A8FD2" wp14:editId="035CF268">
            <wp:extent cx="5687831" cy="4995661"/>
            <wp:effectExtent l="3175" t="0" r="508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CM_Con_SOD1FUS_Removed.pdf"/>
                    <pic:cNvPicPr/>
                  </pic:nvPicPr>
                  <pic:blipFill>
                    <a:blip r:embed="rId73">
                      <a:extLst>
                        <a:ext uri="{28A0092B-C50C-407E-A947-70E740481C1C}">
                          <a14:useLocalDpi xmlns:a14="http://schemas.microsoft.com/office/drawing/2010/main" val="0"/>
                        </a:ext>
                      </a:extLst>
                    </a:blip>
                    <a:stretch>
                      <a:fillRect/>
                    </a:stretch>
                  </pic:blipFill>
                  <pic:spPr>
                    <a:xfrm>
                      <a:off x="0" y="0"/>
                      <a:ext cx="5702676" cy="5008700"/>
                    </a:xfrm>
                    <a:prstGeom prst="rect">
                      <a:avLst/>
                    </a:prstGeom>
                  </pic:spPr>
                </pic:pic>
              </a:graphicData>
            </a:graphic>
          </wp:inline>
        </w:drawing>
      </w:r>
    </w:p>
    <w:p w14:paraId="4D2BE984" w14:textId="5162E2C3" w:rsidR="00786F2D" w:rsidRPr="0082680A" w:rsidRDefault="00786F2D" w:rsidP="00614FBB">
      <w:pPr>
        <w:pStyle w:val="Caption"/>
        <w:ind w:left="-284"/>
        <w:rPr>
          <w:lang w:val="en-GB"/>
        </w:rPr>
      </w:pPr>
      <w:bookmarkStart w:id="140" w:name="_Toc3226001"/>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5</w:t>
      </w:r>
      <w:r w:rsidR="00666C92" w:rsidRPr="0082680A">
        <w:rPr>
          <w:noProof/>
          <w:lang w:val="en-GB"/>
        </w:rPr>
        <w:fldChar w:fldCharType="end"/>
      </w:r>
      <w:r w:rsidRPr="0082680A">
        <w:rPr>
          <w:lang w:val="en-GB"/>
        </w:rPr>
        <w:t xml:space="preserve">: </w:t>
      </w:r>
      <w:r w:rsidRPr="0082680A">
        <w:rPr>
          <w:b w:val="0"/>
          <w:lang w:val="en-GB"/>
        </w:rPr>
        <w:t>The common coexpression network for TDP-43 dysfunction. Red edges indicate positive correlation, blue edges indicate negative correlation</w:t>
      </w:r>
      <w:bookmarkEnd w:id="140"/>
      <w:r w:rsidRPr="0082680A">
        <w:rPr>
          <w:lang w:val="en-GB"/>
        </w:rPr>
        <w:br w:type="page"/>
      </w:r>
    </w:p>
    <w:p w14:paraId="3CFA9E9E" w14:textId="6AE46AAE" w:rsidR="00614FBB" w:rsidRDefault="00614FBB" w:rsidP="00EB41E2">
      <w:pPr>
        <w:rPr>
          <w:lang w:val="en-GB"/>
        </w:rPr>
      </w:pPr>
      <w:r w:rsidRPr="0082680A">
        <w:rPr>
          <w:noProof/>
          <w:lang w:val="en-GB"/>
        </w:rPr>
        <w:lastRenderedPageBreak/>
        <mc:AlternateContent>
          <mc:Choice Requires="wps">
            <w:drawing>
              <wp:anchor distT="0" distB="0" distL="114300" distR="114300" simplePos="0" relativeHeight="251671552" behindDoc="0" locked="0" layoutInCell="1" allowOverlap="1" wp14:anchorId="53471E11" wp14:editId="64D2D26D">
                <wp:simplePos x="0" y="0"/>
                <wp:positionH relativeFrom="column">
                  <wp:posOffset>1113790</wp:posOffset>
                </wp:positionH>
                <wp:positionV relativeFrom="paragraph">
                  <wp:posOffset>3897630</wp:posOffset>
                </wp:positionV>
                <wp:extent cx="7418070" cy="635"/>
                <wp:effectExtent l="0" t="3493" r="0" b="0"/>
                <wp:wrapSquare wrapText="bothSides"/>
                <wp:docPr id="21" name="Text Box 21"/>
                <wp:cNvGraphicFramePr/>
                <a:graphic xmlns:a="http://schemas.openxmlformats.org/drawingml/2006/main">
                  <a:graphicData uri="http://schemas.microsoft.com/office/word/2010/wordprocessingShape">
                    <wps:wsp>
                      <wps:cNvSpPr txBox="1"/>
                      <wps:spPr>
                        <a:xfrm rot="16200000">
                          <a:off x="0" y="0"/>
                          <a:ext cx="7418070" cy="635"/>
                        </a:xfrm>
                        <a:prstGeom prst="rect">
                          <a:avLst/>
                        </a:prstGeom>
                        <a:solidFill>
                          <a:prstClr val="white"/>
                        </a:solidFill>
                        <a:ln>
                          <a:noFill/>
                        </a:ln>
                      </wps:spPr>
                      <wps:txbx>
                        <w:txbxContent>
                          <w:p w14:paraId="7115BCAC" w14:textId="73831EAD" w:rsidR="00C2072C" w:rsidRPr="00FE476A" w:rsidRDefault="00C2072C" w:rsidP="00786F2D">
                            <w:pPr>
                              <w:pStyle w:val="Caption"/>
                              <w:rPr>
                                <w:noProof/>
                                <w:szCs w:val="22"/>
                              </w:rPr>
                            </w:pPr>
                            <w:bookmarkStart w:id="141" w:name="_Toc530741926"/>
                            <w:bookmarkStart w:id="142" w:name="_Toc531197148"/>
                            <w:bookmarkStart w:id="143" w:name="_Toc3225928"/>
                            <w:r>
                              <w:t xml:space="preserve">Table </w:t>
                            </w:r>
                            <w:fldSimple w:instr=" SEQ Table \* ARABIC ">
                              <w:r>
                                <w:rPr>
                                  <w:noProof/>
                                </w:rPr>
                                <w:t>14</w:t>
                              </w:r>
                            </w:fldSimple>
                            <w:r>
                              <w:t xml:space="preserve">: </w:t>
                            </w:r>
                            <w:r w:rsidRPr="00786F2D">
                              <w:rPr>
                                <w:b w:val="0"/>
                              </w:rPr>
                              <w:t>A list of members of the TDP-43 dysfunction common coexpression network module</w:t>
                            </w:r>
                            <w:bookmarkEnd w:id="141"/>
                            <w:bookmarkEnd w:id="142"/>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471E11" id="Text Box 21" o:spid="_x0000_s1028" type="#_x0000_t202" style="position:absolute;margin-left:87.7pt;margin-top:306.9pt;width:584.1pt;height:.05pt;rotation:-90;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" stroked="f">
                <v:textbox style="mso-fit-shape-to-text:t" inset="0,0,0,0">
                  <w:txbxContent>
                    <w:p w14:paraId="7115BCAC" w14:textId="73831EAD" w:rsidR="00C2072C" w:rsidRPr="00FE476A" w:rsidRDefault="00C2072C" w:rsidP="00786F2D">
                      <w:pPr>
                        <w:pStyle w:val="Caption"/>
                        <w:rPr>
                          <w:noProof/>
                          <w:szCs w:val="22"/>
                        </w:rPr>
                      </w:pPr>
                      <w:bookmarkStart w:id="144" w:name="_Toc530741926"/>
                      <w:bookmarkStart w:id="145" w:name="_Toc531197148"/>
                      <w:bookmarkStart w:id="146" w:name="_Toc3225928"/>
                      <w:r>
                        <w:t xml:space="preserve">Table </w:t>
                      </w:r>
                      <w:fldSimple w:instr=" SEQ Table \* ARABIC ">
                        <w:r>
                          <w:rPr>
                            <w:noProof/>
                          </w:rPr>
                          <w:t>14</w:t>
                        </w:r>
                      </w:fldSimple>
                      <w:r>
                        <w:t xml:space="preserve">: </w:t>
                      </w:r>
                      <w:r w:rsidRPr="00786F2D">
                        <w:rPr>
                          <w:b w:val="0"/>
                        </w:rPr>
                        <w:t>A list of members of the TDP-43 dysfunction common coexpression network module</w:t>
                      </w:r>
                      <w:bookmarkEnd w:id="144"/>
                      <w:bookmarkEnd w:id="145"/>
                      <w:bookmarkEnd w:id="146"/>
                    </w:p>
                  </w:txbxContent>
                </v:textbox>
                <w10:wrap type="square"/>
              </v:shape>
            </w:pict>
          </mc:Fallback>
        </mc:AlternateContent>
      </w:r>
    </w:p>
    <w:p w14:paraId="51442615" w14:textId="3F2433CF" w:rsidR="00786F2D" w:rsidRDefault="00614FBB" w:rsidP="00EB41E2">
      <w:pPr>
        <w:rPr>
          <w:lang w:val="en-GB"/>
        </w:rPr>
      </w:pPr>
      <w:r w:rsidRPr="0082680A">
        <w:rPr>
          <w:noProof/>
          <w:lang w:val="en-GB"/>
        </w:rPr>
        <w:drawing>
          <wp:inline distT="0" distB="0" distL="0" distR="0" wp14:anchorId="1001A8F0" wp14:editId="2D4C548E">
            <wp:extent cx="7402195" cy="4699000"/>
            <wp:effectExtent l="5398"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DP_ModuleMembers.pdf"/>
                    <pic:cNvPicPr/>
                  </pic:nvPicPr>
                  <pic:blipFill rotWithShape="1">
                    <a:blip r:embed="rId74">
                      <a:extLst>
                        <a:ext uri="{28A0092B-C50C-407E-A947-70E740481C1C}">
                          <a14:useLocalDpi xmlns:a14="http://schemas.microsoft.com/office/drawing/2010/main" val="0"/>
                        </a:ext>
                      </a:extLst>
                    </a:blip>
                    <a:srcRect t="2870" b="3664"/>
                    <a:stretch/>
                  </pic:blipFill>
                  <pic:spPr bwMode="auto">
                    <a:xfrm rot="16200000">
                      <a:off x="0" y="0"/>
                      <a:ext cx="7402195" cy="4699000"/>
                    </a:xfrm>
                    <a:prstGeom prst="rect">
                      <a:avLst/>
                    </a:prstGeom>
                    <a:ln>
                      <a:noFill/>
                    </a:ln>
                    <a:extLst>
                      <a:ext uri="{53640926-AAD7-44D8-BBD7-CCE9431645EC}">
                        <a14:shadowObscured xmlns:a14="http://schemas.microsoft.com/office/drawing/2010/main"/>
                      </a:ext>
                    </a:extLst>
                  </pic:spPr>
                </pic:pic>
              </a:graphicData>
            </a:graphic>
          </wp:inline>
        </w:drawing>
      </w:r>
    </w:p>
    <w:p w14:paraId="5643CA48" w14:textId="7F0A25AD" w:rsidR="00614FBB" w:rsidRPr="0082680A" w:rsidRDefault="00614FBB" w:rsidP="00EB41E2">
      <w:pPr>
        <w:rPr>
          <w:lang w:val="en-GB"/>
        </w:rPr>
      </w:pPr>
      <w:r>
        <w:rPr>
          <w:lang w:val="en-GB"/>
        </w:rPr>
        <w:br w:type="page"/>
      </w:r>
    </w:p>
    <w:p w14:paraId="049BB1A5" w14:textId="1BF482A4" w:rsidR="00EB41E2" w:rsidRPr="0082680A" w:rsidRDefault="004D1F68" w:rsidP="00842FD0">
      <w:pPr>
        <w:pStyle w:val="Heading4"/>
        <w:rPr>
          <w:lang w:val="en-GB"/>
        </w:rPr>
      </w:pPr>
      <w:bookmarkStart w:id="147" w:name="_p0yf0k1ku2xu" w:colFirst="0" w:colLast="0"/>
      <w:bookmarkStart w:id="148" w:name="_Toc3211359"/>
      <w:bookmarkEnd w:id="147"/>
      <w:r w:rsidRPr="0082680A">
        <w:rPr>
          <w:lang w:val="en-GB"/>
        </w:rPr>
        <w:lastRenderedPageBreak/>
        <w:t xml:space="preserve">Functional </w:t>
      </w:r>
      <w:r w:rsidR="00EB41E2" w:rsidRPr="0082680A">
        <w:rPr>
          <w:lang w:val="en-GB"/>
        </w:rPr>
        <w:t>Assessment of the Common Coexpression Module</w:t>
      </w:r>
      <w:bookmarkEnd w:id="148"/>
    </w:p>
    <w:p w14:paraId="63FABFF6" w14:textId="76A0F719" w:rsidR="00EB41E2" w:rsidRPr="0082680A" w:rsidRDefault="00EB41E2" w:rsidP="00EB41E2">
      <w:pPr>
        <w:rPr>
          <w:lang w:val="en-GB"/>
        </w:rPr>
      </w:pPr>
      <w:r w:rsidRPr="0082680A">
        <w:rPr>
          <w:lang w:val="en-GB"/>
        </w:rPr>
        <w:t xml:space="preserve">Benchmark </w:t>
      </w:r>
      <w:r w:rsidR="00396E1F" w:rsidRPr="0082680A">
        <w:rPr>
          <w:lang w:val="en-GB"/>
        </w:rPr>
        <w:t>analysis</w:t>
      </w:r>
      <w:r w:rsidRPr="0082680A">
        <w:rPr>
          <w:lang w:val="en-GB"/>
        </w:rPr>
        <w:t xml:space="preserve"> indicated significant enr</w:t>
      </w:r>
      <w:r w:rsidR="004C433D" w:rsidRPr="0082680A">
        <w:rPr>
          <w:lang w:val="en-GB"/>
        </w:rPr>
        <w:t>i</w:t>
      </w:r>
      <w:r w:rsidR="00685EF7" w:rsidRPr="0082680A">
        <w:rPr>
          <w:lang w:val="en-GB"/>
        </w:rPr>
        <w:t xml:space="preserve">chment of TDP-43 disease genes and </w:t>
      </w:r>
      <w:r w:rsidRPr="0082680A">
        <w:rPr>
          <w:lang w:val="en-GB"/>
        </w:rPr>
        <w:t xml:space="preserve">TDP-43 PPI genes, </w:t>
      </w:r>
      <w:r w:rsidR="00685EF7" w:rsidRPr="0082680A">
        <w:rPr>
          <w:lang w:val="en-GB"/>
        </w:rPr>
        <w:t>but</w:t>
      </w:r>
      <w:r w:rsidRPr="0082680A">
        <w:rPr>
          <w:lang w:val="en-GB"/>
        </w:rPr>
        <w:t xml:space="preserve"> no overlap with pathology-tracking genes</w:t>
      </w:r>
      <w:r w:rsidRPr="0082680A">
        <w:rPr>
          <w:color w:val="000000" w:themeColor="text1"/>
          <w:lang w:val="en-GB"/>
        </w:rPr>
        <w:t xml:space="preserve"> (</w:t>
      </w:r>
      <w:r w:rsidR="00EE0C77" w:rsidRPr="0082680A">
        <w:rPr>
          <w:color w:val="000000" w:themeColor="text1"/>
          <w:lang w:val="en-GB"/>
        </w:rPr>
        <w:t>Table 1</w:t>
      </w:r>
      <w:r w:rsidR="0061081A">
        <w:rPr>
          <w:color w:val="000000" w:themeColor="text1"/>
          <w:lang w:val="en-GB"/>
        </w:rPr>
        <w:t>5</w:t>
      </w:r>
      <w:r w:rsidRPr="0082680A">
        <w:rPr>
          <w:color w:val="000000" w:themeColor="text1"/>
          <w:lang w:val="en-GB"/>
        </w:rPr>
        <w:t xml:space="preserve">). </w:t>
      </w:r>
      <w:r w:rsidRPr="0082680A">
        <w:rPr>
          <w:lang w:val="en-GB"/>
        </w:rPr>
        <w:t>A number of well-known neurodegenerative genes are in the network, including ALS genes (</w:t>
      </w:r>
      <w:r w:rsidRPr="0082680A">
        <w:rPr>
          <w:i/>
          <w:lang w:val="en-GB"/>
        </w:rPr>
        <w:t>TBK1, ITPR2, GARS, TUBA4A, ELP3</w:t>
      </w:r>
      <w:r w:rsidRPr="0082680A">
        <w:rPr>
          <w:lang w:val="en-GB"/>
        </w:rPr>
        <w:t>), Alzheimer’s Disease genes (</w:t>
      </w:r>
      <w:r w:rsidRPr="0082680A">
        <w:rPr>
          <w:i/>
          <w:lang w:val="en-GB"/>
        </w:rPr>
        <w:t>APP, DNM1L, MAP2, STMN</w:t>
      </w:r>
      <w:r w:rsidRPr="0082680A">
        <w:rPr>
          <w:lang w:val="en-GB"/>
        </w:rPr>
        <w:t>2), and Parkinson’s Disease genes (</w:t>
      </w:r>
      <w:r w:rsidRPr="0082680A">
        <w:rPr>
          <w:i/>
          <w:lang w:val="en-GB"/>
        </w:rPr>
        <w:t>VPS35, APP, HSPA9, MAP2</w:t>
      </w:r>
      <w:r w:rsidRPr="0082680A">
        <w:rPr>
          <w:lang w:val="en-GB"/>
        </w:rPr>
        <w:t>).</w:t>
      </w:r>
      <w:r w:rsidR="00E2053C" w:rsidRPr="0082680A">
        <w:rPr>
          <w:lang w:val="en-GB"/>
        </w:rPr>
        <w:t xml:space="preserve"> Functional enrichment of the subnetwork module revealed significant roles in processes related to the immune system and protein degradation </w:t>
      </w:r>
      <w:r w:rsidR="00EE0C77" w:rsidRPr="0082680A">
        <w:rPr>
          <w:lang w:val="en-GB"/>
        </w:rPr>
        <w:t>(Tables 1</w:t>
      </w:r>
      <w:r w:rsidR="0061081A">
        <w:rPr>
          <w:lang w:val="en-GB"/>
        </w:rPr>
        <w:t>6</w:t>
      </w:r>
      <w:r w:rsidR="00EE0C77" w:rsidRPr="0082680A">
        <w:rPr>
          <w:lang w:val="en-GB"/>
        </w:rPr>
        <w:t xml:space="preserve"> &amp; 1</w:t>
      </w:r>
      <w:r w:rsidR="0061081A">
        <w:rPr>
          <w:lang w:val="en-GB"/>
        </w:rPr>
        <w:t>7</w:t>
      </w:r>
      <w:r w:rsidR="00502947" w:rsidRPr="0082680A">
        <w:rPr>
          <w:lang w:val="en-GB"/>
        </w:rPr>
        <w:t xml:space="preserve">, </w:t>
      </w:r>
      <w:hyperlink r:id="rId75" w:history="1">
        <w:r w:rsidR="00502947" w:rsidRPr="0082680A">
          <w:rPr>
            <w:rStyle w:val="Hyperlink"/>
            <w:lang w:val="en-GB"/>
          </w:rPr>
          <w:t>http://amp.pharm.mssm.edu/Enrichr/enrich?dataset=8gl6w</w:t>
        </w:r>
      </w:hyperlink>
      <w:r w:rsidR="00EE0C77" w:rsidRPr="0082680A">
        <w:rPr>
          <w:lang w:val="en-GB"/>
        </w:rPr>
        <w:t>)</w:t>
      </w:r>
      <w:r w:rsidR="00502947" w:rsidRPr="0082680A">
        <w:rPr>
          <w:lang w:val="en-GB"/>
        </w:rPr>
        <w:t xml:space="preserve">. </w:t>
      </w:r>
      <w:r w:rsidR="00E2053C" w:rsidRPr="0082680A">
        <w:rPr>
          <w:lang w:val="en-GB"/>
        </w:rPr>
        <w:t>There are a number of proteasomal proteins in the network, as well as tubulins, reflecting the roles of both the proteasome and the cytoskeleton in TDP-43 accumulation and cell death.</w:t>
      </w:r>
    </w:p>
    <w:p w14:paraId="015760AD" w14:textId="23CBBC5A" w:rsidR="00E2053C" w:rsidRPr="0082680A" w:rsidRDefault="00E2053C" w:rsidP="00EB41E2">
      <w:pPr>
        <w:rPr>
          <w:lang w:val="en-GB"/>
        </w:rPr>
      </w:pPr>
    </w:p>
    <w:p w14:paraId="5A0581A4" w14:textId="77777777" w:rsidR="00E2053C" w:rsidRPr="0082680A" w:rsidRDefault="00E2053C" w:rsidP="00EB41E2">
      <w:pPr>
        <w:rPr>
          <w:lang w:val="en-GB"/>
        </w:rPr>
      </w:pPr>
    </w:p>
    <w:p w14:paraId="449874AE" w14:textId="77777777" w:rsidR="00E2053C" w:rsidRPr="0082680A" w:rsidRDefault="00E2053C" w:rsidP="00E2053C">
      <w:pPr>
        <w:pStyle w:val="NoSpacing"/>
        <w:rPr>
          <w:lang w:val="en-GB"/>
        </w:rPr>
      </w:pPr>
      <w:r w:rsidRPr="0082680A">
        <w:rPr>
          <w:noProof/>
          <w:lang w:val="en-GB"/>
        </w:rPr>
        <w:drawing>
          <wp:inline distT="0" distB="0" distL="0" distR="0" wp14:anchorId="05868EE1" wp14:editId="63436628">
            <wp:extent cx="5041127" cy="1556700"/>
            <wp:effectExtent l="0" t="0" r="127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DP_Module_BenchmarkEnrichment.pdf"/>
                    <pic:cNvPicPr/>
                  </pic:nvPicPr>
                  <pic:blipFill rotWithShape="1">
                    <a:blip r:embed="rId76">
                      <a:extLst>
                        <a:ext uri="{28A0092B-C50C-407E-A947-70E740481C1C}">
                          <a14:useLocalDpi xmlns:a14="http://schemas.microsoft.com/office/drawing/2010/main" val="0"/>
                        </a:ext>
                      </a:extLst>
                    </a:blip>
                    <a:srcRect t="-1" b="54533"/>
                    <a:stretch/>
                  </pic:blipFill>
                  <pic:spPr bwMode="auto">
                    <a:xfrm>
                      <a:off x="0" y="0"/>
                      <a:ext cx="5087215" cy="1570932"/>
                    </a:xfrm>
                    <a:prstGeom prst="rect">
                      <a:avLst/>
                    </a:prstGeom>
                    <a:ln>
                      <a:noFill/>
                    </a:ln>
                    <a:extLst>
                      <a:ext uri="{53640926-AAD7-44D8-BBD7-CCE9431645EC}">
                        <a14:shadowObscured xmlns:a14="http://schemas.microsoft.com/office/drawing/2010/main"/>
                      </a:ext>
                    </a:extLst>
                  </pic:spPr>
                </pic:pic>
              </a:graphicData>
            </a:graphic>
          </wp:inline>
        </w:drawing>
      </w:r>
    </w:p>
    <w:p w14:paraId="72E32BFB" w14:textId="234D810A" w:rsidR="00E2053C" w:rsidRPr="0082680A" w:rsidRDefault="00E2053C" w:rsidP="00E2053C">
      <w:pPr>
        <w:pStyle w:val="Caption"/>
        <w:rPr>
          <w:b w:val="0"/>
          <w:lang w:val="en-GB"/>
        </w:rPr>
      </w:pPr>
      <w:bookmarkStart w:id="149" w:name="_Toc3225929"/>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15</w:t>
      </w:r>
      <w:r w:rsidR="00483095">
        <w:rPr>
          <w:lang w:val="en-GB"/>
        </w:rPr>
        <w:fldChar w:fldCharType="end"/>
      </w:r>
      <w:r w:rsidRPr="0082680A">
        <w:rPr>
          <w:lang w:val="en-GB"/>
        </w:rPr>
        <w:t xml:space="preserve">: </w:t>
      </w:r>
      <w:r w:rsidRPr="0082680A">
        <w:rPr>
          <w:b w:val="0"/>
          <w:lang w:val="en-GB"/>
        </w:rPr>
        <w:t>Results of enrichment analysis for overlap between curated TDP-43-associated genes’ proteins and the common coexpression module.</w:t>
      </w:r>
      <w:bookmarkEnd w:id="149"/>
      <w:r w:rsidRPr="0082680A">
        <w:rPr>
          <w:b w:val="0"/>
          <w:lang w:val="en-GB"/>
        </w:rPr>
        <w:t xml:space="preserve"> </w:t>
      </w:r>
    </w:p>
    <w:p w14:paraId="6B7B18E5" w14:textId="4A465967" w:rsidR="006D2854" w:rsidRPr="0082680A" w:rsidRDefault="00E2053C" w:rsidP="00E2053C">
      <w:pPr>
        <w:rPr>
          <w:iCs/>
          <w:color w:val="000000" w:themeColor="text1"/>
          <w:sz w:val="20"/>
          <w:szCs w:val="18"/>
          <w:lang w:val="en-GB"/>
        </w:rPr>
      </w:pPr>
      <w:r w:rsidRPr="0082680A">
        <w:rPr>
          <w:b/>
          <w:lang w:val="en-GB"/>
        </w:rPr>
        <w:br w:type="page"/>
      </w:r>
    </w:p>
    <w:p w14:paraId="2D456619" w14:textId="77777777" w:rsidR="00E2053C" w:rsidRPr="0082680A" w:rsidRDefault="00E2053C" w:rsidP="00E2053C">
      <w:pPr>
        <w:pStyle w:val="NoSpacing"/>
        <w:rPr>
          <w:lang w:val="en-GB"/>
        </w:rPr>
      </w:pPr>
      <w:r w:rsidRPr="0082680A">
        <w:rPr>
          <w:noProof/>
          <w:lang w:val="en-GB"/>
        </w:rPr>
        <w:lastRenderedPageBreak/>
        <w:drawing>
          <wp:inline distT="0" distB="0" distL="0" distR="0" wp14:anchorId="6A9BE081" wp14:editId="661A4ECF">
            <wp:extent cx="5039360" cy="3716655"/>
            <wp:effectExtent l="0" t="0" r="254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DP_Module_KWREnrichment.pdf"/>
                    <pic:cNvPicPr/>
                  </pic:nvPicPr>
                  <pic:blipFill>
                    <a:blip r:embed="rId77">
                      <a:extLst>
                        <a:ext uri="{28A0092B-C50C-407E-A947-70E740481C1C}">
                          <a14:useLocalDpi xmlns:a14="http://schemas.microsoft.com/office/drawing/2010/main" val="0"/>
                        </a:ext>
                      </a:extLst>
                    </a:blip>
                    <a:stretch>
                      <a:fillRect/>
                    </a:stretch>
                  </pic:blipFill>
                  <pic:spPr>
                    <a:xfrm>
                      <a:off x="0" y="0"/>
                      <a:ext cx="5039360" cy="3716655"/>
                    </a:xfrm>
                    <a:prstGeom prst="rect">
                      <a:avLst/>
                    </a:prstGeom>
                  </pic:spPr>
                </pic:pic>
              </a:graphicData>
            </a:graphic>
          </wp:inline>
        </w:drawing>
      </w:r>
    </w:p>
    <w:p w14:paraId="29EA6517" w14:textId="686949E4" w:rsidR="00786F2D" w:rsidRPr="0082680A" w:rsidRDefault="00E2053C" w:rsidP="00E2053C">
      <w:pPr>
        <w:pStyle w:val="Caption"/>
        <w:rPr>
          <w:lang w:val="en-GB"/>
        </w:rPr>
      </w:pPr>
      <w:bookmarkStart w:id="150" w:name="_Toc3225930"/>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16</w:t>
      </w:r>
      <w:r w:rsidR="00483095">
        <w:rPr>
          <w:lang w:val="en-GB"/>
        </w:rPr>
        <w:fldChar w:fldCharType="end"/>
      </w:r>
      <w:r w:rsidRPr="0082680A">
        <w:rPr>
          <w:lang w:val="en-GB"/>
        </w:rPr>
        <w:t>:</w:t>
      </w:r>
      <w:r w:rsidRPr="0082680A">
        <w:rPr>
          <w:b w:val="0"/>
          <w:lang w:val="en-GB"/>
        </w:rPr>
        <w:t xml:space="preserve"> Top 10 enriched pathways in KEGG, Wikipathways, and Reactome databases for </w:t>
      </w:r>
      <w:r w:rsidR="0083316D" w:rsidRPr="0082680A">
        <w:rPr>
          <w:b w:val="0"/>
          <w:lang w:val="en-GB"/>
        </w:rPr>
        <w:t>TDP-43 common coexpression module</w:t>
      </w:r>
      <w:r w:rsidR="00D8751A">
        <w:rPr>
          <w:b w:val="0"/>
          <w:lang w:val="en-GB"/>
        </w:rPr>
        <w:t>. P-Values are adjusted.</w:t>
      </w:r>
      <w:bookmarkEnd w:id="150"/>
    </w:p>
    <w:p w14:paraId="03B7B971" w14:textId="77777777" w:rsidR="00E2053C" w:rsidRPr="0082680A" w:rsidRDefault="00E2053C" w:rsidP="00EB41E2">
      <w:pPr>
        <w:rPr>
          <w:lang w:val="en-GB"/>
        </w:rPr>
      </w:pPr>
    </w:p>
    <w:p w14:paraId="0F2FE73D" w14:textId="77777777" w:rsidR="00786F2D" w:rsidRPr="0082680A" w:rsidRDefault="00786F2D" w:rsidP="00786F2D">
      <w:pPr>
        <w:pStyle w:val="NoSpacing"/>
        <w:rPr>
          <w:lang w:val="en-GB"/>
        </w:rPr>
      </w:pPr>
      <w:r w:rsidRPr="0082680A">
        <w:rPr>
          <w:noProof/>
          <w:lang w:val="en-GB"/>
        </w:rPr>
        <w:drawing>
          <wp:inline distT="0" distB="0" distL="0" distR="0" wp14:anchorId="55A99BEB" wp14:editId="48629F6F">
            <wp:extent cx="5039360" cy="3716528"/>
            <wp:effectExtent l="0" t="0" r="254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DP_PPI_GOEnrichment.pdf"/>
                    <pic:cNvPicPr/>
                  </pic:nvPicPr>
                  <pic:blipFill>
                    <a:blip r:embed="rId78">
                      <a:extLst>
                        <a:ext uri="{28A0092B-C50C-407E-A947-70E740481C1C}">
                          <a14:useLocalDpi xmlns:a14="http://schemas.microsoft.com/office/drawing/2010/main" val="0"/>
                        </a:ext>
                      </a:extLst>
                    </a:blip>
                    <a:stretch>
                      <a:fillRect/>
                    </a:stretch>
                  </pic:blipFill>
                  <pic:spPr>
                    <a:xfrm>
                      <a:off x="0" y="0"/>
                      <a:ext cx="5039360" cy="3716528"/>
                    </a:xfrm>
                    <a:prstGeom prst="rect">
                      <a:avLst/>
                    </a:prstGeom>
                  </pic:spPr>
                </pic:pic>
              </a:graphicData>
            </a:graphic>
          </wp:inline>
        </w:drawing>
      </w:r>
    </w:p>
    <w:p w14:paraId="24448B2A" w14:textId="1EE57312" w:rsidR="00E2053C" w:rsidRPr="0082680A" w:rsidRDefault="00786F2D" w:rsidP="00EB778D">
      <w:pPr>
        <w:pStyle w:val="Caption"/>
        <w:rPr>
          <w:b w:val="0"/>
          <w:lang w:val="en-GB"/>
        </w:rPr>
      </w:pPr>
      <w:bookmarkStart w:id="151" w:name="_Toc3225931"/>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17</w:t>
      </w:r>
      <w:r w:rsidR="00483095">
        <w:rPr>
          <w:lang w:val="en-GB"/>
        </w:rPr>
        <w:fldChar w:fldCharType="end"/>
      </w:r>
      <w:r w:rsidRPr="0082680A">
        <w:rPr>
          <w:lang w:val="en-GB"/>
        </w:rPr>
        <w:t>:</w:t>
      </w:r>
      <w:r w:rsidRPr="0082680A">
        <w:rPr>
          <w:b w:val="0"/>
          <w:lang w:val="en-GB"/>
        </w:rPr>
        <w:t xml:space="preserve"> </w:t>
      </w:r>
      <w:r w:rsidR="002229B7" w:rsidRPr="0082680A">
        <w:rPr>
          <w:b w:val="0"/>
          <w:lang w:val="en-GB"/>
        </w:rPr>
        <w:t xml:space="preserve">Top 10 enriched GO terms in each category for the TDP-43 </w:t>
      </w:r>
      <w:r w:rsidR="0083316D" w:rsidRPr="0082680A">
        <w:rPr>
          <w:b w:val="0"/>
          <w:lang w:val="en-GB"/>
        </w:rPr>
        <w:t>common coexpression module</w:t>
      </w:r>
      <w:r w:rsidR="00D8751A">
        <w:rPr>
          <w:b w:val="0"/>
          <w:lang w:val="en-GB"/>
        </w:rPr>
        <w:t>. P-Values are adjusted.</w:t>
      </w:r>
      <w:bookmarkEnd w:id="151"/>
      <w:r w:rsidR="00E2053C" w:rsidRPr="0082680A">
        <w:rPr>
          <w:b w:val="0"/>
          <w:lang w:val="en-GB"/>
        </w:rPr>
        <w:br w:type="page"/>
      </w:r>
    </w:p>
    <w:p w14:paraId="538CF97E" w14:textId="0727DFA4" w:rsidR="00E2053C" w:rsidRPr="0082680A" w:rsidRDefault="00E2053C" w:rsidP="00E2053C">
      <w:pPr>
        <w:rPr>
          <w:lang w:val="en-GB"/>
        </w:rPr>
      </w:pPr>
      <w:r w:rsidRPr="0082680A">
        <w:rPr>
          <w:lang w:val="en-GB"/>
        </w:rPr>
        <w:lastRenderedPageBreak/>
        <w:t xml:space="preserve">In addition to functional and benchmark analysis, we also investigated the number of protein-protein interactions the subnetwork module members’ proteins share with the proteins of </w:t>
      </w:r>
      <w:r w:rsidR="00396E1F" w:rsidRPr="0082680A">
        <w:rPr>
          <w:lang w:val="en-GB"/>
        </w:rPr>
        <w:t>the</w:t>
      </w:r>
      <w:r w:rsidRPr="0082680A">
        <w:rPr>
          <w:lang w:val="en-GB"/>
        </w:rPr>
        <w:t xml:space="preserve"> TDP-43 </w:t>
      </w:r>
      <w:r w:rsidR="00396E1F" w:rsidRPr="0082680A">
        <w:rPr>
          <w:lang w:val="en-GB"/>
        </w:rPr>
        <w:t>disease</w:t>
      </w:r>
      <w:r w:rsidRPr="0082680A">
        <w:rPr>
          <w:lang w:val="en-GB"/>
        </w:rPr>
        <w:t xml:space="preserve"> genes. By seeding IrefIndex v14 with the combined subnetwork module gene list and our curated disease gene list, we discovered that 109 of the 234 subnetwork module members’ proteins formed at least one protein interaction with 47 TDP-43 disease gene proteins, with a total of 205 edges (</w:t>
      </w:r>
      <w:r w:rsidR="00CC6015" w:rsidRPr="0082680A">
        <w:rPr>
          <w:lang w:val="en-GB"/>
        </w:rPr>
        <w:t xml:space="preserve">Figure </w:t>
      </w:r>
      <w:r w:rsidR="0061081A">
        <w:rPr>
          <w:lang w:val="en-GB"/>
        </w:rPr>
        <w:t>7</w:t>
      </w:r>
      <w:r w:rsidRPr="0082680A">
        <w:rPr>
          <w:lang w:val="en-GB"/>
        </w:rPr>
        <w:t xml:space="preserve">). Random permutation testing - following the same methodology as previously </w:t>
      </w:r>
      <w:r w:rsidR="00396E1F" w:rsidRPr="0082680A">
        <w:rPr>
          <w:lang w:val="en-GB"/>
        </w:rPr>
        <w:t>reported</w:t>
      </w:r>
      <w:r w:rsidRPr="0082680A">
        <w:rPr>
          <w:lang w:val="en-GB"/>
        </w:rPr>
        <w:t xml:space="preserve"> - revealed this number of interactions to be significantly higher than expected by chance, though as the actual number of edges did not lie within the distribution, a P-value could not be calculated </w:t>
      </w:r>
      <w:r w:rsidR="001200FB" w:rsidRPr="0082680A">
        <w:rPr>
          <w:lang w:val="en-GB"/>
        </w:rPr>
        <w:t>(Table 1</w:t>
      </w:r>
      <w:r w:rsidR="0061081A">
        <w:rPr>
          <w:lang w:val="en-GB"/>
        </w:rPr>
        <w:t>8</w:t>
      </w:r>
      <w:r w:rsidR="001200FB" w:rsidRPr="0082680A">
        <w:rPr>
          <w:lang w:val="en-GB"/>
        </w:rPr>
        <w:t>)</w:t>
      </w:r>
      <w:r w:rsidRPr="0082680A">
        <w:rPr>
          <w:lang w:val="en-GB"/>
        </w:rPr>
        <w:t>.</w:t>
      </w:r>
    </w:p>
    <w:p w14:paraId="522946CF" w14:textId="77777777" w:rsidR="002040A3" w:rsidRPr="0082680A" w:rsidRDefault="002040A3" w:rsidP="00E2053C">
      <w:pPr>
        <w:rPr>
          <w:lang w:val="en-GB"/>
        </w:rPr>
      </w:pPr>
    </w:p>
    <w:p w14:paraId="723C4799" w14:textId="77777777" w:rsidR="008729C9" w:rsidRPr="0082680A" w:rsidRDefault="008729C9" w:rsidP="00844611">
      <w:pPr>
        <w:pStyle w:val="NoSpacing"/>
        <w:ind w:left="-567"/>
        <w:rPr>
          <w:lang w:val="en-GB"/>
        </w:rPr>
      </w:pPr>
      <w:r w:rsidRPr="0082680A">
        <w:rPr>
          <w:noProof/>
          <w:lang w:val="en-GB"/>
        </w:rPr>
        <w:drawing>
          <wp:inline distT="0" distB="0" distL="0" distR="0" wp14:anchorId="09A8FD2E" wp14:editId="3FDE0A19">
            <wp:extent cx="5424055" cy="54363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nalPDPPI.pdf"/>
                    <pic:cNvPicPr/>
                  </pic:nvPicPr>
                  <pic:blipFill rotWithShape="1">
                    <a:blip r:embed="rId79">
                      <a:extLst>
                        <a:ext uri="{28A0092B-C50C-407E-A947-70E740481C1C}">
                          <a14:useLocalDpi xmlns:a14="http://schemas.microsoft.com/office/drawing/2010/main" val="0"/>
                        </a:ext>
                      </a:extLst>
                    </a:blip>
                    <a:srcRect l="3782" r="3674"/>
                    <a:stretch/>
                  </pic:blipFill>
                  <pic:spPr bwMode="auto">
                    <a:xfrm>
                      <a:off x="0" y="0"/>
                      <a:ext cx="5447272" cy="5459640"/>
                    </a:xfrm>
                    <a:prstGeom prst="rect">
                      <a:avLst/>
                    </a:prstGeom>
                    <a:ln>
                      <a:noFill/>
                    </a:ln>
                    <a:extLst>
                      <a:ext uri="{53640926-AAD7-44D8-BBD7-CCE9431645EC}">
                        <a14:shadowObscured xmlns:a14="http://schemas.microsoft.com/office/drawing/2010/main"/>
                      </a:ext>
                    </a:extLst>
                  </pic:spPr>
                </pic:pic>
              </a:graphicData>
            </a:graphic>
          </wp:inline>
        </w:drawing>
      </w:r>
    </w:p>
    <w:p w14:paraId="15374B71" w14:textId="5C6B4ECF" w:rsidR="004D1F68" w:rsidRPr="0082680A" w:rsidRDefault="008729C9" w:rsidP="00614FBB">
      <w:pPr>
        <w:pStyle w:val="Caption"/>
        <w:ind w:left="-284"/>
        <w:rPr>
          <w:lang w:val="en-GB"/>
        </w:rPr>
      </w:pPr>
      <w:bookmarkStart w:id="152" w:name="_Toc3226002"/>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6</w:t>
      </w:r>
      <w:r w:rsidR="00666C92" w:rsidRPr="0082680A">
        <w:rPr>
          <w:noProof/>
          <w:lang w:val="en-GB"/>
        </w:rPr>
        <w:fldChar w:fldCharType="end"/>
      </w:r>
      <w:r w:rsidRPr="0082680A">
        <w:rPr>
          <w:lang w:val="en-GB"/>
        </w:rPr>
        <w:t>:</w:t>
      </w:r>
      <w:r w:rsidR="00422E98" w:rsidRPr="0082680A">
        <w:rPr>
          <w:lang w:val="en-GB"/>
        </w:rPr>
        <w:t xml:space="preserve"> </w:t>
      </w:r>
      <w:r w:rsidR="00F82694" w:rsidRPr="0082680A">
        <w:rPr>
          <w:b w:val="0"/>
          <w:lang w:val="en-GB"/>
        </w:rPr>
        <w:t xml:space="preserve">Protein interaction network showing </w:t>
      </w:r>
      <w:r w:rsidR="00F84D4B" w:rsidRPr="0082680A">
        <w:rPr>
          <w:b w:val="0"/>
          <w:lang w:val="en-GB"/>
        </w:rPr>
        <w:t>relationships between network module proteins</w:t>
      </w:r>
      <w:r w:rsidR="002040A3" w:rsidRPr="0082680A">
        <w:rPr>
          <w:b w:val="0"/>
          <w:lang w:val="en-GB"/>
        </w:rPr>
        <w:t xml:space="preserve"> (blue)</w:t>
      </w:r>
      <w:r w:rsidR="00F84D4B" w:rsidRPr="0082680A">
        <w:rPr>
          <w:b w:val="0"/>
          <w:lang w:val="en-GB"/>
        </w:rPr>
        <w:t xml:space="preserve"> and TDP-43 disease proteins</w:t>
      </w:r>
      <w:r w:rsidR="002040A3" w:rsidRPr="0082680A">
        <w:rPr>
          <w:b w:val="0"/>
          <w:lang w:val="en-GB"/>
        </w:rPr>
        <w:t xml:space="preserve"> (green)</w:t>
      </w:r>
      <w:r w:rsidR="00614FBB">
        <w:rPr>
          <w:b w:val="0"/>
          <w:lang w:val="en-GB"/>
        </w:rPr>
        <w:t>. Orange-coloured proteins are both module and disease proteins</w:t>
      </w:r>
      <w:r w:rsidR="00F84D4B" w:rsidRPr="0082680A">
        <w:rPr>
          <w:b w:val="0"/>
          <w:lang w:val="en-GB"/>
        </w:rPr>
        <w:t>.</w:t>
      </w:r>
      <w:bookmarkEnd w:id="152"/>
      <w:r w:rsidR="00F84D4B" w:rsidRPr="0082680A">
        <w:rPr>
          <w:lang w:val="en-GB"/>
        </w:rPr>
        <w:t xml:space="preserve"> </w:t>
      </w:r>
      <w:r w:rsidR="00CC6015" w:rsidRPr="0082680A">
        <w:rPr>
          <w:lang w:val="en-GB"/>
        </w:rPr>
        <w:br w:type="page"/>
      </w:r>
    </w:p>
    <w:p w14:paraId="1462A4C6" w14:textId="77777777" w:rsidR="00A554B1" w:rsidRPr="0082680A" w:rsidRDefault="00652762" w:rsidP="00736AB1">
      <w:pPr>
        <w:pStyle w:val="NoSpacing"/>
        <w:rPr>
          <w:lang w:val="en-GB"/>
        </w:rPr>
      </w:pPr>
      <w:r w:rsidRPr="0082680A">
        <w:rPr>
          <w:noProof/>
          <w:lang w:val="en-GB"/>
        </w:rPr>
        <w:lastRenderedPageBreak/>
        <w:drawing>
          <wp:inline distT="0" distB="0" distL="0" distR="0" wp14:anchorId="6D3C537F" wp14:editId="63FDE9A8">
            <wp:extent cx="5002987" cy="1439056"/>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TDP_DiseaseNetworkPPI_RPT.pdf"/>
                    <pic:cNvPicPr/>
                  </pic:nvPicPr>
                  <pic:blipFill rotWithShape="1">
                    <a:blip r:embed="rId80">
                      <a:extLst>
                        <a:ext uri="{28A0092B-C50C-407E-A947-70E740481C1C}">
                          <a14:useLocalDpi xmlns:a14="http://schemas.microsoft.com/office/drawing/2010/main" val="0"/>
                        </a:ext>
                      </a:extLst>
                    </a:blip>
                    <a:srcRect b="57648"/>
                    <a:stretch/>
                  </pic:blipFill>
                  <pic:spPr bwMode="auto">
                    <a:xfrm>
                      <a:off x="0" y="0"/>
                      <a:ext cx="5025535" cy="1445542"/>
                    </a:xfrm>
                    <a:prstGeom prst="rect">
                      <a:avLst/>
                    </a:prstGeom>
                    <a:ln>
                      <a:noFill/>
                    </a:ln>
                    <a:extLst>
                      <a:ext uri="{53640926-AAD7-44D8-BBD7-CCE9431645EC}">
                        <a14:shadowObscured xmlns:a14="http://schemas.microsoft.com/office/drawing/2010/main"/>
                      </a:ext>
                    </a:extLst>
                  </pic:spPr>
                </pic:pic>
              </a:graphicData>
            </a:graphic>
          </wp:inline>
        </w:drawing>
      </w:r>
    </w:p>
    <w:p w14:paraId="1BEC7362" w14:textId="39DB0080" w:rsidR="00652762" w:rsidRPr="0082680A" w:rsidRDefault="00A554B1" w:rsidP="00A554B1">
      <w:pPr>
        <w:pStyle w:val="Caption"/>
        <w:rPr>
          <w:b w:val="0"/>
          <w:lang w:val="en-GB"/>
        </w:rPr>
      </w:pPr>
      <w:bookmarkStart w:id="153" w:name="_Toc3225932"/>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18</w:t>
      </w:r>
      <w:r w:rsidR="00483095">
        <w:rPr>
          <w:lang w:val="en-GB"/>
        </w:rPr>
        <w:fldChar w:fldCharType="end"/>
      </w:r>
      <w:r w:rsidRPr="0082680A">
        <w:rPr>
          <w:lang w:val="en-GB"/>
        </w:rPr>
        <w:t xml:space="preserve">: </w:t>
      </w:r>
      <w:r w:rsidRPr="0082680A">
        <w:rPr>
          <w:b w:val="0"/>
          <w:lang w:val="en-GB"/>
        </w:rPr>
        <w:t>Results of random permutation test for expected number of protein interaction edges with TDP-43 Disease Genes</w:t>
      </w:r>
      <w:bookmarkEnd w:id="153"/>
    </w:p>
    <w:p w14:paraId="4B1BB2C7" w14:textId="78E2979C" w:rsidR="00E669C2" w:rsidRPr="0082680A" w:rsidRDefault="002365CE" w:rsidP="002365CE">
      <w:pPr>
        <w:rPr>
          <w:iCs/>
          <w:color w:val="000000" w:themeColor="text1"/>
          <w:sz w:val="20"/>
          <w:szCs w:val="18"/>
          <w:lang w:val="en-GB"/>
        </w:rPr>
      </w:pPr>
      <w:r w:rsidRPr="0082680A">
        <w:rPr>
          <w:b/>
          <w:lang w:val="en-GB"/>
        </w:rPr>
        <w:br w:type="page"/>
      </w:r>
    </w:p>
    <w:p w14:paraId="79E9E9A7" w14:textId="6C02B082" w:rsidR="004D1F68" w:rsidRPr="0082680A" w:rsidRDefault="004D1F68" w:rsidP="00842FD0">
      <w:pPr>
        <w:pStyle w:val="Heading4"/>
        <w:rPr>
          <w:lang w:val="en-GB"/>
        </w:rPr>
      </w:pPr>
      <w:bookmarkStart w:id="154" w:name="_Toc3211360"/>
      <w:r w:rsidRPr="0082680A">
        <w:rPr>
          <w:lang w:val="en-GB"/>
        </w:rPr>
        <w:lastRenderedPageBreak/>
        <w:t xml:space="preserve">Enrichment of </w:t>
      </w:r>
      <w:r w:rsidR="00C73FF0" w:rsidRPr="0082680A">
        <w:rPr>
          <w:lang w:val="en-GB"/>
        </w:rPr>
        <w:t xml:space="preserve">Disease-Associated </w:t>
      </w:r>
      <w:r w:rsidRPr="0082680A">
        <w:rPr>
          <w:lang w:val="en-GB"/>
        </w:rPr>
        <w:t>Mutations in the Common Coexpression Module</w:t>
      </w:r>
      <w:bookmarkEnd w:id="154"/>
    </w:p>
    <w:p w14:paraId="66EA451F" w14:textId="1E4A249C" w:rsidR="004D1F68" w:rsidRPr="0082680A" w:rsidRDefault="00AB0CF6" w:rsidP="004D1F68">
      <w:pPr>
        <w:rPr>
          <w:lang w:val="en-GB"/>
        </w:rPr>
      </w:pPr>
      <w:r w:rsidRPr="0082680A">
        <w:rPr>
          <w:lang w:val="en-GB"/>
        </w:rPr>
        <w:t xml:space="preserve">Our </w:t>
      </w:r>
      <w:r w:rsidR="00B05205" w:rsidRPr="0082680A">
        <w:rPr>
          <w:lang w:val="en-GB"/>
        </w:rPr>
        <w:t>aim</w:t>
      </w:r>
      <w:r w:rsidRPr="0082680A">
        <w:rPr>
          <w:lang w:val="en-GB"/>
        </w:rPr>
        <w:t xml:space="preserve"> for this methodology was</w:t>
      </w:r>
      <w:r w:rsidR="00B05205" w:rsidRPr="0082680A">
        <w:rPr>
          <w:lang w:val="en-GB"/>
        </w:rPr>
        <w:t xml:space="preserve"> to successfully isolate</w:t>
      </w:r>
      <w:r w:rsidR="004D1F68" w:rsidRPr="0082680A">
        <w:rPr>
          <w:lang w:val="en-GB"/>
        </w:rPr>
        <w:t xml:space="preserve"> upstream drivers of </w:t>
      </w:r>
      <w:r w:rsidR="00B05205" w:rsidRPr="0082680A">
        <w:rPr>
          <w:lang w:val="en-GB"/>
        </w:rPr>
        <w:t>a given phenotype.</w:t>
      </w:r>
      <w:r w:rsidR="004D1F68" w:rsidRPr="0082680A">
        <w:rPr>
          <w:lang w:val="en-GB"/>
        </w:rPr>
        <w:t xml:space="preserve"> </w:t>
      </w:r>
      <w:r w:rsidR="00B05205" w:rsidRPr="0082680A">
        <w:rPr>
          <w:lang w:val="en-GB"/>
        </w:rPr>
        <w:t>So far, we have identified a</w:t>
      </w:r>
      <w:r w:rsidR="004D1F68" w:rsidRPr="0082680A">
        <w:rPr>
          <w:lang w:val="en-GB"/>
        </w:rPr>
        <w:t xml:space="preserve"> coexpression module </w:t>
      </w:r>
      <w:r w:rsidR="00B05205" w:rsidRPr="0082680A">
        <w:rPr>
          <w:lang w:val="en-GB"/>
        </w:rPr>
        <w:t xml:space="preserve">which </w:t>
      </w:r>
      <w:r w:rsidR="00000BF9" w:rsidRPr="0082680A">
        <w:rPr>
          <w:lang w:val="en-GB"/>
        </w:rPr>
        <w:t xml:space="preserve">overlaps significantly with pathways and gene lists we consider representative of TDP-43 function and dysfunction. However, it is not clear whether this coexpression module </w:t>
      </w:r>
      <w:r w:rsidR="00BF5C46" w:rsidRPr="0082680A">
        <w:rPr>
          <w:lang w:val="en-GB"/>
        </w:rPr>
        <w:t>possesses upstream drivers of TDP-43 dysfunction, or just downstream victims of its aberrancy.</w:t>
      </w:r>
      <w:r w:rsidR="00563022" w:rsidRPr="0082680A">
        <w:rPr>
          <w:lang w:val="en-GB"/>
        </w:rPr>
        <w:t xml:space="preserve"> </w:t>
      </w:r>
      <w:r w:rsidR="0043031E" w:rsidRPr="0082680A">
        <w:rPr>
          <w:lang w:val="en-GB"/>
        </w:rPr>
        <w:t>Defining “upstreamness”</w:t>
      </w:r>
      <w:r w:rsidR="008735E1" w:rsidRPr="0082680A">
        <w:rPr>
          <w:lang w:val="en-GB"/>
        </w:rPr>
        <w:t xml:space="preserve"> is challenging</w:t>
      </w:r>
      <w:r w:rsidR="0043031E" w:rsidRPr="0082680A">
        <w:rPr>
          <w:lang w:val="en-GB"/>
        </w:rPr>
        <w:t xml:space="preserve"> as directionality of events is hard to establish, particularly in post-mortem cases such as ours. Where we cannot perform laboratory experiments to confirm directionality in the disease state, we can instead infer</w:t>
      </w:r>
      <w:r w:rsidR="008735E1" w:rsidRPr="0082680A">
        <w:rPr>
          <w:lang w:val="en-GB"/>
        </w:rPr>
        <w:t xml:space="preserve"> </w:t>
      </w:r>
      <w:r w:rsidR="00490C99" w:rsidRPr="0082680A">
        <w:rPr>
          <w:lang w:val="en-GB"/>
        </w:rPr>
        <w:t xml:space="preserve">“upstreamness” using proxy measures. </w:t>
      </w:r>
      <w:r w:rsidR="009E314A">
        <w:rPr>
          <w:lang w:val="en-GB"/>
        </w:rPr>
        <w:t>For example,</w:t>
      </w:r>
      <w:r w:rsidR="007318C9" w:rsidRPr="0082680A">
        <w:rPr>
          <w:lang w:val="en-GB"/>
        </w:rPr>
        <w:t xml:space="preserve"> </w:t>
      </w:r>
      <w:r w:rsidR="009E314A">
        <w:rPr>
          <w:lang w:val="en-GB"/>
        </w:rPr>
        <w:t>if we can identify disease-associated mutations within genes of the network, we have more reason to suspect these genes may be upstream of the phenotype</w:t>
      </w:r>
      <w:r w:rsidR="004D1F68" w:rsidRPr="0082680A">
        <w:rPr>
          <w:lang w:val="en-GB"/>
        </w:rPr>
        <w:t xml:space="preserve">. </w:t>
      </w:r>
      <w:r w:rsidR="009D453F" w:rsidRPr="0082680A">
        <w:rPr>
          <w:lang w:val="en-GB"/>
        </w:rPr>
        <w:t xml:space="preserve">We have already seen that a number of known neurodegeneration-associated genes are </w:t>
      </w:r>
      <w:r w:rsidR="00A86D5D" w:rsidRPr="0082680A">
        <w:rPr>
          <w:lang w:val="en-GB"/>
        </w:rPr>
        <w:t>present within the network, however we do not know if there is an enrichment of variants in the network</w:t>
      </w:r>
      <w:r w:rsidR="004C01B0" w:rsidRPr="0082680A">
        <w:rPr>
          <w:lang w:val="en-GB"/>
        </w:rPr>
        <w:t>.</w:t>
      </w:r>
    </w:p>
    <w:p w14:paraId="519353B8" w14:textId="1BFF9E07" w:rsidR="00A86D5D" w:rsidRPr="0082680A" w:rsidRDefault="00A86D5D" w:rsidP="004D1F68">
      <w:pPr>
        <w:rPr>
          <w:lang w:val="en-GB"/>
        </w:rPr>
      </w:pPr>
    </w:p>
    <w:p w14:paraId="621D2392" w14:textId="69C8ED52" w:rsidR="00D97106" w:rsidRPr="0082680A" w:rsidRDefault="00A86D5D" w:rsidP="007758F4">
      <w:pPr>
        <w:rPr>
          <w:lang w:val="en-GB"/>
        </w:rPr>
      </w:pPr>
      <w:r w:rsidRPr="0082680A">
        <w:rPr>
          <w:lang w:val="en-GB"/>
        </w:rPr>
        <w:t xml:space="preserve">The first step was to collect gene-disease associations from </w:t>
      </w:r>
      <w:r w:rsidR="00F141BB" w:rsidRPr="0082680A">
        <w:rPr>
          <w:lang w:val="en-GB"/>
        </w:rPr>
        <w:t xml:space="preserve">the </w:t>
      </w:r>
      <w:r w:rsidRPr="0082680A">
        <w:rPr>
          <w:lang w:val="en-GB"/>
        </w:rPr>
        <w:t>GWAS Catalog (</w:t>
      </w:r>
      <w:hyperlink r:id="rId81" w:history="1">
        <w:r w:rsidRPr="0082680A">
          <w:rPr>
            <w:rStyle w:val="Hyperlink"/>
            <w:lang w:val="en-GB"/>
          </w:rPr>
          <w:t>www.ebi.ac.uk/gwas/home</w:t>
        </w:r>
      </w:hyperlink>
      <w:r w:rsidRPr="0082680A">
        <w:rPr>
          <w:lang w:val="en-GB"/>
        </w:rPr>
        <w:t xml:space="preserve">). </w:t>
      </w:r>
      <w:r w:rsidR="00F141BB" w:rsidRPr="0082680A">
        <w:rPr>
          <w:lang w:val="en-GB"/>
        </w:rPr>
        <w:t xml:space="preserve">The </w:t>
      </w:r>
      <w:r w:rsidRPr="0082680A">
        <w:rPr>
          <w:lang w:val="en-GB"/>
        </w:rPr>
        <w:t xml:space="preserve">GWAS Catalog is a database </w:t>
      </w:r>
      <w:r w:rsidR="00396E1F" w:rsidRPr="0082680A">
        <w:rPr>
          <w:lang w:val="en-GB"/>
        </w:rPr>
        <w:t>containing</w:t>
      </w:r>
      <w:r w:rsidRPr="0082680A">
        <w:rPr>
          <w:lang w:val="en-GB"/>
        </w:rPr>
        <w:t xml:space="preserve"> a central collection of published GWAS studies</w:t>
      </w:r>
      <w:r w:rsidR="00396E1F" w:rsidRPr="0082680A">
        <w:rPr>
          <w:lang w:val="en-GB"/>
        </w:rPr>
        <w:t xml:space="preserve">’ </w:t>
      </w:r>
      <w:r w:rsidRPr="0082680A">
        <w:rPr>
          <w:lang w:val="en-GB"/>
        </w:rPr>
        <w:t>results and meta-data. We collected all genes containing</w:t>
      </w:r>
      <w:r w:rsidR="00706027" w:rsidRPr="0082680A">
        <w:rPr>
          <w:lang w:val="en-GB"/>
        </w:rPr>
        <w:t xml:space="preserve"> </w:t>
      </w:r>
      <w:r w:rsidRPr="0082680A">
        <w:rPr>
          <w:lang w:val="en-GB"/>
        </w:rPr>
        <w:t xml:space="preserve">SNPs associated with ALS, FTLD, AD and PD. </w:t>
      </w:r>
      <w:r w:rsidR="00396E1F" w:rsidRPr="0082680A">
        <w:rPr>
          <w:lang w:val="en-GB"/>
        </w:rPr>
        <w:t xml:space="preserve">The latter two conditions were selected over those which more reliably present with TDP-43 dysfunction as these conditions tend to be rarer, whereas AD and PD have been more extensively studied by GWAS. Due to the common occurrence of risk genes overlapping between neurodegenerative conditions, it was thought that AD and PD may provide useful insight into the genetics of TPD-43 dysfunction. The </w:t>
      </w:r>
      <w:r w:rsidRPr="0082680A">
        <w:rPr>
          <w:lang w:val="en-GB"/>
        </w:rPr>
        <w:t>P</w:t>
      </w:r>
      <w:r w:rsidR="005B3BB4" w:rsidRPr="0082680A">
        <w:rPr>
          <w:lang w:val="en-GB"/>
        </w:rPr>
        <w:t>-</w:t>
      </w:r>
      <w:r w:rsidRPr="0082680A">
        <w:rPr>
          <w:lang w:val="en-GB"/>
        </w:rPr>
        <w:t xml:space="preserve">value threshold was left at </w:t>
      </w:r>
      <w:r w:rsidR="00F141BB" w:rsidRPr="0082680A">
        <w:rPr>
          <w:lang w:val="en-GB"/>
        </w:rPr>
        <w:t xml:space="preserve">the </w:t>
      </w:r>
      <w:r w:rsidRPr="0082680A">
        <w:rPr>
          <w:lang w:val="en-GB"/>
        </w:rPr>
        <w:t xml:space="preserve">GWAS </w:t>
      </w:r>
      <w:proofErr w:type="spellStart"/>
      <w:r w:rsidRPr="0082680A">
        <w:rPr>
          <w:lang w:val="en-GB"/>
        </w:rPr>
        <w:t>Catalog’s</w:t>
      </w:r>
      <w:proofErr w:type="spellEnd"/>
      <w:r w:rsidRPr="0082680A">
        <w:rPr>
          <w:lang w:val="en-GB"/>
        </w:rPr>
        <w:t xml:space="preserve"> maximum value of p &lt; 1e-5 as we are also interested in SNPs which are </w:t>
      </w:r>
      <w:proofErr w:type="gramStart"/>
      <w:r w:rsidRPr="0082680A">
        <w:rPr>
          <w:lang w:val="en-GB"/>
        </w:rPr>
        <w:t>approaching, but</w:t>
      </w:r>
      <w:proofErr w:type="gramEnd"/>
      <w:r w:rsidRPr="0082680A">
        <w:rPr>
          <w:lang w:val="en-GB"/>
        </w:rPr>
        <w:t xml:space="preserve"> have not met genome wide significance. Entries were filtered so that the trait reported is related to the disease only, and </w:t>
      </w:r>
      <w:proofErr w:type="spellStart"/>
      <w:r w:rsidRPr="0082680A">
        <w:rPr>
          <w:lang w:val="en-GB"/>
        </w:rPr>
        <w:t>not</w:t>
      </w:r>
      <w:proofErr w:type="spellEnd"/>
      <w:r w:rsidRPr="0082680A">
        <w:rPr>
          <w:lang w:val="en-GB"/>
        </w:rPr>
        <w:t xml:space="preserve"> other features such as age of onset or particular brain regions. Gene identifiers were taken from the column “Reported Genes”, referring to the gene reported by the published study. “Mapped Gene” was not used as this annotation was assigned </w:t>
      </w:r>
      <w:r w:rsidR="007318C9" w:rsidRPr="0082680A">
        <w:rPr>
          <w:lang w:val="en-GB"/>
        </w:rPr>
        <w:t>by an automated pipeline, so was</w:t>
      </w:r>
      <w:r w:rsidRPr="0082680A">
        <w:rPr>
          <w:lang w:val="en-GB"/>
        </w:rPr>
        <w:t xml:space="preserve"> considered </w:t>
      </w:r>
      <w:r w:rsidR="00396E1F" w:rsidRPr="0082680A">
        <w:rPr>
          <w:lang w:val="en-GB"/>
        </w:rPr>
        <w:t>less reliable</w:t>
      </w:r>
      <w:r w:rsidRPr="0082680A">
        <w:rPr>
          <w:lang w:val="en-GB"/>
        </w:rPr>
        <w:t xml:space="preserve">. In the case that a SNP was associated with more than one </w:t>
      </w:r>
      <w:proofErr w:type="gramStart"/>
      <w:r w:rsidRPr="0082680A">
        <w:rPr>
          <w:lang w:val="en-GB"/>
        </w:rPr>
        <w:t>gene</w:t>
      </w:r>
      <w:proofErr w:type="gramEnd"/>
      <w:r w:rsidRPr="0082680A">
        <w:rPr>
          <w:lang w:val="en-GB"/>
        </w:rPr>
        <w:t>, all gene symbols were included. Results were checked to ensure duplications of</w:t>
      </w:r>
      <w:r w:rsidR="00396E1F" w:rsidRPr="0082680A">
        <w:rPr>
          <w:lang w:val="en-GB"/>
        </w:rPr>
        <w:t xml:space="preserve"> the same</w:t>
      </w:r>
      <w:r w:rsidRPr="0082680A">
        <w:rPr>
          <w:lang w:val="en-GB"/>
        </w:rPr>
        <w:t xml:space="preserve"> SNPs with different gene annotations were not present.</w:t>
      </w:r>
      <w:r w:rsidR="00D97106" w:rsidRPr="0082680A">
        <w:rPr>
          <w:lang w:val="en-GB"/>
        </w:rPr>
        <w:t xml:space="preserve"> </w:t>
      </w:r>
      <w:r w:rsidRPr="0082680A">
        <w:rPr>
          <w:lang w:val="en-GB"/>
        </w:rPr>
        <w:t xml:space="preserve">Enrichment analysis was conducted again using </w:t>
      </w:r>
      <w:r w:rsidRPr="0082680A">
        <w:rPr>
          <w:i/>
          <w:lang w:val="en-GB"/>
        </w:rPr>
        <w:t>hyperPathway</w:t>
      </w:r>
      <w:r w:rsidRPr="0082680A">
        <w:rPr>
          <w:lang w:val="en-GB"/>
        </w:rPr>
        <w:t xml:space="preserve">, </w:t>
      </w:r>
      <w:r w:rsidR="00396E1F" w:rsidRPr="0082680A">
        <w:rPr>
          <w:lang w:val="en-GB"/>
        </w:rPr>
        <w:t>however</w:t>
      </w:r>
      <w:r w:rsidRPr="0082680A">
        <w:rPr>
          <w:lang w:val="en-GB"/>
        </w:rPr>
        <w:t xml:space="preserve"> no significant enrichment of GWAS</w:t>
      </w:r>
      <w:r w:rsidR="00D97106" w:rsidRPr="0082680A">
        <w:rPr>
          <w:lang w:val="en-GB"/>
        </w:rPr>
        <w:t xml:space="preserve"> Catalog</w:t>
      </w:r>
      <w:r w:rsidRPr="0082680A">
        <w:rPr>
          <w:lang w:val="en-GB"/>
        </w:rPr>
        <w:t xml:space="preserve"> genes in </w:t>
      </w:r>
      <w:r w:rsidR="00396E1F" w:rsidRPr="0082680A">
        <w:rPr>
          <w:lang w:val="en-GB"/>
        </w:rPr>
        <w:t>any</w:t>
      </w:r>
      <w:r w:rsidRPr="0082680A">
        <w:rPr>
          <w:lang w:val="en-GB"/>
        </w:rPr>
        <w:t xml:space="preserve"> of the four conditions</w:t>
      </w:r>
      <w:r w:rsidR="00396E1F" w:rsidRPr="0082680A">
        <w:rPr>
          <w:lang w:val="en-GB"/>
        </w:rPr>
        <w:t xml:space="preserve"> was found</w:t>
      </w:r>
      <w:r w:rsidRPr="0082680A">
        <w:rPr>
          <w:lang w:val="en-GB"/>
        </w:rPr>
        <w:t xml:space="preserve"> (Table </w:t>
      </w:r>
      <w:r w:rsidR="0061081A">
        <w:rPr>
          <w:lang w:val="en-GB"/>
        </w:rPr>
        <w:t>19</w:t>
      </w:r>
      <w:r w:rsidRPr="0082680A">
        <w:rPr>
          <w:lang w:val="en-GB"/>
        </w:rPr>
        <w:t xml:space="preserve">). </w:t>
      </w:r>
    </w:p>
    <w:p w14:paraId="28F33EEE" w14:textId="77777777" w:rsidR="00C73C11" w:rsidRPr="0082680A" w:rsidRDefault="00C73C11" w:rsidP="00C73C11">
      <w:pPr>
        <w:pStyle w:val="NoSpacing"/>
        <w:rPr>
          <w:lang w:val="en-GB"/>
        </w:rPr>
      </w:pPr>
      <w:r w:rsidRPr="0082680A">
        <w:rPr>
          <w:noProof/>
          <w:lang w:val="en-GB"/>
        </w:rPr>
        <w:lastRenderedPageBreak/>
        <w:drawing>
          <wp:inline distT="0" distB="0" distL="0" distR="0" wp14:anchorId="4F8A1E3C" wp14:editId="32464D59">
            <wp:extent cx="4961744" cy="2258427"/>
            <wp:effectExtent l="0" t="0" r="444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DP_GWASEnrichment.pdf"/>
                    <pic:cNvPicPr/>
                  </pic:nvPicPr>
                  <pic:blipFill rotWithShape="1">
                    <a:blip r:embed="rId82">
                      <a:extLst>
                        <a:ext uri="{28A0092B-C50C-407E-A947-70E740481C1C}">
                          <a14:useLocalDpi xmlns:a14="http://schemas.microsoft.com/office/drawing/2010/main" val="0"/>
                        </a:ext>
                      </a:extLst>
                    </a:blip>
                    <a:srcRect b="32981"/>
                    <a:stretch/>
                  </pic:blipFill>
                  <pic:spPr bwMode="auto">
                    <a:xfrm>
                      <a:off x="0" y="0"/>
                      <a:ext cx="5000215" cy="2275938"/>
                    </a:xfrm>
                    <a:prstGeom prst="rect">
                      <a:avLst/>
                    </a:prstGeom>
                    <a:ln>
                      <a:noFill/>
                    </a:ln>
                    <a:extLst>
                      <a:ext uri="{53640926-AAD7-44D8-BBD7-CCE9431645EC}">
                        <a14:shadowObscured xmlns:a14="http://schemas.microsoft.com/office/drawing/2010/main"/>
                      </a:ext>
                    </a:extLst>
                  </pic:spPr>
                </pic:pic>
              </a:graphicData>
            </a:graphic>
          </wp:inline>
        </w:drawing>
      </w:r>
    </w:p>
    <w:p w14:paraId="0F0B6839" w14:textId="5A57F524" w:rsidR="00C73C11" w:rsidRPr="0082680A" w:rsidRDefault="00C73C11" w:rsidP="00C73C11">
      <w:pPr>
        <w:pStyle w:val="Caption"/>
        <w:rPr>
          <w:lang w:val="en-GB"/>
        </w:rPr>
      </w:pPr>
      <w:bookmarkStart w:id="155" w:name="_Toc3225933"/>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19</w:t>
      </w:r>
      <w:r w:rsidR="00483095">
        <w:rPr>
          <w:lang w:val="en-GB"/>
        </w:rPr>
        <w:fldChar w:fldCharType="end"/>
      </w:r>
      <w:r w:rsidRPr="0082680A">
        <w:rPr>
          <w:lang w:val="en-GB"/>
        </w:rPr>
        <w:t xml:space="preserve">: </w:t>
      </w:r>
      <w:r w:rsidRPr="0082680A">
        <w:rPr>
          <w:b w:val="0"/>
          <w:lang w:val="en-GB"/>
        </w:rPr>
        <w:t>Enrichment results for overlap between TDP-43 common coexpression module and GWAS Catalog entries for four TDP-43-associated neurodegenerative conditions.</w:t>
      </w:r>
      <w:r w:rsidR="004528BC">
        <w:rPr>
          <w:b w:val="0"/>
          <w:lang w:val="en-GB"/>
        </w:rPr>
        <w:t xml:space="preserve"> ALS = Amyotrophic Lateral Sclerosis, FTLD = Frontotemporal Lobar Dementia, AD = Alzheimer’s Disease, PD = Parkinson’s Disease.</w:t>
      </w:r>
      <w:bookmarkEnd w:id="155"/>
    </w:p>
    <w:p w14:paraId="5259B245" w14:textId="2059B74B" w:rsidR="00A86D5D" w:rsidRPr="0082680A" w:rsidRDefault="00A86D5D" w:rsidP="004D1F68">
      <w:pPr>
        <w:rPr>
          <w:color w:val="FF0000"/>
          <w:lang w:val="en-GB"/>
        </w:rPr>
      </w:pPr>
    </w:p>
    <w:p w14:paraId="7E8185CB" w14:textId="77777777" w:rsidR="00EB41E2" w:rsidRPr="0082680A" w:rsidRDefault="00EB41E2" w:rsidP="00842FD0">
      <w:pPr>
        <w:pStyle w:val="Heading4"/>
        <w:rPr>
          <w:lang w:val="en-GB"/>
        </w:rPr>
      </w:pPr>
      <w:bookmarkStart w:id="156" w:name="_oa62cfwx5wzz" w:colFirst="0" w:colLast="0"/>
      <w:bookmarkStart w:id="157" w:name="_Toc3211361"/>
      <w:bookmarkEnd w:id="156"/>
      <w:r w:rsidRPr="0082680A">
        <w:rPr>
          <w:lang w:val="en-GB"/>
        </w:rPr>
        <w:t>Summary</w:t>
      </w:r>
      <w:bookmarkEnd w:id="157"/>
    </w:p>
    <w:p w14:paraId="0C8C3532" w14:textId="30801904" w:rsidR="004C433D" w:rsidRPr="0082680A" w:rsidRDefault="004C433D" w:rsidP="00EB41E2">
      <w:pPr>
        <w:rPr>
          <w:color w:val="000000" w:themeColor="text1"/>
          <w:lang w:val="en-GB"/>
        </w:rPr>
      </w:pPr>
      <w:r w:rsidRPr="0082680A">
        <w:rPr>
          <w:lang w:val="en-GB"/>
        </w:rPr>
        <w:t>We have generated a common coexpression network containing known neurodegenerati</w:t>
      </w:r>
      <w:r w:rsidR="00396E1F" w:rsidRPr="0082680A">
        <w:rPr>
          <w:lang w:val="en-GB"/>
        </w:rPr>
        <w:t>on risk</w:t>
      </w:r>
      <w:r w:rsidRPr="0082680A">
        <w:rPr>
          <w:lang w:val="en-GB"/>
        </w:rPr>
        <w:t xml:space="preserve"> genes, specifically enriching for genes causative of TDP-43 dysfunction</w:t>
      </w:r>
      <w:r w:rsidR="00396E1F" w:rsidRPr="0082680A">
        <w:rPr>
          <w:lang w:val="en-GB"/>
        </w:rPr>
        <w:t xml:space="preserve"> and binding partners of TDP-43 itself.</w:t>
      </w:r>
      <w:r w:rsidRPr="0082680A">
        <w:rPr>
          <w:lang w:val="en-GB"/>
        </w:rPr>
        <w:t xml:space="preserve"> </w:t>
      </w:r>
      <w:r w:rsidR="00396E1F" w:rsidRPr="0082680A">
        <w:rPr>
          <w:lang w:val="en-GB"/>
        </w:rPr>
        <w:t>We also identified</w:t>
      </w:r>
      <w:r w:rsidRPr="0082680A">
        <w:rPr>
          <w:lang w:val="en-GB"/>
        </w:rPr>
        <w:t xml:space="preserve"> functional enrichment </w:t>
      </w:r>
      <w:r w:rsidR="00396E1F" w:rsidRPr="0082680A">
        <w:rPr>
          <w:lang w:val="en-GB"/>
        </w:rPr>
        <w:t>of</w:t>
      </w:r>
      <w:r w:rsidRPr="0082680A">
        <w:rPr>
          <w:lang w:val="en-GB"/>
        </w:rPr>
        <w:t xml:space="preserve"> immune and proteasomal pathways</w:t>
      </w:r>
      <w:r w:rsidR="00396E1F" w:rsidRPr="0082680A">
        <w:rPr>
          <w:lang w:val="en-GB"/>
        </w:rPr>
        <w:t xml:space="preserve">. </w:t>
      </w:r>
      <w:r w:rsidRPr="0082680A">
        <w:rPr>
          <w:color w:val="000000" w:themeColor="text1"/>
          <w:lang w:val="en-GB"/>
        </w:rPr>
        <w:t>The network</w:t>
      </w:r>
      <w:r w:rsidR="00EB778D" w:rsidRPr="0082680A">
        <w:rPr>
          <w:color w:val="000000" w:themeColor="text1"/>
          <w:lang w:val="en-GB"/>
        </w:rPr>
        <w:t>, however,</w:t>
      </w:r>
      <w:r w:rsidRPr="0082680A">
        <w:rPr>
          <w:color w:val="000000" w:themeColor="text1"/>
          <w:lang w:val="en-GB"/>
        </w:rPr>
        <w:t xml:space="preserve"> did not enrich for GWAS genes associated with diseases presenting with TDP-43 pathology</w:t>
      </w:r>
      <w:r w:rsidR="00EB778D" w:rsidRPr="0082680A">
        <w:rPr>
          <w:color w:val="000000" w:themeColor="text1"/>
          <w:lang w:val="en-GB"/>
        </w:rPr>
        <w:t>.</w:t>
      </w:r>
    </w:p>
    <w:p w14:paraId="54CE0E66" w14:textId="77777777" w:rsidR="004C433D" w:rsidRPr="0082680A" w:rsidRDefault="004C433D" w:rsidP="00EB41E2">
      <w:pPr>
        <w:rPr>
          <w:lang w:val="en-GB"/>
        </w:rPr>
      </w:pPr>
    </w:p>
    <w:p w14:paraId="49F6A6B2" w14:textId="4D63DA7A" w:rsidR="00EB41E2" w:rsidRPr="0082680A" w:rsidRDefault="00EB41E2" w:rsidP="00EB41E2">
      <w:pPr>
        <w:rPr>
          <w:lang w:val="en-GB"/>
        </w:rPr>
      </w:pPr>
      <w:r w:rsidRPr="0082680A">
        <w:rPr>
          <w:lang w:val="en-GB"/>
        </w:rPr>
        <w:t xml:space="preserve">The translation between data types has proven to create a number of challenges. In the process of rebuilding the protein interaction network as a coexpression network, a number of network members were lost due to inconsistencies between platform annotations. Some degree of platform discrepancy was expected, though a loss of 28% of the network is concerning. Some of this loss may be unavoidable, as platforms will simply not cover the same transcripts. Some loss however may come from annotation differences, as gene symbol assignment can vary. To improve this rate of loss, a more decided effort could be made to hand curate the lost network members in future. </w:t>
      </w:r>
    </w:p>
    <w:p w14:paraId="7FA6569C" w14:textId="77777777" w:rsidR="006D2854" w:rsidRPr="0082680A" w:rsidRDefault="006D2854" w:rsidP="00EB41E2">
      <w:pPr>
        <w:rPr>
          <w:lang w:val="en-GB"/>
        </w:rPr>
      </w:pPr>
    </w:p>
    <w:p w14:paraId="1665CE83" w14:textId="0DDF92EE" w:rsidR="00EB41E2" w:rsidRPr="0082680A" w:rsidRDefault="00EB41E2" w:rsidP="00EB41E2">
      <w:pPr>
        <w:rPr>
          <w:lang w:val="en-GB"/>
        </w:rPr>
      </w:pPr>
      <w:r w:rsidRPr="0082680A">
        <w:rPr>
          <w:lang w:val="en-GB"/>
        </w:rPr>
        <w:t xml:space="preserve">Generating coexpression matrices is a simple, but computationally intensive process. Samples were analysed using an R script run on the University of Sheffield’s </w:t>
      </w:r>
      <w:r w:rsidR="0025795D" w:rsidRPr="0082680A">
        <w:rPr>
          <w:lang w:val="en-GB"/>
        </w:rPr>
        <w:t>high-performance</w:t>
      </w:r>
      <w:r w:rsidRPr="0082680A">
        <w:rPr>
          <w:lang w:val="en-GB"/>
        </w:rPr>
        <w:t xml:space="preserve"> computing system, as calculating coexpression values for over 2700 values took over an hour</w:t>
      </w:r>
      <w:r w:rsidR="00396E1F" w:rsidRPr="0082680A">
        <w:rPr>
          <w:lang w:val="en-GB"/>
        </w:rPr>
        <w:t xml:space="preserve"> per dataset</w:t>
      </w:r>
      <w:r w:rsidRPr="0082680A">
        <w:rPr>
          <w:lang w:val="en-GB"/>
        </w:rPr>
        <w:t xml:space="preserve">. Such a resource-heavy calculation could be problematic to those without access to high performance parallelisation of computation. Replication of this experiment would be possible on </w:t>
      </w:r>
      <w:proofErr w:type="gramStart"/>
      <w:r w:rsidRPr="0082680A">
        <w:rPr>
          <w:lang w:val="en-GB"/>
        </w:rPr>
        <w:t>an</w:t>
      </w:r>
      <w:proofErr w:type="gramEnd"/>
      <w:r w:rsidRPr="0082680A">
        <w:rPr>
          <w:lang w:val="en-GB"/>
        </w:rPr>
        <w:t xml:space="preserve"> </w:t>
      </w:r>
      <w:r w:rsidR="00396E1F" w:rsidRPr="0082680A">
        <w:rPr>
          <w:lang w:val="en-GB"/>
        </w:rPr>
        <w:t>standard</w:t>
      </w:r>
      <w:r w:rsidRPr="0082680A">
        <w:rPr>
          <w:lang w:val="en-GB"/>
        </w:rPr>
        <w:t xml:space="preserve"> computer, but the user would have to prepare for long computation times.</w:t>
      </w:r>
    </w:p>
    <w:p w14:paraId="00071AB0" w14:textId="77777777" w:rsidR="00EB778D" w:rsidRPr="0082680A" w:rsidRDefault="00EB778D" w:rsidP="00EB41E2">
      <w:pPr>
        <w:rPr>
          <w:lang w:val="en-GB"/>
        </w:rPr>
      </w:pPr>
    </w:p>
    <w:p w14:paraId="34E98BE8" w14:textId="711C0570" w:rsidR="00EB41E2" w:rsidRPr="0082680A" w:rsidRDefault="00EB41E2" w:rsidP="00EB41E2">
      <w:pPr>
        <w:rPr>
          <w:lang w:val="en-GB"/>
        </w:rPr>
      </w:pPr>
      <w:r w:rsidRPr="0082680A">
        <w:rPr>
          <w:lang w:val="en-GB"/>
        </w:rPr>
        <w:t>It</w:t>
      </w:r>
      <w:r w:rsidR="00396E1F" w:rsidRPr="0082680A">
        <w:rPr>
          <w:lang w:val="en-GB"/>
        </w:rPr>
        <w:t xml:space="preserve"> is also</w:t>
      </w:r>
      <w:r w:rsidRPr="0082680A">
        <w:rPr>
          <w:lang w:val="en-GB"/>
        </w:rPr>
        <w:t xml:space="preserve"> at this stage in the process that significant experimenter bias has been introduced. The threshold for the coexpression value must be set by the experimenter, and there is room for exploration. As the potential for introducing bias is so high, a number of best-practice steps can be taken. Firstly, the experimenter should not analyse the contents of the network until a threshold is chosen. By analysing the presence of ‘interesting’ genes or enrichment of ‘interesting’ pathways, the experimenter may be tempted to adjust the threshold to include these elements. Instead, the user must have in mind a size of network they are aspiring to. We recommend a </w:t>
      </w:r>
      <w:r w:rsidR="00614FBB">
        <w:rPr>
          <w:lang w:val="en-GB"/>
        </w:rPr>
        <w:t>common coexpression network</w:t>
      </w:r>
      <w:r w:rsidRPr="0082680A">
        <w:rPr>
          <w:lang w:val="en-GB"/>
        </w:rPr>
        <w:t xml:space="preserve"> size of between 200 and 400 genes, as the network will inevitably decrease due to both the selection of the LCC, and the filtering of common edges with controls. We believe this size represents accommodation for strong biological signals, as well as being manageable for later analyses.</w:t>
      </w:r>
      <w:bookmarkStart w:id="158" w:name="_k5dihaefqjgh" w:colFirst="0" w:colLast="0"/>
      <w:bookmarkEnd w:id="158"/>
    </w:p>
    <w:p w14:paraId="7EA919E5" w14:textId="34F7B909" w:rsidR="00EB41E2" w:rsidRPr="00691215" w:rsidRDefault="00EB41E2" w:rsidP="00691215">
      <w:pPr>
        <w:pStyle w:val="Heading3"/>
      </w:pPr>
      <w:bookmarkStart w:id="159" w:name="_jljvd6nlqvfy" w:colFirst="0" w:colLast="0"/>
      <w:bookmarkStart w:id="160" w:name="_Toc3211362"/>
      <w:bookmarkEnd w:id="159"/>
      <w:r w:rsidRPr="00691215">
        <w:t>Target Prioritisation</w:t>
      </w:r>
      <w:bookmarkEnd w:id="160"/>
    </w:p>
    <w:p w14:paraId="78AE7ACE" w14:textId="36510EAF" w:rsidR="00611F01" w:rsidRPr="0082680A" w:rsidRDefault="00EB41E2" w:rsidP="00EB41E2">
      <w:pPr>
        <w:rPr>
          <w:lang w:val="en-GB"/>
        </w:rPr>
      </w:pPr>
      <w:r w:rsidRPr="0082680A">
        <w:rPr>
          <w:lang w:val="en-GB"/>
        </w:rPr>
        <w:t xml:space="preserve">Now that a common coexpression module has been identified, </w:t>
      </w:r>
      <w:r w:rsidR="00C601E0" w:rsidRPr="0082680A">
        <w:rPr>
          <w:lang w:val="en-GB"/>
        </w:rPr>
        <w:t xml:space="preserve">the next objective was </w:t>
      </w:r>
      <w:r w:rsidRPr="0082680A">
        <w:rPr>
          <w:lang w:val="en-GB"/>
        </w:rPr>
        <w:t xml:space="preserve">to identify a handful of genes </w:t>
      </w:r>
      <w:r w:rsidR="008726F8" w:rsidRPr="0082680A">
        <w:rPr>
          <w:lang w:val="en-GB"/>
        </w:rPr>
        <w:t>whose upstream effect on TDP-43 dysfunction</w:t>
      </w:r>
      <w:r w:rsidRPr="0082680A">
        <w:rPr>
          <w:lang w:val="en-GB"/>
        </w:rPr>
        <w:t xml:space="preserve"> can be </w:t>
      </w:r>
      <w:r w:rsidR="008726F8" w:rsidRPr="0082680A">
        <w:rPr>
          <w:lang w:val="en-GB"/>
        </w:rPr>
        <w:t>explored</w:t>
      </w:r>
      <w:r w:rsidRPr="0082680A">
        <w:rPr>
          <w:lang w:val="en-GB"/>
        </w:rPr>
        <w:t xml:space="preserve"> </w:t>
      </w:r>
      <w:r w:rsidRPr="0082680A">
        <w:rPr>
          <w:i/>
          <w:lang w:val="en-GB"/>
        </w:rPr>
        <w:t>in vitro/vivo</w:t>
      </w:r>
      <w:r w:rsidRPr="0082680A">
        <w:rPr>
          <w:lang w:val="en-GB"/>
        </w:rPr>
        <w:t xml:space="preserve">. </w:t>
      </w:r>
      <w:r w:rsidR="00C601E0" w:rsidRPr="0082680A">
        <w:rPr>
          <w:lang w:val="en-GB"/>
        </w:rPr>
        <w:t xml:space="preserve">To identify viable candidates, we collected a number of sources of information to </w:t>
      </w:r>
      <w:r w:rsidR="00C75FB4" w:rsidRPr="0082680A">
        <w:rPr>
          <w:lang w:val="en-GB"/>
        </w:rPr>
        <w:t>assess</w:t>
      </w:r>
      <w:r w:rsidR="00C601E0" w:rsidRPr="0082680A">
        <w:rPr>
          <w:lang w:val="en-GB"/>
        </w:rPr>
        <w:t xml:space="preserve"> the </w:t>
      </w:r>
      <w:r w:rsidR="00C75FB4" w:rsidRPr="0082680A">
        <w:rPr>
          <w:lang w:val="en-GB"/>
        </w:rPr>
        <w:t>likelihood</w:t>
      </w:r>
      <w:r w:rsidR="00C601E0" w:rsidRPr="0082680A">
        <w:rPr>
          <w:lang w:val="en-GB"/>
        </w:rPr>
        <w:t xml:space="preserve"> that any particular gene is upstream of TDP-43 dysfunction. </w:t>
      </w:r>
      <w:r w:rsidR="00C75FB4" w:rsidRPr="0082680A">
        <w:rPr>
          <w:lang w:val="en-GB"/>
        </w:rPr>
        <w:t>These sources</w:t>
      </w:r>
      <w:r w:rsidRPr="0082680A">
        <w:rPr>
          <w:lang w:val="en-GB"/>
        </w:rPr>
        <w:t xml:space="preserve"> fell into 5 categories; genetic analysis, topology, regulation, consensus, and phenotype-specific information. For each source of information used, a gene is given a score between 0 and 5. </w:t>
      </w:r>
      <w:r w:rsidR="00D7048A" w:rsidRPr="0082680A">
        <w:rPr>
          <w:lang w:val="en-GB"/>
        </w:rPr>
        <w:t>The scores are then summed for each gen</w:t>
      </w:r>
      <w:r w:rsidR="007F0E04" w:rsidRPr="0082680A">
        <w:rPr>
          <w:lang w:val="en-GB"/>
        </w:rPr>
        <w:t xml:space="preserve">e and the list ranked by score. </w:t>
      </w:r>
      <w:r w:rsidRPr="0082680A">
        <w:rPr>
          <w:lang w:val="en-GB"/>
        </w:rPr>
        <w:t xml:space="preserve">The score given is defined by the </w:t>
      </w:r>
      <w:r w:rsidR="00933970" w:rsidRPr="0082680A">
        <w:rPr>
          <w:lang w:val="en-GB"/>
        </w:rPr>
        <w:t>user but</w:t>
      </w:r>
      <w:r w:rsidRPr="0082680A">
        <w:rPr>
          <w:lang w:val="en-GB"/>
        </w:rPr>
        <w:t xml:space="preserve"> is generally assigned based on a qu</w:t>
      </w:r>
      <w:r w:rsidR="00933970" w:rsidRPr="0082680A">
        <w:rPr>
          <w:lang w:val="en-GB"/>
        </w:rPr>
        <w:t>antifiable measure such as a P-v</w:t>
      </w:r>
      <w:r w:rsidRPr="0082680A">
        <w:rPr>
          <w:lang w:val="en-GB"/>
        </w:rPr>
        <w:t xml:space="preserve">alue or a quantile. </w:t>
      </w:r>
      <w:r w:rsidR="00611F01" w:rsidRPr="0082680A">
        <w:rPr>
          <w:lang w:val="en-GB"/>
        </w:rPr>
        <w:t>T</w:t>
      </w:r>
      <w:r w:rsidRPr="0082680A">
        <w:rPr>
          <w:lang w:val="en-GB"/>
        </w:rPr>
        <w:t>he scoring method used for each data source</w:t>
      </w:r>
      <w:r w:rsidR="00097A65" w:rsidRPr="0082680A">
        <w:rPr>
          <w:lang w:val="en-GB"/>
        </w:rPr>
        <w:t xml:space="preserve"> can be found in Table </w:t>
      </w:r>
      <w:r w:rsidR="001200FB" w:rsidRPr="0082680A">
        <w:rPr>
          <w:lang w:val="en-GB"/>
        </w:rPr>
        <w:t>2</w:t>
      </w:r>
      <w:r w:rsidR="0061081A">
        <w:rPr>
          <w:lang w:val="en-GB"/>
        </w:rPr>
        <w:t>0</w:t>
      </w:r>
      <w:r w:rsidRPr="0082680A">
        <w:rPr>
          <w:lang w:val="en-GB"/>
        </w:rPr>
        <w:t>.</w:t>
      </w:r>
    </w:p>
    <w:p w14:paraId="139864D9" w14:textId="77777777" w:rsidR="00611F01" w:rsidRPr="0082680A" w:rsidRDefault="00611F01" w:rsidP="00EB41E2">
      <w:pPr>
        <w:rPr>
          <w:lang w:val="en-GB"/>
        </w:rPr>
      </w:pPr>
    </w:p>
    <w:p w14:paraId="3853657F" w14:textId="4FB2BAB5" w:rsidR="00EB41E2" w:rsidRPr="0082680A" w:rsidRDefault="00EB41E2" w:rsidP="00EB41E2">
      <w:pPr>
        <w:rPr>
          <w:lang w:val="en-GB"/>
        </w:rPr>
      </w:pPr>
      <w:r w:rsidRPr="0082680A">
        <w:rPr>
          <w:lang w:val="en-GB"/>
        </w:rPr>
        <w:t>It is worth noting that this prioritisation approach was used as a guideline to highlight genes which might be successful candidates for validation. It has not been tested against other similar methodologies, and all results are hand curated after prioritisation to select the best candidates.</w:t>
      </w:r>
    </w:p>
    <w:p w14:paraId="16B18CF2" w14:textId="77777777" w:rsidR="00097A65" w:rsidRPr="0082680A" w:rsidRDefault="00097A65" w:rsidP="00EB41E2">
      <w:pPr>
        <w:rPr>
          <w:lang w:val="en-GB"/>
        </w:rPr>
      </w:pPr>
    </w:p>
    <w:p w14:paraId="27DBF788" w14:textId="77777777" w:rsidR="00097A65" w:rsidRPr="0082680A" w:rsidRDefault="00097A65" w:rsidP="00097A65">
      <w:pPr>
        <w:pStyle w:val="NoSpacing"/>
        <w:rPr>
          <w:lang w:val="en-GB"/>
        </w:rPr>
      </w:pPr>
      <w:r w:rsidRPr="0082680A">
        <w:rPr>
          <w:noProof/>
          <w:lang w:val="en-GB"/>
        </w:rPr>
        <w:lastRenderedPageBreak/>
        <w:drawing>
          <wp:inline distT="0" distB="0" distL="0" distR="0" wp14:anchorId="687E3904" wp14:editId="58671D91">
            <wp:extent cx="5021705" cy="3410575"/>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rioritisationScoringSystem.pdf"/>
                    <pic:cNvPicPr/>
                  </pic:nvPicPr>
                  <pic:blipFill>
                    <a:blip r:embed="rId83">
                      <a:extLst>
                        <a:ext uri="{28A0092B-C50C-407E-A947-70E740481C1C}">
                          <a14:useLocalDpi xmlns:a14="http://schemas.microsoft.com/office/drawing/2010/main" val="0"/>
                        </a:ext>
                      </a:extLst>
                    </a:blip>
                    <a:stretch>
                      <a:fillRect/>
                    </a:stretch>
                  </pic:blipFill>
                  <pic:spPr bwMode="auto">
                    <a:xfrm>
                      <a:off x="0" y="0"/>
                      <a:ext cx="5026840" cy="3414063"/>
                    </a:xfrm>
                    <a:prstGeom prst="rect">
                      <a:avLst/>
                    </a:prstGeom>
                    <a:ln>
                      <a:noFill/>
                    </a:ln>
                    <a:extLst>
                      <a:ext uri="{53640926-AAD7-44D8-BBD7-CCE9431645EC}">
                        <a14:shadowObscured xmlns:a14="http://schemas.microsoft.com/office/drawing/2010/main"/>
                      </a:ext>
                    </a:extLst>
                  </pic:spPr>
                </pic:pic>
              </a:graphicData>
            </a:graphic>
          </wp:inline>
        </w:drawing>
      </w:r>
    </w:p>
    <w:p w14:paraId="52CD7784" w14:textId="5E8A9163" w:rsidR="00097A65" w:rsidRPr="004528BC" w:rsidRDefault="00097A65" w:rsidP="00D0571E">
      <w:pPr>
        <w:pStyle w:val="Caption"/>
        <w:rPr>
          <w:b w:val="0"/>
          <w:lang w:val="en-GB"/>
        </w:rPr>
      </w:pPr>
      <w:bookmarkStart w:id="161" w:name="_Toc3225934"/>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20</w:t>
      </w:r>
      <w:r w:rsidR="00483095">
        <w:rPr>
          <w:lang w:val="en-GB"/>
        </w:rPr>
        <w:fldChar w:fldCharType="end"/>
      </w:r>
      <w:r w:rsidRPr="0082680A">
        <w:rPr>
          <w:lang w:val="en-GB"/>
        </w:rPr>
        <w:t xml:space="preserve">: </w:t>
      </w:r>
      <w:r w:rsidRPr="0082680A">
        <w:rPr>
          <w:b w:val="0"/>
          <w:lang w:val="en-GB"/>
        </w:rPr>
        <w:t>Overview of scoring method used for each data source</w:t>
      </w:r>
      <w:r w:rsidR="004528BC">
        <w:rPr>
          <w:b w:val="0"/>
          <w:lang w:val="en-GB"/>
        </w:rPr>
        <w:t xml:space="preserve">. </w:t>
      </w:r>
      <w:r w:rsidR="004528BC">
        <w:rPr>
          <w:b w:val="0"/>
          <w:i/>
          <w:lang w:val="en-GB"/>
        </w:rPr>
        <w:t>Source</w:t>
      </w:r>
      <w:r w:rsidR="004528BC">
        <w:rPr>
          <w:b w:val="0"/>
          <w:lang w:val="en-GB"/>
        </w:rPr>
        <w:t xml:space="preserve"> refers to the name of the information source. </w:t>
      </w:r>
      <w:r w:rsidR="004528BC">
        <w:rPr>
          <w:b w:val="0"/>
          <w:i/>
          <w:lang w:val="en-GB"/>
        </w:rPr>
        <w:t>Source Type</w:t>
      </w:r>
      <w:r w:rsidR="004528BC">
        <w:rPr>
          <w:b w:val="0"/>
          <w:lang w:val="en-GB"/>
        </w:rPr>
        <w:t xml:space="preserve"> indicates the kind of data the source is analysing. </w:t>
      </w:r>
      <w:r w:rsidR="004528BC">
        <w:rPr>
          <w:b w:val="0"/>
          <w:i/>
          <w:lang w:val="en-GB"/>
        </w:rPr>
        <w:t>Analysis Location</w:t>
      </w:r>
      <w:r w:rsidR="004528BC">
        <w:rPr>
          <w:b w:val="0"/>
          <w:lang w:val="en-GB"/>
        </w:rPr>
        <w:t xml:space="preserve"> indicates whether the analysis was conducted on a public platform or locally by the experimenter. </w:t>
      </w:r>
      <w:r w:rsidR="004528BC">
        <w:rPr>
          <w:b w:val="0"/>
          <w:i/>
          <w:lang w:val="en-GB"/>
        </w:rPr>
        <w:t>Input</w:t>
      </w:r>
      <w:r w:rsidR="004528BC">
        <w:rPr>
          <w:b w:val="0"/>
          <w:lang w:val="en-GB"/>
        </w:rPr>
        <w:t xml:space="preserve"> describes the input data. </w:t>
      </w:r>
      <w:r w:rsidR="004528BC">
        <w:rPr>
          <w:b w:val="0"/>
          <w:i/>
          <w:lang w:val="en-GB"/>
        </w:rPr>
        <w:t>Output Type</w:t>
      </w:r>
      <w:r w:rsidR="004528BC">
        <w:rPr>
          <w:b w:val="0"/>
          <w:lang w:val="en-GB"/>
        </w:rPr>
        <w:t xml:space="preserve"> describes the type of data outputted by the analysis. </w:t>
      </w:r>
      <w:r w:rsidR="004528BC">
        <w:rPr>
          <w:b w:val="0"/>
          <w:i/>
          <w:lang w:val="en-GB"/>
        </w:rPr>
        <w:t>Scoring Methodology</w:t>
      </w:r>
      <w:r w:rsidR="004528BC">
        <w:rPr>
          <w:b w:val="0"/>
          <w:lang w:val="en-GB"/>
        </w:rPr>
        <w:t xml:space="preserve"> indicates how the module members were scored using the output of each analysis.</w:t>
      </w:r>
      <w:bookmarkEnd w:id="161"/>
    </w:p>
    <w:p w14:paraId="0D74490E" w14:textId="77777777" w:rsidR="00D0571E" w:rsidRPr="0082680A" w:rsidRDefault="00D0571E" w:rsidP="00D0571E">
      <w:pPr>
        <w:rPr>
          <w:lang w:val="en-GB"/>
        </w:rPr>
      </w:pPr>
    </w:p>
    <w:p w14:paraId="726983FD" w14:textId="07C04C54" w:rsidR="00EB41E2" w:rsidRPr="0082680A" w:rsidRDefault="00EB41E2" w:rsidP="00842FD0">
      <w:pPr>
        <w:pStyle w:val="Heading4"/>
        <w:rPr>
          <w:lang w:val="en-GB"/>
        </w:rPr>
      </w:pPr>
      <w:bookmarkStart w:id="162" w:name="_rl504ljn68sv" w:colFirst="0" w:colLast="0"/>
      <w:bookmarkStart w:id="163" w:name="_Toc3211363"/>
      <w:bookmarkEnd w:id="162"/>
      <w:r w:rsidRPr="0082680A">
        <w:rPr>
          <w:lang w:val="en-GB"/>
        </w:rPr>
        <w:t xml:space="preserve">Genetic </w:t>
      </w:r>
      <w:r w:rsidR="006D2854" w:rsidRPr="0082680A">
        <w:rPr>
          <w:lang w:val="en-GB"/>
        </w:rPr>
        <w:t>Scor</w:t>
      </w:r>
      <w:r w:rsidR="0035390F" w:rsidRPr="0082680A">
        <w:rPr>
          <w:lang w:val="en-GB"/>
        </w:rPr>
        <w:t>e</w:t>
      </w:r>
      <w:bookmarkEnd w:id="163"/>
    </w:p>
    <w:p w14:paraId="2E29F2D1" w14:textId="4EEAA088" w:rsidR="00117180" w:rsidRPr="0082680A" w:rsidRDefault="00EB41E2" w:rsidP="00EB41E2">
      <w:pPr>
        <w:rPr>
          <w:color w:val="000000" w:themeColor="text1"/>
          <w:lang w:val="en-GB"/>
        </w:rPr>
      </w:pPr>
      <w:r w:rsidRPr="0082680A">
        <w:rPr>
          <w:lang w:val="en-GB"/>
        </w:rPr>
        <w:t xml:space="preserve">Genetic analysis </w:t>
      </w:r>
      <w:r w:rsidR="007E5D1D" w:rsidRPr="0082680A">
        <w:rPr>
          <w:lang w:val="en-GB"/>
        </w:rPr>
        <w:t>referred to</w:t>
      </w:r>
      <w:r w:rsidRPr="0082680A">
        <w:rPr>
          <w:lang w:val="en-GB"/>
        </w:rPr>
        <w:t xml:space="preserve"> </w:t>
      </w:r>
      <w:r w:rsidR="00C67155" w:rsidRPr="0082680A">
        <w:rPr>
          <w:lang w:val="en-GB"/>
        </w:rPr>
        <w:t>the identification</w:t>
      </w:r>
      <w:r w:rsidRPr="0082680A">
        <w:rPr>
          <w:lang w:val="en-GB"/>
        </w:rPr>
        <w:t xml:space="preserve"> of predicted loss-of-function</w:t>
      </w:r>
      <w:r w:rsidR="00163F98" w:rsidRPr="0082680A">
        <w:rPr>
          <w:lang w:val="en-GB"/>
        </w:rPr>
        <w:t xml:space="preserve"> (LoF)</w:t>
      </w:r>
      <w:r w:rsidRPr="0082680A">
        <w:rPr>
          <w:lang w:val="en-GB"/>
        </w:rPr>
        <w:t xml:space="preserve"> mutations </w:t>
      </w:r>
      <w:r w:rsidR="00C67155" w:rsidRPr="0082680A">
        <w:rPr>
          <w:lang w:val="en-GB"/>
        </w:rPr>
        <w:t xml:space="preserve">in </w:t>
      </w:r>
      <w:r w:rsidR="004D1F68" w:rsidRPr="0082680A">
        <w:rPr>
          <w:lang w:val="en-GB"/>
        </w:rPr>
        <w:t xml:space="preserve">patients for the </w:t>
      </w:r>
      <w:r w:rsidR="00C67155" w:rsidRPr="0082680A">
        <w:rPr>
          <w:lang w:val="en-GB"/>
        </w:rPr>
        <w:t>network members</w:t>
      </w:r>
      <w:r w:rsidR="007758F4" w:rsidRPr="0082680A">
        <w:rPr>
          <w:lang w:val="en-GB"/>
        </w:rPr>
        <w:t>.</w:t>
      </w:r>
      <w:r w:rsidR="00064504" w:rsidRPr="0082680A">
        <w:rPr>
          <w:lang w:val="en-GB"/>
        </w:rPr>
        <w:t xml:space="preserve"> G</w:t>
      </w:r>
      <w:r w:rsidR="008B67A6" w:rsidRPr="0082680A">
        <w:rPr>
          <w:lang w:val="en-GB"/>
        </w:rPr>
        <w:t xml:space="preserve">enetics represents the </w:t>
      </w:r>
      <w:r w:rsidR="008B1111" w:rsidRPr="0082680A">
        <w:rPr>
          <w:lang w:val="en-GB"/>
        </w:rPr>
        <w:t xml:space="preserve">origin </w:t>
      </w:r>
      <w:r w:rsidR="008B67A6" w:rsidRPr="0082680A">
        <w:rPr>
          <w:lang w:val="en-GB"/>
        </w:rPr>
        <w:t xml:space="preserve">for </w:t>
      </w:r>
      <w:r w:rsidR="008B1111" w:rsidRPr="0082680A">
        <w:rPr>
          <w:lang w:val="en-GB"/>
        </w:rPr>
        <w:t xml:space="preserve">the life cycle of </w:t>
      </w:r>
      <w:r w:rsidR="007E5D1D" w:rsidRPr="0082680A">
        <w:rPr>
          <w:lang w:val="en-GB"/>
        </w:rPr>
        <w:t xml:space="preserve">RNAs and proteins. </w:t>
      </w:r>
      <w:r w:rsidR="002A4FBA" w:rsidRPr="0082680A">
        <w:rPr>
          <w:color w:val="000000" w:themeColor="text1"/>
          <w:lang w:val="en-GB"/>
        </w:rPr>
        <w:t xml:space="preserve">As we could not identify enrichment on a genome-wide scale, we decided to source raw sequencing data to investigate the presence of </w:t>
      </w:r>
      <w:r w:rsidR="00163F98" w:rsidRPr="0082680A">
        <w:rPr>
          <w:color w:val="000000" w:themeColor="text1"/>
          <w:lang w:val="en-GB"/>
        </w:rPr>
        <w:t xml:space="preserve">LoF </w:t>
      </w:r>
      <w:r w:rsidR="002A4FBA" w:rsidRPr="0082680A">
        <w:rPr>
          <w:color w:val="000000" w:themeColor="text1"/>
          <w:lang w:val="en-GB"/>
        </w:rPr>
        <w:t xml:space="preserve">mutations within individual patients instead. The presence of a predicted loss-of function variant in a TDP-43 pathology-positive patient indicates a higher probability for that gene to be upstream of TDP-43 dysfunction. Predicted </w:t>
      </w:r>
      <w:r w:rsidR="00163F98" w:rsidRPr="0082680A">
        <w:rPr>
          <w:color w:val="000000" w:themeColor="text1"/>
          <w:lang w:val="en-GB"/>
        </w:rPr>
        <w:t>LoF mutations</w:t>
      </w:r>
      <w:r w:rsidR="002A4FBA" w:rsidRPr="0082680A">
        <w:rPr>
          <w:color w:val="000000" w:themeColor="text1"/>
          <w:lang w:val="en-GB"/>
        </w:rPr>
        <w:t xml:space="preserve"> were identified using whole genome or exome sequencing from the population of interest; in this case, Project </w:t>
      </w:r>
      <w:r w:rsidR="00163F98" w:rsidRPr="0082680A">
        <w:rPr>
          <w:color w:val="000000" w:themeColor="text1"/>
          <w:lang w:val="en-GB"/>
        </w:rPr>
        <w:t>M</w:t>
      </w:r>
      <w:r w:rsidR="002A4FBA" w:rsidRPr="0082680A">
        <w:rPr>
          <w:color w:val="000000" w:themeColor="text1"/>
          <w:lang w:val="en-GB"/>
        </w:rPr>
        <w:t>inE UK whole genome sequencing ALS data from 1152 patients and 265 controls (</w:t>
      </w:r>
      <w:hyperlink r:id="rId84" w:history="1">
        <w:r w:rsidR="00B958C5" w:rsidRPr="0082680A">
          <w:rPr>
            <w:rStyle w:val="Hyperlink"/>
            <w:lang w:val="en-GB"/>
          </w:rPr>
          <w:t>https://www.projectmine.com/</w:t>
        </w:r>
      </w:hyperlink>
      <w:r w:rsidR="002A4FBA" w:rsidRPr="0082680A">
        <w:rPr>
          <w:color w:val="000000" w:themeColor="text1"/>
          <w:lang w:val="en-GB"/>
        </w:rPr>
        <w:t>).</w:t>
      </w:r>
      <w:r w:rsidR="00B958C5" w:rsidRPr="0082680A">
        <w:rPr>
          <w:color w:val="000000" w:themeColor="text1"/>
          <w:lang w:val="en-GB"/>
        </w:rPr>
        <w:t xml:space="preserve"> </w:t>
      </w:r>
      <w:r w:rsidR="002A4FBA" w:rsidRPr="0082680A">
        <w:rPr>
          <w:color w:val="000000" w:themeColor="text1"/>
          <w:lang w:val="en-GB"/>
        </w:rPr>
        <w:t xml:space="preserve">Any SNPs which are also present in controls are also removed. The remaining SNPs were then passed through the </w:t>
      </w:r>
      <w:r w:rsidR="00956608" w:rsidRPr="0082680A">
        <w:rPr>
          <w:color w:val="000000" w:themeColor="text1"/>
          <w:lang w:val="en-GB"/>
        </w:rPr>
        <w:t xml:space="preserve">annotation </w:t>
      </w:r>
      <w:r w:rsidR="002A4FBA" w:rsidRPr="0082680A">
        <w:rPr>
          <w:color w:val="000000" w:themeColor="text1"/>
          <w:lang w:val="en-GB"/>
        </w:rPr>
        <w:t xml:space="preserve">tool GEMINI by Dr Sarah Morgan </w:t>
      </w:r>
      <w:r w:rsidR="00B958C5" w:rsidRPr="0082680A">
        <w:rPr>
          <w:color w:val="000000" w:themeColor="text1"/>
          <w:lang w:val="en-GB"/>
        </w:rPr>
        <w:t>(</w:t>
      </w:r>
      <w:hyperlink r:id="rId85" w:history="1">
        <w:r w:rsidR="00B958C5" w:rsidRPr="0082680A">
          <w:rPr>
            <w:rStyle w:val="Hyperlink"/>
            <w:lang w:val="en-GB"/>
          </w:rPr>
          <w:t>https://gemini.readthedocs.io/en/latest/</w:t>
        </w:r>
      </w:hyperlink>
      <w:r w:rsidR="002A4FBA" w:rsidRPr="0082680A">
        <w:rPr>
          <w:color w:val="000000" w:themeColor="text1"/>
          <w:lang w:val="en-GB"/>
        </w:rPr>
        <w:t>)</w:t>
      </w:r>
      <w:r w:rsidR="00B958C5" w:rsidRPr="0082680A">
        <w:rPr>
          <w:color w:val="000000" w:themeColor="text1"/>
          <w:lang w:val="en-GB"/>
        </w:rPr>
        <w:t xml:space="preserve"> </w:t>
      </w:r>
      <w:r w:rsidR="002A4FBA" w:rsidRPr="0082680A">
        <w:rPr>
          <w:color w:val="000000" w:themeColor="text1"/>
          <w:lang w:val="en-GB"/>
        </w:rPr>
        <w:t xml:space="preserve">to identify which SNPs are predicted to have </w:t>
      </w:r>
      <w:r w:rsidR="00163F98" w:rsidRPr="0082680A">
        <w:rPr>
          <w:color w:val="000000" w:themeColor="text1"/>
          <w:lang w:val="en-GB"/>
        </w:rPr>
        <w:t>LoF</w:t>
      </w:r>
      <w:r w:rsidR="002A4FBA" w:rsidRPr="0082680A">
        <w:rPr>
          <w:color w:val="000000" w:themeColor="text1"/>
          <w:lang w:val="en-GB"/>
        </w:rPr>
        <w:t xml:space="preserve"> effects. </w:t>
      </w:r>
      <w:r w:rsidR="00117180" w:rsidRPr="0082680A">
        <w:rPr>
          <w:color w:val="000000" w:themeColor="text1"/>
          <w:lang w:val="en-GB"/>
        </w:rPr>
        <w:t xml:space="preserve">GEMINI was selected over other variant annotation methods due to its flexible annotation protocols, extensive annotation sources (more than 14, including </w:t>
      </w:r>
      <w:proofErr w:type="spellStart"/>
      <w:r w:rsidR="00117180" w:rsidRPr="0082680A">
        <w:rPr>
          <w:color w:val="000000" w:themeColor="text1"/>
          <w:lang w:val="en-GB"/>
        </w:rPr>
        <w:t>ExAC</w:t>
      </w:r>
      <w:proofErr w:type="spellEnd"/>
      <w:r w:rsidR="00117180" w:rsidRPr="0082680A">
        <w:rPr>
          <w:color w:val="000000" w:themeColor="text1"/>
          <w:lang w:val="en-GB"/>
        </w:rPr>
        <w:t xml:space="preserve">, KEGG, 1000G, </w:t>
      </w:r>
      <w:proofErr w:type="spellStart"/>
      <w:r w:rsidR="00117180" w:rsidRPr="0082680A">
        <w:rPr>
          <w:color w:val="000000" w:themeColor="text1"/>
          <w:lang w:val="en-GB"/>
        </w:rPr>
        <w:t>dbSNP</w:t>
      </w:r>
      <w:proofErr w:type="spellEnd"/>
      <w:r w:rsidR="00117180" w:rsidRPr="0082680A">
        <w:rPr>
          <w:color w:val="000000" w:themeColor="text1"/>
          <w:lang w:val="en-GB"/>
        </w:rPr>
        <w:t xml:space="preserve">, ENCODE, and </w:t>
      </w:r>
      <w:proofErr w:type="spellStart"/>
      <w:r w:rsidR="00117180" w:rsidRPr="0082680A">
        <w:rPr>
          <w:color w:val="000000" w:themeColor="text1"/>
          <w:lang w:val="en-GB"/>
        </w:rPr>
        <w:t>ClinVar</w:t>
      </w:r>
      <w:proofErr w:type="spellEnd"/>
      <w:r w:rsidR="00117180" w:rsidRPr="0082680A">
        <w:rPr>
          <w:color w:val="000000" w:themeColor="text1"/>
          <w:lang w:val="en-GB"/>
        </w:rPr>
        <w:t xml:space="preserve">), and its established use and expertise within our group </w:t>
      </w:r>
      <w:r w:rsidR="00117180" w:rsidRPr="0082680A">
        <w:rPr>
          <w:color w:val="000000" w:themeColor="text1"/>
          <w:lang w:val="en-GB"/>
        </w:rPr>
        <w:fldChar w:fldCharType="begin" w:fldLock="1"/>
      </w:r>
      <w:r w:rsidR="000507BA">
        <w:rPr>
          <w:color w:val="000000" w:themeColor="text1"/>
          <w:lang w:val="en-GB"/>
        </w:rPr>
        <w:instrText>ADDIN CSL_CITATION {"citationItems":[{"id":"ITEM-1","itemData":{"DOI":"10.1371/journal.pcbi.1003153","ISSN":"1553-7358","PMID":"23874191","abstract":"Modern DNA sequencing technologies enable geneticists to rapidly identify genetic variation among many human genomes. However, isolating the minority of variants underlying disease remains an important, yet formidable challenge for medical genetics. We have developed GEMINI (GEnome MINIng), a flexible software package for exploring all forms of human genetic variation. Unlike existing tools, GEMINI integrates genetic variation with a diverse and adaptable set of genome annotations (e.g., dbSNP, ENCODE, UCSC, ClinVar, KEGG) into a unified database to facilitate interpretation and data exploration. Whereas other methods provide an inflexible set of variant filters or prioritization methods, GEMINI allows researchers to compose complex queries based on sample genotypes, inheritance patterns, and both pre-installed and custom genome annotations. GEMINI also provides methods for ad hoc queries and data exploration, a simple programming interface for custom analyses that leverage the underlying database, and both command line and graphical tools for common analyses. We demonstrate GEMINI's utility for exploring variation in personal genomes and family based genetic studies, and illustrate its ability to scale to studies involving thousands of human samples. GEMINI is designed for reproducibility and flexibility and our goal is to provide researchers with a standard framework for medical genomics.","author":[{"dropping-particle":"","family":"Paila","given":"Umadevi","non-dropping-particle":"","parse-names":false,"suffix":""},{"dropping-particle":"","family":"Chapman","given":"Brad A","non-dropping-particle":"","parse-names":false,"suffix":""},{"dropping-particle":"","family":"Kirchner","given":"Rory","non-dropping-particle":"","parse-names":false,"suffix":""},{"dropping-particle":"","family":"Quinlan","given":"Aaron R","non-dropping-particle":"","parse-names":false,"suffix":""}],"container-title":"PLoS computational biology","id":"ITEM-1","issue":"7","issued":{"date-parts":[["2013"]]},"page":"e1003153","publisher":"Public Library of Science","title":"GEMINI: integrative exploration of genetic variation and genome annotations.","type":"article-journal","volume":"9"},"uris":["http://www.mendeley.com/documents/?uuid=f90dbe9e-57b9-30e0-95ca-29fbf410a287"]}],"mendeley":{"formattedCitation":"&lt;sup&gt;171&lt;/sup&gt;","plainTextFormattedCitation":"171","previouslyFormattedCitation":"&lt;sup&gt;171&lt;/sup&gt;"},"properties":{"noteIndex":0},"schema":"https://github.com/citation-style-language/schema/raw/master/csl-citation.json"}</w:instrText>
      </w:r>
      <w:r w:rsidR="00117180" w:rsidRPr="0082680A">
        <w:rPr>
          <w:color w:val="000000" w:themeColor="text1"/>
          <w:lang w:val="en-GB"/>
        </w:rPr>
        <w:fldChar w:fldCharType="separate"/>
      </w:r>
      <w:r w:rsidR="00426B19" w:rsidRPr="00426B19">
        <w:rPr>
          <w:noProof/>
          <w:color w:val="000000" w:themeColor="text1"/>
          <w:vertAlign w:val="superscript"/>
          <w:lang w:val="en-GB"/>
        </w:rPr>
        <w:t>171</w:t>
      </w:r>
      <w:r w:rsidR="00117180" w:rsidRPr="0082680A">
        <w:rPr>
          <w:color w:val="000000" w:themeColor="text1"/>
          <w:lang w:val="en-GB"/>
        </w:rPr>
        <w:fldChar w:fldCharType="end"/>
      </w:r>
      <w:r w:rsidR="00117180" w:rsidRPr="0082680A">
        <w:rPr>
          <w:color w:val="000000" w:themeColor="text1"/>
          <w:lang w:val="en-GB"/>
        </w:rPr>
        <w:t xml:space="preserve">. GEMINI defines LoF using the tool </w:t>
      </w:r>
      <w:proofErr w:type="spellStart"/>
      <w:r w:rsidR="00117180" w:rsidRPr="0082680A">
        <w:rPr>
          <w:color w:val="000000" w:themeColor="text1"/>
          <w:lang w:val="en-GB"/>
        </w:rPr>
        <w:t>SNPeff</w:t>
      </w:r>
      <w:proofErr w:type="spellEnd"/>
      <w:r w:rsidR="00117180" w:rsidRPr="0082680A">
        <w:rPr>
          <w:color w:val="000000" w:themeColor="text1"/>
          <w:lang w:val="en-GB"/>
        </w:rPr>
        <w:t xml:space="preserve">, which </w:t>
      </w:r>
      <w:r w:rsidR="00117180" w:rsidRPr="0082680A">
        <w:rPr>
          <w:color w:val="000000" w:themeColor="text1"/>
          <w:lang w:val="en-GB"/>
        </w:rPr>
        <w:lastRenderedPageBreak/>
        <w:t xml:space="preserve">annotates variants based on their location and the predicted effect on the associated protein-coding gene </w:t>
      </w:r>
      <w:r w:rsidR="00117180" w:rsidRPr="0082680A">
        <w:rPr>
          <w:color w:val="000000" w:themeColor="text1"/>
          <w:lang w:val="en-GB"/>
        </w:rPr>
        <w:fldChar w:fldCharType="begin" w:fldLock="1"/>
      </w:r>
      <w:r w:rsidR="000507BA">
        <w:rPr>
          <w:color w:val="000000" w:themeColor="text1"/>
          <w:lang w:val="en-GB"/>
        </w:rPr>
        <w:instrText>ADDIN CSL_CITATION {"citationItems":[{"id":"ITEM-1","itemData":{"DOI":"10.4161/fly.19695","ISSN":"1933-6942","PMID":"22728672","abstract":"We describe a new computer program, SnpEff, for rapidly categorizing the effects of variants in genome sequences. Once a genome is sequenced, SnpEff annotates variants based on their genomic locations and predicts coding effects. Annotated genomic locations include intronic, untranslated region, upstream, downstream, splice site, or intergenic regions. Coding effects such as synonymous or non-synonymous amino acid replacement, start codon gains or losses, stop codon gains or losses, or frame shifts can be predicted. Here the use of SnpEff is illustrated by annotating ~356,660 candidate SNPs in ~117 Mb unique sequences, representing a substitution rate of ~1/305 nucleotides, between the Drosophila melanogaster w(1118); iso-2; iso-3 strain and the reference y(1); cn(1) bw(1) sp(1) strain. We show that ~15,842 SNPs are synonymous and ~4,467 SNPs are non-synonymous (N/S ~0.28). The remaining SNPs are in other categories, such as stop codon gains (38 SNPs), stop codon losses (8 SNPs), and start codon gains (297 SNPs) in the 5'UTR. We found, as expected, that the SNP frequency is proportional to the recombination frequency (i.e., highest in the middle of chromosome arms). We also found that start-gain or stop-lost SNPs in Drosophila melanogaster often result in additions of N-terminal or C-terminal amino acids that are conserved in other Drosophila species. It appears that the 5' and 3' UTRs are reservoirs for genetic variations that changes the termini of proteins during evolution of the Drosophila genus. As genome sequencing is becoming inexpensive and routine, SnpEff enables rapid analyses of whole-genome sequencing data to be performed by an individual laboratory.","author":[{"dropping-particle":"","family":"Cingolani","given":"Pablo","non-dropping-particle":"","parse-names":false,"suffix":""},{"dropping-particle":"","family":"Platts","given":"Adrian","non-dropping-particle":"","parse-names":false,"suffix":""},{"dropping-particle":"","family":"Wang","given":"Le Lily","non-dropping-particle":"","parse-names":false,"suffix":""},{"dropping-particle":"","family":"Coon","given":"Melissa","non-dropping-particle":"","parse-names":false,"suffix":""},{"dropping-particle":"","family":"Nguyen","given":"Tung","non-dropping-particle":"","parse-names":false,"suffix":""},{"dropping-particle":"","family":"Wang","given":"Luan","non-dropping-particle":"","parse-names":false,"suffix":""},{"dropping-particle":"","family":"Land","given":"Susan J","non-dropping-particle":"","parse-names":false,"suffix":""},{"dropping-particle":"","family":"Lu","given":"Xiangyi","non-dropping-particle":"","parse-names":false,"suffix":""},{"dropping-particle":"","family":"Ruden","given":"Douglas M","non-dropping-particle":"","parse-names":false,"suffix":""}],"container-title":"Fly","id":"ITEM-1","issue":"2","issued":{"date-parts":[["2012"]]},"page":"80-92","publisher":"Taylor &amp; Francis","title":"A program for annotating and predicting the effects of single nucleotide polymorphisms, SnpEff: SNPs in the genome of Drosophila melanogaster strain w1118; iso-2; iso-3.","type":"article-journal","volume":"6"},"uris":["http://www.mendeley.com/documents/?uuid=a4487101-9026-3657-b194-acf1baa36a89"]}],"mendeley":{"formattedCitation":"&lt;sup&gt;172&lt;/sup&gt;","plainTextFormattedCitation":"172","previouslyFormattedCitation":"&lt;sup&gt;172&lt;/sup&gt;"},"properties":{"noteIndex":0},"schema":"https://github.com/citation-style-language/schema/raw/master/csl-citation.json"}</w:instrText>
      </w:r>
      <w:r w:rsidR="00117180" w:rsidRPr="0082680A">
        <w:rPr>
          <w:color w:val="000000" w:themeColor="text1"/>
          <w:lang w:val="en-GB"/>
        </w:rPr>
        <w:fldChar w:fldCharType="separate"/>
      </w:r>
      <w:r w:rsidR="00426B19" w:rsidRPr="00426B19">
        <w:rPr>
          <w:noProof/>
          <w:color w:val="000000" w:themeColor="text1"/>
          <w:vertAlign w:val="superscript"/>
          <w:lang w:val="en-GB"/>
        </w:rPr>
        <w:t>172</w:t>
      </w:r>
      <w:r w:rsidR="00117180" w:rsidRPr="0082680A">
        <w:rPr>
          <w:color w:val="000000" w:themeColor="text1"/>
          <w:lang w:val="en-GB"/>
        </w:rPr>
        <w:fldChar w:fldCharType="end"/>
      </w:r>
      <w:r w:rsidR="00117180" w:rsidRPr="0082680A">
        <w:rPr>
          <w:color w:val="000000" w:themeColor="text1"/>
          <w:lang w:val="en-GB"/>
        </w:rPr>
        <w:t>.</w:t>
      </w:r>
    </w:p>
    <w:p w14:paraId="48DE3AAB" w14:textId="77777777" w:rsidR="00117180" w:rsidRPr="0082680A" w:rsidRDefault="00117180" w:rsidP="00EB41E2">
      <w:pPr>
        <w:rPr>
          <w:color w:val="000000" w:themeColor="text1"/>
          <w:lang w:val="en-GB"/>
        </w:rPr>
      </w:pPr>
    </w:p>
    <w:p w14:paraId="0BA08D06" w14:textId="1EBBF5DE" w:rsidR="006D2854" w:rsidRPr="0082680A" w:rsidRDefault="00117180" w:rsidP="00EB41E2">
      <w:pPr>
        <w:rPr>
          <w:color w:val="FF0000"/>
          <w:lang w:val="en-GB"/>
        </w:rPr>
      </w:pPr>
      <w:r w:rsidRPr="0082680A">
        <w:rPr>
          <w:color w:val="000000" w:themeColor="text1"/>
          <w:lang w:val="en-GB"/>
        </w:rPr>
        <w:t xml:space="preserve">SNPs </w:t>
      </w:r>
      <w:r w:rsidR="002A4FBA" w:rsidRPr="0082680A">
        <w:rPr>
          <w:color w:val="000000" w:themeColor="text1"/>
          <w:lang w:val="en-GB"/>
        </w:rPr>
        <w:t>were further filtered to include only</w:t>
      </w:r>
      <w:r w:rsidRPr="0082680A">
        <w:rPr>
          <w:color w:val="000000" w:themeColor="text1"/>
          <w:lang w:val="en-GB"/>
        </w:rPr>
        <w:t xml:space="preserve"> those possessing a </w:t>
      </w:r>
      <w:r w:rsidR="002A4FBA" w:rsidRPr="0082680A">
        <w:rPr>
          <w:color w:val="000000" w:themeColor="text1"/>
          <w:lang w:val="en-GB"/>
        </w:rPr>
        <w:t xml:space="preserve">&lt;0.01 value for both </w:t>
      </w:r>
      <w:proofErr w:type="spellStart"/>
      <w:r w:rsidR="002A4FBA" w:rsidRPr="0082680A">
        <w:rPr>
          <w:color w:val="000000" w:themeColor="text1"/>
          <w:lang w:val="en-GB"/>
        </w:rPr>
        <w:t>Ex</w:t>
      </w:r>
      <w:r w:rsidRPr="0082680A">
        <w:rPr>
          <w:color w:val="000000" w:themeColor="text1"/>
          <w:lang w:val="en-GB"/>
        </w:rPr>
        <w:t>AC</w:t>
      </w:r>
      <w:proofErr w:type="spellEnd"/>
      <w:r w:rsidR="002A4FBA" w:rsidRPr="0082680A">
        <w:rPr>
          <w:color w:val="000000" w:themeColor="text1"/>
          <w:lang w:val="en-GB"/>
        </w:rPr>
        <w:t xml:space="preserve"> and 1000 Genomes, to remove variants which are not considered rare. Both coding and non-coding variants were included, as for many conditions, the vast majority of causal variants are non-coding </w:t>
      </w:r>
      <w:r w:rsidR="002A4FBA" w:rsidRPr="0082680A">
        <w:rPr>
          <w:color w:val="000000" w:themeColor="text1"/>
          <w:lang w:val="en-GB"/>
        </w:rPr>
        <w:fldChar w:fldCharType="begin" w:fldLock="1"/>
      </w:r>
      <w:r w:rsidR="000507BA">
        <w:rPr>
          <w:color w:val="000000" w:themeColor="text1"/>
          <w:lang w:val="en-GB"/>
        </w:rPr>
        <w:instrText>ADDIN CSL_CITATION {"citationItems":[{"id":"ITEM-1","itemData":{"DOI":"10.1038/nature13835","ISSN":"0028-0836","abstract":"Genome-wide association studies combined with data from epigenomic maps for immune cells have been used to fine-map causal variants for 21 autoimmune diseases; disease risk tends to be linked to single nucleotide polymorphisms in cell-type-specific enhancers, often in regions adjacent to transcription factor binding motifs.","author":[{"dropping-particle":"","family":"Farh","given":"Kyle Kai-How","non-dropping-particle":"","parse-names":false,"suffix":""},{"dropping-particle":"","family":"Marson","given":"Alexander","non-dropping-particle":"","parse-names":false,"suffix":""},{"dropping-particle":"","family":"Zhu","given":"Jiang","non-dropping-particle":"","parse-names":false,"suffix":""},{"dropping-particle":"","family":"Kleinewietfeld","given":"Markus","non-dropping-particle":"","parse-names":false,"suffix":""},{"dropping-particle":"","family":"Housley","given":"William J.","non-dropping-particle":"","parse-names":false,"suffix":""},{"dropping-particle":"","family":"Beik","given":"Samantha","non-dropping-particle":"","parse-names":false,"suffix":""},{"dropping-particle":"","family":"Shoresh","given":"Noam","non-dropping-particle":"","parse-names":false,"suffix":""},{"dropping-particle":"","family":"Whitton","given":"Holly","non-dropping-particle":"","parse-names":false,"suffix":""},{"dropping-particle":"","family":"Ryan","given":"Russell J. H.","non-dropping-particle":"","parse-names":false,"suffix":""},{"dropping-particle":"","family":"Shishkin","given":"Alexander A.","non-dropping-particle":"","parse-names":false,"suffix":""},{"dropping-particle":"","family":"Hatan","given":"Meital","non-dropping-particle":"","parse-names":false,"suffix":""},{"dropping-particle":"","family":"Carrasco-Alfonso","given":"Marlene J.","non-dropping-particle":"","parse-names":false,"suffix":""},{"dropping-particle":"","family":"Mayer","given":"Dita","non-dropping-particle":"","parse-names":false,"suffix":""},{"dropping-particle":"","family":"Luckey","given":"C. John","non-dropping-particle":"","parse-names":false,"suffix":""},{"dropping-particle":"","family":"Patsopoulos","given":"Nikolaos A.","non-dropping-particle":"","parse-names":false,"suffix":""},{"dropping-particle":"","family":"Jager","given":"Philip L.","non-dropping-particle":"De","parse-names":false,"suffix":""},{"dropping-particle":"","family":"Kuchroo","given":"Vijay K.","non-dropping-particle":"","parse-names":false,"suffix":""},{"dropping-particle":"","family":"Epstein","given":"Charles B.","non-dropping-particle":"","parse-names":false,"suffix":""},{"dropping-particle":"","family":"Daly","given":"Mark J.","non-dropping-particle":"","parse-names":false,"suffix":""},{"dropping-particle":"","family":"Hafler","given":"David A.","non-dropping-particle":"","parse-names":false,"suffix":""},{"dropping-particle":"","family":"Bernstein","given":"Bradley E.","non-dropping-particle":"","parse-names":false,"suffix":""}],"container-title":"Nature","id":"ITEM-1","issue":"7539","issued":{"date-parts":[["2015","2"]]},"page":"337-343","publisher":"Nature Publishing Group","title":"Genetic and epigenetic fine mapping of causal autoimmune disease variants","type":"article-journal","volume":"518"},"uris":["http://www.mendeley.com/documents/?uuid=bbc74009-afec-30ce-b898-894965ed73dd"]},{"id":"ITEM-2","itemData":{"DOI":"10.1038/nrg.2015.17","ISSN":"1471-0056","abstract":"Genomic analyses of cancer genomes have largely focused on mutations in protein-coding regions, but the functional importance of alterations to non-coding regions is becoming increasingly appreciated through whole-genome sequencing. This Review discusses our current understanding of non-coding sequence variants in cancer — both somatic mutations and germline variants, and their interplay — including their identification, computational and experimental evidence for functional impact, and their diverse mechanisms of action for dysregulating coding genes and non-coding RNAs.","author":[{"dropping-particle":"","family":"Khurana","given":"Ekta","non-dropping-particle":"","parse-names":false,"suffix":""},{"dropping-particle":"","family":"Fu","given":"Yao","non-dropping-particle":"","parse-names":false,"suffix":""},{"dropping-particle":"","family":"Chakravarty","given":"Dimple","non-dropping-particle":"","parse-names":false,"suffix":""},{"dropping-particle":"","family":"Demichelis","given":"Francesca","non-dropping-particle":"","parse-names":false,"suffix":""},{"dropping-particle":"","family":"Rubin","given":"Mark A.","non-dropping-particle":"","parse-names":false,"suffix":""},{"dropping-particle":"","family":"Gerstein","given":"Mark","non-dropping-particle":"","parse-names":false,"suffix":""}],"container-title":"Nature Reviews Genetics","id":"ITEM-2","issue":"2","issued":{"date-parts":[["2016","2","19"]]},"page":"93-108","publisher":"Nature Publishing Group","title":"Role of non-coding sequence variants in cancer","type":"article-journal","volume":"17"},"uris":["http://www.mendeley.com/documents/?uuid=52d61ff6-c7ba-32a2-b236-7149ebafae9f"]}],"mendeley":{"formattedCitation":"&lt;sup&gt;173,174&lt;/sup&gt;","plainTextFormattedCitation":"173,174","previouslyFormattedCitation":"&lt;sup&gt;173,174&lt;/sup&gt;"},"properties":{"noteIndex":0},"schema":"https://github.com/citation-style-language/schema/raw/master/csl-citation.json"}</w:instrText>
      </w:r>
      <w:r w:rsidR="002A4FBA" w:rsidRPr="0082680A">
        <w:rPr>
          <w:color w:val="000000" w:themeColor="text1"/>
          <w:lang w:val="en-GB"/>
        </w:rPr>
        <w:fldChar w:fldCharType="separate"/>
      </w:r>
      <w:r w:rsidR="00426B19" w:rsidRPr="00426B19">
        <w:rPr>
          <w:noProof/>
          <w:color w:val="000000" w:themeColor="text1"/>
          <w:vertAlign w:val="superscript"/>
          <w:lang w:val="en-GB"/>
        </w:rPr>
        <w:t>173,174</w:t>
      </w:r>
      <w:r w:rsidR="002A4FBA" w:rsidRPr="0082680A">
        <w:rPr>
          <w:color w:val="000000" w:themeColor="text1"/>
          <w:lang w:val="en-GB"/>
        </w:rPr>
        <w:fldChar w:fldCharType="end"/>
      </w:r>
      <w:r w:rsidR="002A4FBA" w:rsidRPr="0082680A">
        <w:rPr>
          <w:color w:val="000000" w:themeColor="text1"/>
          <w:lang w:val="en-GB"/>
        </w:rPr>
        <w:t xml:space="preserve">. After filtering, </w:t>
      </w:r>
      <w:r w:rsidR="00DD0C53" w:rsidRPr="0082680A">
        <w:rPr>
          <w:color w:val="000000" w:themeColor="text1"/>
          <w:lang w:val="en-GB"/>
        </w:rPr>
        <w:t>214</w:t>
      </w:r>
      <w:r w:rsidR="002A4FBA" w:rsidRPr="0082680A">
        <w:rPr>
          <w:color w:val="000000" w:themeColor="text1"/>
          <w:lang w:val="en-GB"/>
        </w:rPr>
        <w:t xml:space="preserve"> predicted </w:t>
      </w:r>
      <w:r w:rsidR="00163F98" w:rsidRPr="0082680A">
        <w:rPr>
          <w:color w:val="000000" w:themeColor="text1"/>
          <w:lang w:val="en-GB"/>
        </w:rPr>
        <w:t>LoF</w:t>
      </w:r>
      <w:r w:rsidR="002A4FBA" w:rsidRPr="0082680A">
        <w:rPr>
          <w:color w:val="000000" w:themeColor="text1"/>
          <w:lang w:val="en-GB"/>
        </w:rPr>
        <w:t xml:space="preserve"> mutations associated with </w:t>
      </w:r>
      <w:r w:rsidR="00DD0C53" w:rsidRPr="0082680A">
        <w:rPr>
          <w:color w:val="000000" w:themeColor="text1"/>
          <w:lang w:val="en-GB"/>
        </w:rPr>
        <w:t>79</w:t>
      </w:r>
      <w:r w:rsidR="002A4FBA" w:rsidRPr="0082680A">
        <w:rPr>
          <w:color w:val="000000" w:themeColor="text1"/>
          <w:lang w:val="en-GB"/>
        </w:rPr>
        <w:t xml:space="preserve"> module genes (</w:t>
      </w:r>
      <w:r w:rsidR="00DD0C53" w:rsidRPr="0082680A">
        <w:rPr>
          <w:color w:val="000000" w:themeColor="text1"/>
          <w:lang w:val="en-GB"/>
        </w:rPr>
        <w:t xml:space="preserve">Appendix Table </w:t>
      </w:r>
      <w:r w:rsidR="000E46C0">
        <w:rPr>
          <w:color w:val="000000" w:themeColor="text1"/>
          <w:lang w:val="en-GB"/>
        </w:rPr>
        <w:t>1</w:t>
      </w:r>
      <w:r w:rsidR="00DD0C53" w:rsidRPr="0082680A">
        <w:rPr>
          <w:color w:val="000000" w:themeColor="text1"/>
          <w:lang w:val="en-GB"/>
        </w:rPr>
        <w:t>)</w:t>
      </w:r>
      <w:r w:rsidR="002A4FBA" w:rsidRPr="0082680A">
        <w:rPr>
          <w:color w:val="000000" w:themeColor="text1"/>
          <w:lang w:val="en-GB"/>
        </w:rPr>
        <w:t xml:space="preserve">. </w:t>
      </w:r>
      <w:r w:rsidR="00DD0C53" w:rsidRPr="0082680A">
        <w:rPr>
          <w:color w:val="000000" w:themeColor="text1"/>
          <w:lang w:val="en-GB"/>
        </w:rPr>
        <w:t>Three</w:t>
      </w:r>
      <w:r w:rsidR="002A4FBA" w:rsidRPr="0082680A">
        <w:rPr>
          <w:color w:val="000000" w:themeColor="text1"/>
          <w:lang w:val="en-GB"/>
        </w:rPr>
        <w:t xml:space="preserve"> of these </w:t>
      </w:r>
      <w:r w:rsidR="00DD0C53" w:rsidRPr="0082680A">
        <w:rPr>
          <w:color w:val="000000" w:themeColor="text1"/>
          <w:lang w:val="en-GB"/>
        </w:rPr>
        <w:t xml:space="preserve">genes </w:t>
      </w:r>
      <w:r w:rsidR="002A4FBA" w:rsidRPr="0082680A">
        <w:rPr>
          <w:color w:val="000000" w:themeColor="text1"/>
          <w:lang w:val="en-GB"/>
        </w:rPr>
        <w:t>are established ALS or FTLD genes (</w:t>
      </w:r>
      <w:r w:rsidR="002A4FBA" w:rsidRPr="0082680A">
        <w:rPr>
          <w:i/>
          <w:color w:val="000000" w:themeColor="text1"/>
          <w:lang w:val="en-GB"/>
        </w:rPr>
        <w:t>TBK1</w:t>
      </w:r>
      <w:r w:rsidR="00DD0C53" w:rsidRPr="0082680A">
        <w:rPr>
          <w:color w:val="000000" w:themeColor="text1"/>
          <w:lang w:val="en-GB"/>
        </w:rPr>
        <w:t>,</w:t>
      </w:r>
      <w:r w:rsidR="002A4FBA" w:rsidRPr="0082680A">
        <w:rPr>
          <w:color w:val="000000" w:themeColor="text1"/>
          <w:lang w:val="en-GB"/>
        </w:rPr>
        <w:t xml:space="preserve"> </w:t>
      </w:r>
      <w:r w:rsidR="002A4FBA" w:rsidRPr="0082680A">
        <w:rPr>
          <w:i/>
          <w:color w:val="000000" w:themeColor="text1"/>
          <w:lang w:val="en-GB"/>
        </w:rPr>
        <w:t>GARS</w:t>
      </w:r>
      <w:r w:rsidR="00DD0C53" w:rsidRPr="0082680A">
        <w:rPr>
          <w:color w:val="000000" w:themeColor="text1"/>
          <w:lang w:val="en-GB"/>
        </w:rPr>
        <w:t xml:space="preserve">, &amp; </w:t>
      </w:r>
      <w:r w:rsidR="00DD0C53" w:rsidRPr="0082680A">
        <w:rPr>
          <w:i/>
          <w:color w:val="000000" w:themeColor="text1"/>
          <w:lang w:val="en-GB"/>
        </w:rPr>
        <w:t>ELP3</w:t>
      </w:r>
      <w:r w:rsidR="002A4FBA" w:rsidRPr="0082680A">
        <w:rPr>
          <w:color w:val="000000" w:themeColor="text1"/>
          <w:lang w:val="en-GB"/>
        </w:rPr>
        <w:t xml:space="preserve">), however the remaining are completely novel. </w:t>
      </w:r>
      <w:r w:rsidR="00FA19B3" w:rsidRPr="0082680A">
        <w:rPr>
          <w:lang w:val="en-GB"/>
        </w:rPr>
        <w:t>Genes containing a predicted LoF mutation were</w:t>
      </w:r>
      <w:r w:rsidR="00EB41E2" w:rsidRPr="0082680A">
        <w:rPr>
          <w:lang w:val="en-GB"/>
        </w:rPr>
        <w:t xml:space="preserve"> </w:t>
      </w:r>
      <w:r w:rsidR="00163F98" w:rsidRPr="0082680A">
        <w:rPr>
          <w:lang w:val="en-GB"/>
        </w:rPr>
        <w:t>given a maximum score of</w:t>
      </w:r>
      <w:r w:rsidR="00EB41E2" w:rsidRPr="0082680A">
        <w:rPr>
          <w:lang w:val="en-GB"/>
        </w:rPr>
        <w:t xml:space="preserve"> score of </w:t>
      </w:r>
      <w:r w:rsidR="00163F98" w:rsidRPr="0082680A">
        <w:rPr>
          <w:lang w:val="en-GB"/>
        </w:rPr>
        <w:t>5</w:t>
      </w:r>
      <w:r w:rsidR="00EB41E2" w:rsidRPr="0082680A">
        <w:rPr>
          <w:lang w:val="en-GB"/>
        </w:rPr>
        <w:t xml:space="preserve">. </w:t>
      </w:r>
    </w:p>
    <w:p w14:paraId="558581AC" w14:textId="5B4A7765" w:rsidR="00EB41E2" w:rsidRPr="0082680A" w:rsidRDefault="00EB41E2" w:rsidP="00842FD0">
      <w:pPr>
        <w:pStyle w:val="Heading4"/>
        <w:rPr>
          <w:lang w:val="en-GB"/>
        </w:rPr>
      </w:pPr>
      <w:bookmarkStart w:id="164" w:name="_wqtht5wqkcyh" w:colFirst="0" w:colLast="0"/>
      <w:bookmarkStart w:id="165" w:name="_Toc3211364"/>
      <w:bookmarkEnd w:id="164"/>
      <w:r w:rsidRPr="0082680A">
        <w:rPr>
          <w:lang w:val="en-GB"/>
        </w:rPr>
        <w:t xml:space="preserve">Topological </w:t>
      </w:r>
      <w:r w:rsidR="006D2854" w:rsidRPr="0082680A">
        <w:rPr>
          <w:lang w:val="en-GB"/>
        </w:rPr>
        <w:t>Score</w:t>
      </w:r>
      <w:bookmarkEnd w:id="165"/>
    </w:p>
    <w:p w14:paraId="7282B6E5" w14:textId="4D907925" w:rsidR="006A02C8" w:rsidRPr="0082680A" w:rsidRDefault="00EB41E2" w:rsidP="00EB41E2">
      <w:pPr>
        <w:rPr>
          <w:lang w:val="en-GB"/>
        </w:rPr>
      </w:pPr>
      <w:r w:rsidRPr="0082680A">
        <w:rPr>
          <w:lang w:val="en-GB"/>
        </w:rPr>
        <w:t>Topological analysis is conducted by use of the lobby index</w:t>
      </w:r>
      <w:r w:rsidR="008C318F" w:rsidRPr="0082680A">
        <w:rPr>
          <w:lang w:val="en-GB"/>
        </w:rPr>
        <w:t xml:space="preserve"> </w:t>
      </w:r>
      <w:r w:rsidR="00F77624" w:rsidRPr="0082680A">
        <w:rPr>
          <w:lang w:val="en-GB"/>
        </w:rPr>
        <w:fldChar w:fldCharType="begin" w:fldLock="1"/>
      </w:r>
      <w:r w:rsidR="000507BA">
        <w:rPr>
          <w:lang w:val="en-GB"/>
        </w:rPr>
        <w:instrText>ADDIN CSL_CITATION {"citationItems":[{"id":"ITEM-1","itemData":{"DOI":"10.1016/J.PHYSA.2009.02.013","ISSN":"0378-4371","abstract":"We propose a new node centrality measure in networks, the lobby index, which is inspired by Hirsch’s h-index. It is shown that in scale-free networks with exponent α the distribution of the l-index has power tail with exponent α(α+1). Properties of the l-index and extensions are discussed.","author":[{"dropping-particle":"","family":"Korn","given":"A.","non-dropping-particle":"","parse-names":false,"suffix":""},{"dropping-particle":"","family":"Schubert","given":"A.","non-dropping-particle":"","parse-names":false,"suffix":""},{"dropping-particle":"","family":"Telcs","given":"A.","non-dropping-particle":"","parse-names":false,"suffix":""}],"container-title":"Physica A: Statistical Mechanics and its Applications","id":"ITEM-1","issue":"11","issued":{"date-parts":[["2009","6","1"]]},"page":"2221-2226","publisher":"North-Holland","title":"Lobby index in networks","type":"article-journal","volume":"388"},"uris":["http://www.mendeley.com/documents/?uuid=f8a4070d-8867-3858-94ca-1a1d528ea09b"]}],"mendeley":{"formattedCitation":"&lt;sup&gt;175&lt;/sup&gt;","plainTextFormattedCitation":"175","previouslyFormattedCitation":"&lt;sup&gt;175&lt;/sup&gt;"},"properties":{"noteIndex":0},"schema":"https://github.com/citation-style-language/schema/raw/master/csl-citation.json"}</w:instrText>
      </w:r>
      <w:r w:rsidR="00F77624" w:rsidRPr="0082680A">
        <w:rPr>
          <w:lang w:val="en-GB"/>
        </w:rPr>
        <w:fldChar w:fldCharType="separate"/>
      </w:r>
      <w:r w:rsidR="00426B19" w:rsidRPr="00426B19">
        <w:rPr>
          <w:noProof/>
          <w:vertAlign w:val="superscript"/>
          <w:lang w:val="en-GB"/>
        </w:rPr>
        <w:t>175</w:t>
      </w:r>
      <w:r w:rsidR="00F77624" w:rsidRPr="0082680A">
        <w:rPr>
          <w:lang w:val="en-GB"/>
        </w:rPr>
        <w:fldChar w:fldCharType="end"/>
      </w:r>
      <w:r w:rsidRPr="0082680A">
        <w:rPr>
          <w:lang w:val="en-GB"/>
        </w:rPr>
        <w:t xml:space="preserve">. </w:t>
      </w:r>
      <w:r w:rsidR="00F77624" w:rsidRPr="0082680A">
        <w:rPr>
          <w:lang w:val="en-GB"/>
        </w:rPr>
        <w:t>Lobby</w:t>
      </w:r>
      <w:r w:rsidR="00581534" w:rsidRPr="0082680A">
        <w:rPr>
          <w:lang w:val="en-GB"/>
        </w:rPr>
        <w:t xml:space="preserve"> index is a way of assessing</w:t>
      </w:r>
      <w:r w:rsidR="006A02C8" w:rsidRPr="0082680A">
        <w:rPr>
          <w:lang w:val="en-GB"/>
        </w:rPr>
        <w:t xml:space="preserve"> the centrality</w:t>
      </w:r>
      <w:r w:rsidR="00F77624" w:rsidRPr="0082680A">
        <w:rPr>
          <w:lang w:val="en-GB"/>
        </w:rPr>
        <w:t>, or connectedness,</w:t>
      </w:r>
      <w:r w:rsidR="006A02C8" w:rsidRPr="0082680A">
        <w:rPr>
          <w:lang w:val="en-GB"/>
        </w:rPr>
        <w:t xml:space="preserve"> of any given network member. </w:t>
      </w:r>
      <w:r w:rsidR="00C13BDD" w:rsidRPr="0082680A">
        <w:rPr>
          <w:lang w:val="en-GB"/>
        </w:rPr>
        <w:t xml:space="preserve">Network nodes with higher centrality are more likely to be </w:t>
      </w:r>
      <w:r w:rsidR="00581534" w:rsidRPr="0082680A">
        <w:rPr>
          <w:lang w:val="en-GB"/>
        </w:rPr>
        <w:t xml:space="preserve">core </w:t>
      </w:r>
      <w:r w:rsidR="00C13BDD" w:rsidRPr="0082680A">
        <w:rPr>
          <w:lang w:val="en-GB"/>
        </w:rPr>
        <w:t xml:space="preserve">regulators of </w:t>
      </w:r>
      <w:r w:rsidR="00581534" w:rsidRPr="0082680A">
        <w:rPr>
          <w:lang w:val="en-GB"/>
        </w:rPr>
        <w:t>important biological processes</w:t>
      </w:r>
      <w:r w:rsidR="00C13BDD" w:rsidRPr="0082680A">
        <w:rPr>
          <w:lang w:val="en-GB"/>
        </w:rPr>
        <w:t xml:space="preserve"> </w:t>
      </w:r>
      <w:r w:rsidR="00914A36" w:rsidRPr="0082680A">
        <w:rPr>
          <w:lang w:val="en-GB"/>
        </w:rPr>
        <w:fldChar w:fldCharType="begin" w:fldLock="1"/>
      </w:r>
      <w:r w:rsidR="000507BA">
        <w:rPr>
          <w:lang w:val="en-GB"/>
        </w:rPr>
        <w:instrText>ADDIN CSL_CITATION {"citationItems":[{"id":"ITEM-1","itemData":{"DOI":"10.1038/35075138","ISSN":"0028-0836","abstract":"The most highly connected proteins in the cell are the most important for its survival.","author":[{"dropping-particle":"","family":"Jeong","given":"H.","non-dropping-particle":"","parse-names":false,"suffix":""},{"dropping-particle":"","family":"Mason","given":"S. P.","non-dropping-particle":"","parse-names":false,"suffix":""},{"dropping-particle":"","family":"Barabási","given":"A.-L.","non-dropping-particle":"","parse-names":false,"suffix":""},{"dropping-particle":"","family":"Oltvai","given":"Z. N.","non-dropping-particle":"","parse-names":false,"suffix":""}],"container-title":"Nature","id":"ITEM-1","issue":"6833","issued":{"date-parts":[["2001","5","3"]]},"page":"41-42","publisher":"Nature Publishing Group","title":"Lethality and centrality in protein networks","type":"article-journal","volume":"411"},"uris":["http://www.mendeley.com/documents/?uuid=6e879368-dc15-3c1f-a213-e277a7d92c5c"]},{"id":"ITEM-2","itemData":{"DOI":"10.1093/molbev/msi072","ISSN":"1537-1719","PMID":"15616139","abstract":"Most proteins do not evolve in isolation, but as components of complex genetic networks. Therefore, a protein's position in a network may indicate how central it is to cellular function and, hence, how constrained it is evolutionarily. To look for an effect of position on evolutionary rate, we examined the protein-protein interaction networks in three eukaryotes: yeast, worm, and fly. We find that the three networks have remarkably similar structure, such that the number of interactors per protein and the centrality of proteins in the networks have similar distributions. Proteins that have a more central position in all three networks, regardless of the number of direct interactors, evolve more slowly and are more likely to be essential for survival. Our results are thus consistent with a classic proposal of Fisher's that pleiotropy constrains evolution.","author":[{"dropping-particle":"","family":"Hahn","given":"Matthew W.","non-dropping-particle":"","parse-names":false,"suffix":""},{"dropping-particle":"","family":"Kern","given":"Andrew D.","non-dropping-particle":"","parse-names":false,"suffix":""}],"container-title":"Molecular Biology and Evolution","id":"ITEM-2","issue":"4","issued":{"date-parts":[["2005","4"]]},"page":"803-806","title":"Comparative Genomics of Centrality and Essentiality in Three Eukaryotic Protein-Interaction Networks","type":"article-journal","volume":"22"},"uris":["http://www.mendeley.com/documents/?uuid=796aac2d-2be8-377d-b3a1-e482031cde89"]}],"mendeley":{"formattedCitation":"&lt;sup&gt;176,177&lt;/sup&gt;","plainTextFormattedCitation":"176,177","previouslyFormattedCitation":"&lt;sup&gt;176,177&lt;/sup&gt;"},"properties":{"noteIndex":0},"schema":"https://github.com/citation-style-language/schema/raw/master/csl-citation.json"}</w:instrText>
      </w:r>
      <w:r w:rsidR="00914A36" w:rsidRPr="0082680A">
        <w:rPr>
          <w:lang w:val="en-GB"/>
        </w:rPr>
        <w:fldChar w:fldCharType="separate"/>
      </w:r>
      <w:r w:rsidR="00426B19" w:rsidRPr="00426B19">
        <w:rPr>
          <w:noProof/>
          <w:vertAlign w:val="superscript"/>
          <w:lang w:val="en-GB"/>
        </w:rPr>
        <w:t>176,177</w:t>
      </w:r>
      <w:r w:rsidR="00914A36" w:rsidRPr="0082680A">
        <w:rPr>
          <w:lang w:val="en-GB"/>
        </w:rPr>
        <w:fldChar w:fldCharType="end"/>
      </w:r>
      <w:r w:rsidR="00C13BDD" w:rsidRPr="0082680A">
        <w:rPr>
          <w:lang w:val="en-GB"/>
        </w:rPr>
        <w:t xml:space="preserve">. </w:t>
      </w:r>
      <w:r w:rsidR="006C5DA3" w:rsidRPr="0082680A">
        <w:rPr>
          <w:lang w:val="en-GB"/>
        </w:rPr>
        <w:t xml:space="preserve">A </w:t>
      </w:r>
      <w:r w:rsidR="00581534" w:rsidRPr="0082680A">
        <w:rPr>
          <w:lang w:val="en-GB"/>
        </w:rPr>
        <w:t>L</w:t>
      </w:r>
      <w:r w:rsidR="006C5DA3" w:rsidRPr="0082680A">
        <w:rPr>
          <w:lang w:val="en-GB"/>
        </w:rPr>
        <w:t>obby index</w:t>
      </w:r>
      <w:r w:rsidRPr="0082680A">
        <w:rPr>
          <w:lang w:val="en-GB"/>
        </w:rPr>
        <w:t xml:space="preserve"> score </w:t>
      </w:r>
      <w:r w:rsidR="006C5DA3" w:rsidRPr="0082680A">
        <w:rPr>
          <w:lang w:val="en-GB"/>
        </w:rPr>
        <w:t xml:space="preserve">is </w:t>
      </w:r>
      <w:r w:rsidRPr="0082680A">
        <w:rPr>
          <w:lang w:val="en-GB"/>
        </w:rPr>
        <w:t xml:space="preserve">generated </w:t>
      </w:r>
      <w:r w:rsidR="006C5DA3" w:rsidRPr="0082680A">
        <w:rPr>
          <w:lang w:val="en-GB"/>
        </w:rPr>
        <w:t>by calculating</w:t>
      </w:r>
      <w:r w:rsidRPr="0082680A">
        <w:rPr>
          <w:lang w:val="en-GB"/>
        </w:rPr>
        <w:t xml:space="preserve"> the number of edges a node has, as well as the number of edges</w:t>
      </w:r>
      <w:r w:rsidR="006C5DA3" w:rsidRPr="0082680A">
        <w:rPr>
          <w:lang w:val="en-GB"/>
        </w:rPr>
        <w:t xml:space="preserve"> possessed by</w:t>
      </w:r>
      <w:r w:rsidRPr="0082680A">
        <w:rPr>
          <w:lang w:val="en-GB"/>
        </w:rPr>
        <w:t xml:space="preserve"> its neighbours. The lobby index value is the largest integer such that the node of interest has at least </w:t>
      </w:r>
      <w:r w:rsidRPr="0082680A">
        <w:rPr>
          <w:i/>
          <w:lang w:val="en-GB"/>
        </w:rPr>
        <w:t>k</w:t>
      </w:r>
      <w:r w:rsidRPr="0082680A">
        <w:rPr>
          <w:lang w:val="en-GB"/>
        </w:rPr>
        <w:t xml:space="preserve"> neighbours with a degree of at least </w:t>
      </w:r>
      <w:r w:rsidRPr="0082680A">
        <w:rPr>
          <w:i/>
          <w:lang w:val="en-GB"/>
        </w:rPr>
        <w:t>k</w:t>
      </w:r>
      <w:r w:rsidRPr="0082680A">
        <w:rPr>
          <w:lang w:val="en-GB"/>
        </w:rPr>
        <w:t xml:space="preserve">. For example, a lobby index of 5 means the node of interest has 5 connections with neighbours who also have at least 5 connections, but not 6. </w:t>
      </w:r>
      <w:r w:rsidR="00A47825" w:rsidRPr="0082680A">
        <w:rPr>
          <w:lang w:val="en-GB"/>
        </w:rPr>
        <w:t xml:space="preserve">Lobby index has been shown to be </w:t>
      </w:r>
      <w:r w:rsidR="00CE34FA" w:rsidRPr="0082680A">
        <w:rPr>
          <w:lang w:val="en-GB"/>
        </w:rPr>
        <w:t xml:space="preserve">more informative, and computationally faster than other centrality measures </w:t>
      </w:r>
      <w:r w:rsidR="008B085C" w:rsidRPr="0082680A">
        <w:rPr>
          <w:lang w:val="en-GB"/>
        </w:rPr>
        <w:fldChar w:fldCharType="begin" w:fldLock="1"/>
      </w:r>
      <w:r w:rsidR="000507BA">
        <w:rPr>
          <w:lang w:val="en-GB"/>
        </w:rPr>
        <w:instrText>ADDIN CSL_CITATION {"citationItems":[{"id":"ITEM-1","itemData":{"DOI":"10.1016/J.PHYSA.2013.06.065","ISSN":"0378-4371","abstract":"We study the lobby index (l-index for short) as a local node centrality measure for complex networks. The l-index is compared with degree (a local measure), betweenness and Eigenvector centralities (two global measures) in the case of a biological network (Yeast interaction protein–protein network) and a linguistic network (Moby Thesaurus II). In both networks, the l-index has a poor correlation with betweenness but correlates with degree and Eigenvector centralities. Although being local, the l-index carries more information about its neighbors than degree centrality. Also, it requires much less time to compute when compared with Eigenvector centrality. Results show that the l-index produces better results than degree and Eigenvector centrality for ranking purposes.","author":[{"dropping-particle":"","family":"Campiteli","given":"M.G.","non-dropping-particle":"","parse-names":false,"suffix":""},{"dropping-particle":"","family":"Holanda","given":"A.J.","non-dropping-particle":"","parse-names":false,"suffix":""},{"dropping-particle":"","family":"Soares","given":"L.D.H.","non-dropping-particle":"","parse-names":false,"suffix":""},{"dropping-particle":"","family":"Soles","given":"P.R.C.","non-dropping-particle":"","parse-names":false,"suffix":""},{"dropping-particle":"","family":"Kinouchi","given":"O.","non-dropping-particle":"","parse-names":false,"suffix":""}],"container-title":"Physica A: Statistical Mechanics and its Applications","id":"ITEM-1","issue":"21","issued":{"date-parts":[["2013","11","1"]]},"page":"5511-5515","publisher":"North-Holland","title":"Lobby index as a network centrality measure","type":"article-journal","volume":"392"},"uris":["http://www.mendeley.com/documents/?uuid=53728f71-666c-3cbe-a82b-04cc461ceaea"]}],"mendeley":{"formattedCitation":"&lt;sup&gt;178&lt;/sup&gt;","plainTextFormattedCitation":"178","previouslyFormattedCitation":"&lt;sup&gt;178&lt;/sup&gt;"},"properties":{"noteIndex":0},"schema":"https://github.com/citation-style-language/schema/raw/master/csl-citation.json"}</w:instrText>
      </w:r>
      <w:r w:rsidR="008B085C" w:rsidRPr="0082680A">
        <w:rPr>
          <w:lang w:val="en-GB"/>
        </w:rPr>
        <w:fldChar w:fldCharType="separate"/>
      </w:r>
      <w:r w:rsidR="00426B19" w:rsidRPr="00426B19">
        <w:rPr>
          <w:noProof/>
          <w:vertAlign w:val="superscript"/>
          <w:lang w:val="en-GB"/>
        </w:rPr>
        <w:t>178</w:t>
      </w:r>
      <w:r w:rsidR="008B085C" w:rsidRPr="0082680A">
        <w:rPr>
          <w:lang w:val="en-GB"/>
        </w:rPr>
        <w:fldChar w:fldCharType="end"/>
      </w:r>
      <w:r w:rsidR="00CE34FA" w:rsidRPr="0082680A">
        <w:rPr>
          <w:lang w:val="en-GB"/>
        </w:rPr>
        <w:t>.</w:t>
      </w:r>
    </w:p>
    <w:p w14:paraId="3212614E" w14:textId="77777777" w:rsidR="006A02C8" w:rsidRPr="0082680A" w:rsidRDefault="006A02C8" w:rsidP="00EB41E2">
      <w:pPr>
        <w:rPr>
          <w:lang w:val="en-GB"/>
        </w:rPr>
      </w:pPr>
    </w:p>
    <w:p w14:paraId="7DCC74EE" w14:textId="01D4A697" w:rsidR="00EB41E2" w:rsidRPr="0082680A" w:rsidRDefault="006D435B" w:rsidP="00EB41E2">
      <w:pPr>
        <w:rPr>
          <w:lang w:val="en-GB"/>
        </w:rPr>
      </w:pPr>
      <w:r w:rsidRPr="0082680A">
        <w:rPr>
          <w:lang w:val="en-GB"/>
        </w:rPr>
        <w:t>Lobby index scores in the network ranged from 1 to 12. The</w:t>
      </w:r>
      <w:r w:rsidR="00EB41E2" w:rsidRPr="0082680A">
        <w:rPr>
          <w:lang w:val="en-GB"/>
        </w:rPr>
        <w:t xml:space="preserve"> most connected gene was </w:t>
      </w:r>
      <w:r w:rsidR="00EB41E2" w:rsidRPr="0082680A">
        <w:rPr>
          <w:i/>
          <w:lang w:val="en-GB"/>
        </w:rPr>
        <w:t>PCMT1</w:t>
      </w:r>
      <w:r w:rsidR="00EB41E2" w:rsidRPr="0082680A">
        <w:rPr>
          <w:lang w:val="en-GB"/>
        </w:rPr>
        <w:t xml:space="preserve"> with a lobby index of 12. </w:t>
      </w:r>
      <w:r w:rsidR="00EB41E2" w:rsidRPr="0082680A">
        <w:rPr>
          <w:i/>
          <w:lang w:val="en-GB"/>
        </w:rPr>
        <w:t>PCMT1</w:t>
      </w:r>
      <w:r w:rsidR="00EB41E2" w:rsidRPr="0082680A">
        <w:rPr>
          <w:lang w:val="en-GB"/>
        </w:rPr>
        <w:t xml:space="preserve"> is an enzyme which repairs damaged L-isoaspartyl residues in proteins, and has been found to be neuroprotective </w:t>
      </w:r>
      <w:r w:rsidR="00F36628" w:rsidRPr="0082680A">
        <w:rPr>
          <w:lang w:val="en-GB"/>
        </w:rPr>
        <w:fldChar w:fldCharType="begin" w:fldLock="1"/>
      </w:r>
      <w:r w:rsidR="000507BA">
        <w:rPr>
          <w:lang w:val="en-GB"/>
        </w:rPr>
        <w:instrText>ADDIN CSL_CITATION {"citationItems":[{"id":"ITEM-1","itemData":{"DOI":"10.1038/s41598-017-08196-3","ISSN":"2045-2322","abstract":"Neuronal apoptosis chiefly contributes to the cell loss following traumatic brain injury (TBI). CGP3466B is a compound related to the anti-Parkinsonism drug R-(−)-deprenyl. Previous studies have illuminated anti-apoptosis effects of CGP3466B in different cell lines, but the underlying mechanisms have not been fully elucidated. Mammalian sterile 20 (STE20)-like kinase1 (Mst1) is a core component of the Hippo signaling pathway. Protein-L-isoaspartate (D-aspartate) O-methyltransferase (PCMT1) is an enzyme that repairs damaged L-isoaspartyl residues in proteins. The present study was performed to investigate the neuroprotective effects of CGP3466B and to determine a potential PCMT1/Mst1 neuronal anti-apoptotic pathway after TBI. Double immunofluorescence staining demonstrated that PCMT1 and Mst1 are co-located in neurons. Administration of CGP3466B improved neurological function, downregulated the ROS level and alleviated brain edema at 24 h after TBI. CGP3466B alleviates neuronal apoptosis by increasing PCMT1 expression and subsequently inhibiting MST1 activation, resulting in changing the expression levels of Bax, Bcl-2 and active-caspase3. The TUNEL staining results also support the anti-apoptosis effects of CGP3466B. The anti-apoptotic effects of CGP3466B were abolished by chelerythrine, an Mst1 activator, without changing PCMT1 levels. In conclusion, our findings suggest CGP3466B may have a promising therapeutic potential by modulating PCMT1/Mst1 signaling pathway after TBI injury.","author":[{"dropping-particle":"","family":"Liang","given":"Feng","non-dropping-particle":"","parse-names":false,"suffix":""},{"dropping-particle":"","family":"Shi","given":"Ligen","non-dropping-particle":"","parse-names":false,"suffix":""},{"dropping-particle":"","family":"Zheng","given":"Jingwei","non-dropping-particle":"","parse-names":false,"suffix":""},{"dropping-particle":"","family":"Chen","given":"Sheng","non-dropping-particle":"","parse-names":false,"suffix":""},{"dropping-particle":"","family":"Wang","given":"Yangxin","non-dropping-particle":"","parse-names":false,"suffix":""},{"dropping-particle":"","family":"Zhang","given":"Jianmin","non-dropping-particle":"","parse-names":false,"suffix":""}],"container-title":"Scientific Reports","id":"ITEM-1","issue":"1","issued":{"date-parts":[["2017","12","23"]]},"page":"9201","publisher":"Nature Publishing Group","title":"Neuroprotective Effects of CGP3466B on Apoptosis Are Modulated by Protein-L-isoaspartate (D-aspartate) O-methyltransferase/Mst1 Pathways after Traumatic Brain Injury in Rats","type":"article-journal","volume":"7"},"uris":["http://www.mendeley.com/documents/?uuid=295cd784-4b8f-31a0-a92b-edcac7e24c2d"]}],"mendeley":{"formattedCitation":"&lt;sup&gt;179&lt;/sup&gt;","plainTextFormattedCitation":"179","previouslyFormattedCitation":"&lt;sup&gt;179&lt;/sup&gt;"},"properties":{"noteIndex":0},"schema":"https://github.com/citation-style-language/schema/raw/master/csl-citation.json"}</w:instrText>
      </w:r>
      <w:r w:rsidR="00F36628" w:rsidRPr="0082680A">
        <w:rPr>
          <w:lang w:val="en-GB"/>
        </w:rPr>
        <w:fldChar w:fldCharType="separate"/>
      </w:r>
      <w:r w:rsidR="00426B19" w:rsidRPr="00426B19">
        <w:rPr>
          <w:noProof/>
          <w:vertAlign w:val="superscript"/>
          <w:lang w:val="en-GB"/>
        </w:rPr>
        <w:t>179</w:t>
      </w:r>
      <w:r w:rsidR="00F36628" w:rsidRPr="0082680A">
        <w:rPr>
          <w:lang w:val="en-GB"/>
        </w:rPr>
        <w:fldChar w:fldCharType="end"/>
      </w:r>
      <w:r w:rsidR="00EB41E2" w:rsidRPr="0082680A">
        <w:rPr>
          <w:lang w:val="en-GB"/>
        </w:rPr>
        <w:t xml:space="preserve">. </w:t>
      </w:r>
      <w:r w:rsidR="00150CA0" w:rsidRPr="0082680A">
        <w:rPr>
          <w:lang w:val="en-GB"/>
        </w:rPr>
        <w:t>Additionally,</w:t>
      </w:r>
      <w:r w:rsidR="00EB41E2" w:rsidRPr="0082680A">
        <w:rPr>
          <w:lang w:val="en-GB"/>
        </w:rPr>
        <w:t xml:space="preserve"> </w:t>
      </w:r>
      <w:r w:rsidRPr="0082680A">
        <w:rPr>
          <w:lang w:val="en-GB"/>
        </w:rPr>
        <w:t xml:space="preserve">established </w:t>
      </w:r>
      <w:r w:rsidR="00EB41E2" w:rsidRPr="0082680A">
        <w:rPr>
          <w:lang w:val="en-GB"/>
        </w:rPr>
        <w:t xml:space="preserve">PD gene </w:t>
      </w:r>
      <w:r w:rsidR="00EB41E2" w:rsidRPr="0082680A">
        <w:rPr>
          <w:i/>
          <w:lang w:val="en-GB"/>
        </w:rPr>
        <w:t>VPS35</w:t>
      </w:r>
      <w:r w:rsidR="00EB41E2" w:rsidRPr="0082680A">
        <w:rPr>
          <w:lang w:val="en-GB"/>
        </w:rPr>
        <w:t xml:space="preserve"> </w:t>
      </w:r>
      <w:r w:rsidR="00BA6E0E" w:rsidRPr="0082680A">
        <w:rPr>
          <w:lang w:val="en-GB"/>
        </w:rPr>
        <w:t>scored highly</w:t>
      </w:r>
      <w:r w:rsidR="005232BC" w:rsidRPr="0082680A">
        <w:rPr>
          <w:lang w:val="en-GB"/>
        </w:rPr>
        <w:t>, with an index of 11 (</w:t>
      </w:r>
      <w:r w:rsidR="00155E8B" w:rsidRPr="0082680A">
        <w:rPr>
          <w:color w:val="000000" w:themeColor="text1"/>
          <w:lang w:val="en-GB"/>
        </w:rPr>
        <w:t xml:space="preserve">Appendix Table </w:t>
      </w:r>
      <w:r w:rsidR="000E46C0">
        <w:rPr>
          <w:color w:val="000000" w:themeColor="text1"/>
          <w:lang w:val="en-GB"/>
        </w:rPr>
        <w:t>2</w:t>
      </w:r>
      <w:r w:rsidR="005232BC" w:rsidRPr="0082680A">
        <w:rPr>
          <w:lang w:val="en-GB"/>
        </w:rPr>
        <w:t>)</w:t>
      </w:r>
      <w:r w:rsidR="00EB41E2" w:rsidRPr="0082680A">
        <w:rPr>
          <w:lang w:val="en-GB"/>
        </w:rPr>
        <w:t>.</w:t>
      </w:r>
    </w:p>
    <w:p w14:paraId="27AEB94F" w14:textId="42649D4D" w:rsidR="00EB41E2" w:rsidRPr="0082680A" w:rsidRDefault="00EB41E2" w:rsidP="00842FD0">
      <w:pPr>
        <w:pStyle w:val="Heading4"/>
        <w:rPr>
          <w:lang w:val="en-GB"/>
        </w:rPr>
      </w:pPr>
      <w:bookmarkStart w:id="166" w:name="_n15sp7jqfw2k" w:colFirst="0" w:colLast="0"/>
      <w:bookmarkStart w:id="167" w:name="_Toc3211365"/>
      <w:bookmarkEnd w:id="166"/>
      <w:r w:rsidRPr="0082680A">
        <w:rPr>
          <w:lang w:val="en-GB"/>
        </w:rPr>
        <w:t xml:space="preserve">Regulatory </w:t>
      </w:r>
      <w:r w:rsidR="006D2854" w:rsidRPr="0082680A">
        <w:rPr>
          <w:lang w:val="en-GB"/>
        </w:rPr>
        <w:t>Score</w:t>
      </w:r>
      <w:bookmarkEnd w:id="167"/>
    </w:p>
    <w:p w14:paraId="7507E66F" w14:textId="18B39EA9" w:rsidR="00EB41E2" w:rsidRPr="0082680A" w:rsidRDefault="00EB41E2" w:rsidP="00EB41E2">
      <w:pPr>
        <w:rPr>
          <w:lang w:val="en-GB"/>
        </w:rPr>
      </w:pPr>
      <w:r w:rsidRPr="0082680A">
        <w:rPr>
          <w:lang w:val="en-GB"/>
        </w:rPr>
        <w:t>The ability for a target to be well connected is only relevant to target prioritisation if the target is a</w:t>
      </w:r>
      <w:r w:rsidR="006B1AAE" w:rsidRPr="0082680A">
        <w:rPr>
          <w:lang w:val="en-GB"/>
        </w:rPr>
        <w:t>lso a</w:t>
      </w:r>
      <w:r w:rsidRPr="0082680A">
        <w:rPr>
          <w:lang w:val="en-GB"/>
        </w:rPr>
        <w:t xml:space="preserve"> regulator of those neighbours. Regulation was measured using two tools, GeneXplain and Ingenuity Pathway Analysis (IPA). </w:t>
      </w:r>
    </w:p>
    <w:p w14:paraId="6F27D408" w14:textId="77777777" w:rsidR="006D2854" w:rsidRPr="0082680A" w:rsidRDefault="006D2854" w:rsidP="00EB41E2">
      <w:pPr>
        <w:rPr>
          <w:lang w:val="en-GB"/>
        </w:rPr>
      </w:pPr>
    </w:p>
    <w:p w14:paraId="4B202F41" w14:textId="7C13FDC2" w:rsidR="00EB41E2" w:rsidRPr="0082680A" w:rsidRDefault="00EB41E2" w:rsidP="00EB41E2">
      <w:pPr>
        <w:rPr>
          <w:lang w:val="en-GB"/>
        </w:rPr>
      </w:pPr>
      <w:r w:rsidRPr="0082680A">
        <w:rPr>
          <w:lang w:val="en-GB"/>
        </w:rPr>
        <w:t xml:space="preserve">GeneXplain is an online tool which identifies ‘master regulators’ of a particular gene list </w:t>
      </w:r>
      <w:r w:rsidR="00F36628" w:rsidRPr="0082680A">
        <w:rPr>
          <w:lang w:val="en-GB"/>
        </w:rPr>
        <w:fldChar w:fldCharType="begin" w:fldLock="1"/>
      </w:r>
      <w:r w:rsidR="000507BA">
        <w:rPr>
          <w:lang w:val="en-GB"/>
        </w:rPr>
        <w:instrText>ADDIN CSL_CITATION {"citationItems":[{"id":"ITEM-1","itemData":{"author":[{"dropping-particle":"","family":"Kolpakov","given":"F.","non-dropping-particle":"","parse-names":false,"suffix":""},{"dropping-particle":"","family":"Poroikov","given":"V.","non-dropping-particle":"","parse-names":false,"suffix":""},{"dropping-particle":"","family":"Selivanova","given":"G.","non-dropping-particle":"","parse-names":false,"suffix":""},{"dropping-particle":"","family":"Kel","given":"A.","non-dropping-particle":"","parse-names":false,"suffix":""}],"container-title":"Journal of Biomolecular Techniques : JBT","id":"ITEM-1","issue":"Suppl","issued":{"date-parts":[["2011"]]},"page":"S16","publisher":"The Association of Biomolecular Resource Facilities","title":"GeneXplain — Identification of Causal Biomarkers and Drug Targets in Personalized Cancer Pathways","type":"article-journal","volume":"22"},"uris":["http://www.mendeley.com/documents/?uuid=51dccf9c-de7a-32c4-a8d5-c416de000a63"]}],"mendeley":{"formattedCitation":"&lt;sup&gt;180&lt;/sup&gt;","plainTextFormattedCitation":"180","previouslyFormattedCitation":"&lt;sup&gt;180&lt;/sup&gt;"},"properties":{"noteIndex":0},"schema":"https://github.com/citation-style-language/schema/raw/master/csl-citation.json"}</w:instrText>
      </w:r>
      <w:r w:rsidR="00F36628" w:rsidRPr="0082680A">
        <w:rPr>
          <w:lang w:val="en-GB"/>
        </w:rPr>
        <w:fldChar w:fldCharType="separate"/>
      </w:r>
      <w:r w:rsidR="00426B19" w:rsidRPr="00426B19">
        <w:rPr>
          <w:noProof/>
          <w:vertAlign w:val="superscript"/>
          <w:lang w:val="en-GB"/>
        </w:rPr>
        <w:t>180</w:t>
      </w:r>
      <w:r w:rsidR="00F36628" w:rsidRPr="0082680A">
        <w:rPr>
          <w:lang w:val="en-GB"/>
        </w:rPr>
        <w:fldChar w:fldCharType="end"/>
      </w:r>
      <w:r w:rsidRPr="0082680A">
        <w:rPr>
          <w:lang w:val="en-GB"/>
        </w:rPr>
        <w:t xml:space="preserve">. A master regulator is identified through an analysis pipeline in which transcription factors whose targets enrich in your gene list are collected, and the pathways in which they function are analysed. Transcription factors which sit in the juncture of these </w:t>
      </w:r>
      <w:r w:rsidRPr="0082680A">
        <w:rPr>
          <w:lang w:val="en-GB"/>
        </w:rPr>
        <w:lastRenderedPageBreak/>
        <w:t xml:space="preserve">pathways are considered ‘master </w:t>
      </w:r>
      <w:proofErr w:type="gramStart"/>
      <w:r w:rsidRPr="0082680A">
        <w:rPr>
          <w:lang w:val="en-GB"/>
        </w:rPr>
        <w:t>regulators’</w:t>
      </w:r>
      <w:proofErr w:type="gramEnd"/>
      <w:r w:rsidRPr="0082680A">
        <w:rPr>
          <w:lang w:val="en-GB"/>
        </w:rPr>
        <w:t xml:space="preserve">. Master regulators can be both members of the input list, as well as other molecules. The common coexpression module members were submitted to GeneXplain’s Upstream Analysis, and master regulators were identified using GeneWays, a database of molecular pathway data </w:t>
      </w:r>
      <w:r w:rsidR="006E41AA" w:rsidRPr="0082680A">
        <w:rPr>
          <w:lang w:val="en-GB"/>
        </w:rPr>
        <w:fldChar w:fldCharType="begin" w:fldLock="1"/>
      </w:r>
      <w:r w:rsidR="000507BA">
        <w:rPr>
          <w:lang w:val="en-GB"/>
        </w:rPr>
        <w:instrText>ADDIN CSL_CITATION {"citationItems":[{"id":"ITEM-1","itemData":{"DOI":"10.1016/j.jbi.2003.10.001","ISSN":"15320464","PMID":"15016385","abstract":"The immense growth in the volume of research literature and experimental data in the field of molecular biology calls for efficient automatic methods to capture and store information. In recent years, several groups have worked on specific problems in this area, such as automated selection of articles pertinent to molecular biology, or automated extraction of information using natural-language processing, information visualization, and generation of specialized knowledge bases for molecular biology. GeneWays is an integrated system that combines several such subtasks. It analyzes interactions between molecular substances, drawing on multiple sources of information to infer a consensus view of molecular networks. GeneWays is designed as an open platform, allowing researchers to query, review, and critique stored information.","author":[{"dropping-particle":"","family":"Rzhetsky","given":"Andrey","non-dropping-particle":"","parse-names":false,"suffix":""},{"dropping-particle":"","family":"Iossifov","given":"Ivan","non-dropping-particle":"","parse-names":false,"suffix":""},{"dropping-particle":"","family":"Koike","given":"Tomohiro","non-dropping-particle":"","parse-names":false,"suffix":""},{"dropping-particle":"","family":"Krauthammer","given":"Michael","non-dropping-particle":"","parse-names":false,"suffix":""},{"dropping-particle":"","family":"Kra","given":"Pauline","non-dropping-particle":"","parse-names":false,"suffix":""},{"dropping-particle":"","family":"Morris","given":"Mitzi","non-dropping-particle":"","parse-names":false,"suffix":""},{"dropping-particle":"","family":"Yu","given":"Hong","non-dropping-particle":"","parse-names":false,"suffix":""},{"dropping-particle":"","family":"Duboué","given":"Pablo Ariel","non-dropping-particle":"","parse-names":false,"suffix":""},{"dropping-particle":"","family":"Weng","given":"Wubin","non-dropping-particle":"","parse-names":false,"suffix":""},{"dropping-particle":"","family":"Wilbur","given":"W.John","non-dropping-particle":"","parse-names":false,"suffix":""},{"dropping-particle":"","family":"Hatzivassiloglou","given":"Vasileios","non-dropping-particle":"","parse-names":false,"suffix":""},{"dropping-particle":"","family":"Friedman","given":"Carol","non-dropping-particle":"","parse-names":false,"suffix":""}],"container-title":"Journal of Biomedical Informatics","id":"ITEM-1","issue":"1","issued":{"date-parts":[["2004","2"]]},"page":"43-53","title":"GeneWays: a system for extracting, analyzing, visualizing, and integrating molecular pathway data","type":"article-journal","volume":"37"},"uris":["http://www.mendeley.com/documents/?uuid=8b8dd0be-5107-3fc2-a0ef-656cbee61af8"]}],"mendeley":{"formattedCitation":"&lt;sup&gt;181&lt;/sup&gt;","plainTextFormattedCitation":"181","previouslyFormattedCitation":"&lt;sup&gt;181&lt;/sup&gt;"},"properties":{"noteIndex":0},"schema":"https://github.com/citation-style-language/schema/raw/master/csl-citation.json"}</w:instrText>
      </w:r>
      <w:r w:rsidR="006E41AA" w:rsidRPr="0082680A">
        <w:rPr>
          <w:lang w:val="en-GB"/>
        </w:rPr>
        <w:fldChar w:fldCharType="separate"/>
      </w:r>
      <w:r w:rsidR="00426B19" w:rsidRPr="00426B19">
        <w:rPr>
          <w:noProof/>
          <w:vertAlign w:val="superscript"/>
          <w:lang w:val="en-GB"/>
        </w:rPr>
        <w:t>181</w:t>
      </w:r>
      <w:r w:rsidR="006E41AA" w:rsidRPr="0082680A">
        <w:rPr>
          <w:lang w:val="en-GB"/>
        </w:rPr>
        <w:fldChar w:fldCharType="end"/>
      </w:r>
      <w:r w:rsidRPr="0082680A">
        <w:rPr>
          <w:lang w:val="en-GB"/>
        </w:rPr>
        <w:t>. Twenty-eight module members were significant master regulators for the network (FDR &lt; 0.05), and four module members were ranked in the top 10 (</w:t>
      </w:r>
      <w:r w:rsidRPr="0082680A">
        <w:rPr>
          <w:i/>
          <w:lang w:val="en-GB"/>
        </w:rPr>
        <w:t>MTA2</w:t>
      </w:r>
      <w:r w:rsidRPr="0082680A">
        <w:rPr>
          <w:lang w:val="en-GB"/>
        </w:rPr>
        <w:t xml:space="preserve">, </w:t>
      </w:r>
      <w:r w:rsidRPr="0082680A">
        <w:rPr>
          <w:i/>
          <w:lang w:val="en-GB"/>
        </w:rPr>
        <w:t>SERPINI1</w:t>
      </w:r>
      <w:r w:rsidRPr="0082680A">
        <w:rPr>
          <w:lang w:val="en-GB"/>
        </w:rPr>
        <w:t xml:space="preserve">, </w:t>
      </w:r>
      <w:r w:rsidRPr="0082680A">
        <w:rPr>
          <w:i/>
          <w:lang w:val="en-GB"/>
        </w:rPr>
        <w:t>AMPH</w:t>
      </w:r>
      <w:r w:rsidRPr="0082680A">
        <w:rPr>
          <w:lang w:val="en-GB"/>
        </w:rPr>
        <w:t xml:space="preserve">, </w:t>
      </w:r>
      <w:r w:rsidRPr="0082680A">
        <w:rPr>
          <w:i/>
          <w:lang w:val="en-GB"/>
        </w:rPr>
        <w:t>YBX1</w:t>
      </w:r>
      <w:r w:rsidRPr="0082680A">
        <w:rPr>
          <w:lang w:val="en-GB"/>
        </w:rPr>
        <w:t>). Non-significant network members were given a score of zero, and the entire list of master regulators - including non-network members - were sco</w:t>
      </w:r>
      <w:r w:rsidR="005232BC" w:rsidRPr="0082680A">
        <w:rPr>
          <w:lang w:val="en-GB"/>
        </w:rPr>
        <w:t>red in quintiles from 1-5 (</w:t>
      </w:r>
      <w:r w:rsidR="00155E8B" w:rsidRPr="0082680A">
        <w:rPr>
          <w:color w:val="000000" w:themeColor="text1"/>
          <w:lang w:val="en-GB"/>
        </w:rPr>
        <w:t xml:space="preserve">Appendix Table </w:t>
      </w:r>
      <w:r w:rsidR="000E46C0">
        <w:rPr>
          <w:color w:val="000000" w:themeColor="text1"/>
          <w:lang w:val="en-GB"/>
        </w:rPr>
        <w:t>3</w:t>
      </w:r>
      <w:r w:rsidR="005232BC" w:rsidRPr="0082680A">
        <w:rPr>
          <w:lang w:val="en-GB"/>
        </w:rPr>
        <w:t>)</w:t>
      </w:r>
      <w:r w:rsidRPr="0082680A">
        <w:rPr>
          <w:lang w:val="en-GB"/>
        </w:rPr>
        <w:t xml:space="preserve">.   </w:t>
      </w:r>
    </w:p>
    <w:p w14:paraId="50926197" w14:textId="77777777" w:rsidR="006D2854" w:rsidRPr="0082680A" w:rsidRDefault="006D2854" w:rsidP="00EB41E2">
      <w:pPr>
        <w:rPr>
          <w:lang w:val="en-GB"/>
        </w:rPr>
      </w:pPr>
    </w:p>
    <w:p w14:paraId="2CC19F11" w14:textId="1B6AFB4B" w:rsidR="00EB41E2" w:rsidRPr="0082680A" w:rsidRDefault="00EB41E2" w:rsidP="00EB41E2">
      <w:pPr>
        <w:rPr>
          <w:lang w:val="en-GB"/>
        </w:rPr>
      </w:pPr>
      <w:r w:rsidRPr="0082680A">
        <w:rPr>
          <w:lang w:val="en-GB"/>
        </w:rPr>
        <w:t>IPA is a database of experimentally derived relationships between molecules. There are a number of possible edges, representing different types of regulation, including activation, inhibition, modification, localisation, ubiquitination and regulation of binding. IPA does have its own upstream regulatory analysis function, however this produced poor results, and so was not used. The IPA application was used to generate networks from the network member list. IPA network edge information was extracted and subsetted to identify the relationships between only module members. Undirected edges such as interactions and membership were excluded. These interactions were labelled as “influencers” so as not to be confused with IPA’s regulatory analysis. The number of regulatory effects a module member had on another module member was counted, and the quintiles of the range were scored 1-5. Members with no regulatory effects were scored zero (</w:t>
      </w:r>
      <w:r w:rsidR="00155E8B" w:rsidRPr="0082680A">
        <w:rPr>
          <w:color w:val="000000" w:themeColor="text1"/>
          <w:lang w:val="en-GB"/>
        </w:rPr>
        <w:t xml:space="preserve">Appendix Tables </w:t>
      </w:r>
      <w:r w:rsidR="000E46C0">
        <w:rPr>
          <w:color w:val="000000" w:themeColor="text1"/>
          <w:lang w:val="en-GB"/>
        </w:rPr>
        <w:t>4</w:t>
      </w:r>
      <w:r w:rsidR="00155E8B" w:rsidRPr="0082680A">
        <w:rPr>
          <w:color w:val="000000" w:themeColor="text1"/>
          <w:lang w:val="en-GB"/>
        </w:rPr>
        <w:t xml:space="preserve"> &amp; </w:t>
      </w:r>
      <w:r w:rsidR="000E46C0">
        <w:rPr>
          <w:color w:val="000000" w:themeColor="text1"/>
          <w:lang w:val="en-GB"/>
        </w:rPr>
        <w:t>5</w:t>
      </w:r>
      <w:r w:rsidR="00155E8B" w:rsidRPr="0082680A">
        <w:rPr>
          <w:color w:val="000000" w:themeColor="text1"/>
          <w:lang w:val="en-GB"/>
        </w:rPr>
        <w:t>)</w:t>
      </w:r>
      <w:r w:rsidR="007F0E04" w:rsidRPr="0082680A">
        <w:rPr>
          <w:lang w:val="en-GB"/>
        </w:rPr>
        <w:t>.</w:t>
      </w:r>
    </w:p>
    <w:p w14:paraId="1B000979" w14:textId="0A29722C" w:rsidR="00EB41E2" w:rsidRPr="0082680A" w:rsidRDefault="00EB41E2" w:rsidP="00842FD0">
      <w:pPr>
        <w:pStyle w:val="Heading4"/>
        <w:rPr>
          <w:lang w:val="en-GB"/>
        </w:rPr>
      </w:pPr>
      <w:bookmarkStart w:id="168" w:name="_ug1jpxij2pcc" w:colFirst="0" w:colLast="0"/>
      <w:bookmarkStart w:id="169" w:name="_Toc3211366"/>
      <w:bookmarkEnd w:id="168"/>
      <w:r w:rsidRPr="0082680A">
        <w:rPr>
          <w:lang w:val="en-GB"/>
        </w:rPr>
        <w:t xml:space="preserve">Consensus </w:t>
      </w:r>
      <w:r w:rsidR="006D2854" w:rsidRPr="0082680A">
        <w:rPr>
          <w:lang w:val="en-GB"/>
        </w:rPr>
        <w:t>Score</w:t>
      </w:r>
      <w:bookmarkEnd w:id="169"/>
    </w:p>
    <w:p w14:paraId="6B782692" w14:textId="6072B026" w:rsidR="00EB41E2" w:rsidRPr="0082680A" w:rsidRDefault="008726F8" w:rsidP="00EB41E2">
      <w:pPr>
        <w:rPr>
          <w:lang w:val="en-GB"/>
        </w:rPr>
      </w:pPr>
      <w:r w:rsidRPr="0082680A">
        <w:rPr>
          <w:lang w:val="en-GB"/>
        </w:rPr>
        <w:t xml:space="preserve">As some prioritisation tools already exist, we decided to include this pre-established consensus within our score. </w:t>
      </w:r>
      <w:r w:rsidR="00EB41E2" w:rsidRPr="0082680A">
        <w:rPr>
          <w:lang w:val="en-GB"/>
        </w:rPr>
        <w:t>Consensus was generated using the web tool Endeavour (</w:t>
      </w:r>
      <w:hyperlink r:id="rId86" w:history="1">
        <w:r w:rsidR="00B958C5" w:rsidRPr="0082680A">
          <w:rPr>
            <w:rStyle w:val="Hyperlink"/>
            <w:lang w:val="en-GB"/>
          </w:rPr>
          <w:t>https://endeavour.esat.kuleuven.be/</w:t>
        </w:r>
      </w:hyperlink>
      <w:r w:rsidR="00EB41E2" w:rsidRPr="0082680A">
        <w:rPr>
          <w:lang w:val="en-GB"/>
        </w:rPr>
        <w:t>).</w:t>
      </w:r>
      <w:r w:rsidR="00B958C5" w:rsidRPr="0082680A">
        <w:rPr>
          <w:lang w:val="en-GB"/>
        </w:rPr>
        <w:t xml:space="preserve"> </w:t>
      </w:r>
      <w:r w:rsidR="00EB41E2" w:rsidRPr="0082680A">
        <w:rPr>
          <w:lang w:val="en-GB"/>
        </w:rPr>
        <w:t xml:space="preserve">As mentioned, Endeavour exploits a wide variety of data sources to predict the relationship between new targets (candidate set) and a phenotype based on a model generated by targets known to associate with that phenotype (training set). This is a useful benchmark to compare the success of the methods we are using in our target prioritisation process, and in itself a useful source of information. P-values generated by Endeavour are not generally informative, as they are quite stringent - even genes already established as causative of a phenotype do not achieve significance. Taking this into account, members were scored on their rank position within the list, taking into account both candidate and test genes. Results were divided into </w:t>
      </w:r>
      <w:r w:rsidR="00101398" w:rsidRPr="0082680A">
        <w:rPr>
          <w:lang w:val="en-GB"/>
        </w:rPr>
        <w:t>6 and</w:t>
      </w:r>
      <w:r w:rsidR="00EB41E2" w:rsidRPr="0082680A">
        <w:rPr>
          <w:lang w:val="en-GB"/>
        </w:rPr>
        <w:t xml:space="preserve"> scored 0-6 based on rank. </w:t>
      </w:r>
    </w:p>
    <w:p w14:paraId="6230BA8A" w14:textId="77777777" w:rsidR="006D2854" w:rsidRPr="0082680A" w:rsidRDefault="006D2854" w:rsidP="00EB41E2">
      <w:pPr>
        <w:rPr>
          <w:lang w:val="en-GB"/>
        </w:rPr>
      </w:pPr>
    </w:p>
    <w:p w14:paraId="7B6C910B" w14:textId="47C02E44" w:rsidR="00EB41E2" w:rsidRPr="0082680A" w:rsidRDefault="00EB41E2" w:rsidP="00EB41E2">
      <w:pPr>
        <w:rPr>
          <w:lang w:val="en-GB"/>
        </w:rPr>
      </w:pPr>
      <w:r w:rsidRPr="0082680A">
        <w:rPr>
          <w:lang w:val="en-GB"/>
        </w:rPr>
        <w:lastRenderedPageBreak/>
        <w:t xml:space="preserve">The gene list used as the training set were the disease-associated genes that have, up to this point, been used for TDP-43-related assessments. The network module members were submitted as the candidate list. All possible sources of information were used to rank the total gene list. The results can be found in </w:t>
      </w:r>
      <w:r w:rsidR="00155E8B" w:rsidRPr="0082680A">
        <w:rPr>
          <w:color w:val="000000" w:themeColor="text1"/>
          <w:lang w:val="en-GB"/>
        </w:rPr>
        <w:t xml:space="preserve">Appendix Table </w:t>
      </w:r>
      <w:r w:rsidR="000E46C0">
        <w:rPr>
          <w:color w:val="000000" w:themeColor="text1"/>
          <w:lang w:val="en-GB"/>
        </w:rPr>
        <w:t>6</w:t>
      </w:r>
      <w:r w:rsidRPr="0082680A">
        <w:rPr>
          <w:lang w:val="en-GB"/>
        </w:rPr>
        <w:t xml:space="preserve">. The highest ranked network member gene was AD gene </w:t>
      </w:r>
      <w:r w:rsidRPr="0082680A">
        <w:rPr>
          <w:i/>
          <w:lang w:val="en-GB"/>
        </w:rPr>
        <w:t>APP</w:t>
      </w:r>
      <w:r w:rsidRPr="0082680A">
        <w:rPr>
          <w:lang w:val="en-GB"/>
        </w:rPr>
        <w:t xml:space="preserve">. </w:t>
      </w:r>
    </w:p>
    <w:p w14:paraId="0F054351" w14:textId="4E24EDCC" w:rsidR="00EB41E2" w:rsidRPr="0082680A" w:rsidRDefault="00EB41E2" w:rsidP="00842FD0">
      <w:pPr>
        <w:pStyle w:val="Heading4"/>
        <w:rPr>
          <w:lang w:val="en-GB"/>
        </w:rPr>
      </w:pPr>
      <w:bookmarkStart w:id="170" w:name="_v3doe6gotkof" w:colFirst="0" w:colLast="0"/>
      <w:bookmarkStart w:id="171" w:name="_Toc3211367"/>
      <w:bookmarkEnd w:id="170"/>
      <w:r w:rsidRPr="0082680A">
        <w:rPr>
          <w:lang w:val="en-GB"/>
        </w:rPr>
        <w:t xml:space="preserve">Phenotype-Specific </w:t>
      </w:r>
      <w:r w:rsidR="006D2854" w:rsidRPr="0082680A">
        <w:rPr>
          <w:lang w:val="en-GB"/>
        </w:rPr>
        <w:t>Score</w:t>
      </w:r>
      <w:bookmarkEnd w:id="171"/>
    </w:p>
    <w:p w14:paraId="57F438B1" w14:textId="77777777" w:rsidR="00EB41E2" w:rsidRPr="0082680A" w:rsidRDefault="00EB41E2" w:rsidP="00EB41E2">
      <w:pPr>
        <w:rPr>
          <w:lang w:val="en-GB"/>
        </w:rPr>
      </w:pPr>
      <w:r w:rsidRPr="0082680A">
        <w:rPr>
          <w:lang w:val="en-GB"/>
        </w:rPr>
        <w:t xml:space="preserve">Finally, phenotype-specific information was included. This information represents genes with established connection to the phenotype, and often need to be manually curated. Example of phenotype-specific information is whether a gene is one of the original common DEGs, or whether it forms a protein-protein interaction relationship with a phenotype-associated protein. If a gene qualifies on these categories, it was given a score of 5. </w:t>
      </w:r>
    </w:p>
    <w:p w14:paraId="3B8A714F" w14:textId="1638BA76" w:rsidR="004528BC" w:rsidRPr="0061081A" w:rsidRDefault="00CA066B" w:rsidP="004528BC">
      <w:pPr>
        <w:pStyle w:val="Heading4"/>
        <w:rPr>
          <w:lang w:val="en-GB"/>
        </w:rPr>
      </w:pPr>
      <w:bookmarkStart w:id="172" w:name="_noy9lsnmti3h" w:colFirst="0" w:colLast="0"/>
      <w:bookmarkStart w:id="173" w:name="_Toc3211368"/>
      <w:bookmarkEnd w:id="172"/>
      <w:r w:rsidRPr="0082680A">
        <w:rPr>
          <w:lang w:val="en-GB"/>
        </w:rPr>
        <w:t xml:space="preserve">Prioritisation </w:t>
      </w:r>
      <w:r w:rsidR="00EB41E2" w:rsidRPr="0082680A">
        <w:rPr>
          <w:lang w:val="en-GB"/>
        </w:rPr>
        <w:t>Results</w:t>
      </w:r>
      <w:bookmarkEnd w:id="173"/>
    </w:p>
    <w:p w14:paraId="3791744A" w14:textId="6BB26F87" w:rsidR="00855AF8" w:rsidRDefault="00EB41E2" w:rsidP="00EB41E2">
      <w:pPr>
        <w:rPr>
          <w:lang w:val="en-GB"/>
        </w:rPr>
      </w:pPr>
      <w:r w:rsidRPr="0082680A">
        <w:rPr>
          <w:lang w:val="en-GB"/>
        </w:rPr>
        <w:t xml:space="preserve">After compilation of these results, </w:t>
      </w:r>
      <w:r w:rsidR="004528BC">
        <w:rPr>
          <w:lang w:val="en-GB"/>
        </w:rPr>
        <w:t xml:space="preserve">all genes within the module were ranked from highest to lowest scoring. </w:t>
      </w:r>
      <w:r w:rsidR="00855AF8">
        <w:rPr>
          <w:lang w:val="en-GB"/>
        </w:rPr>
        <w:t xml:space="preserve">The top 10 candidates can be seen in Table </w:t>
      </w:r>
      <w:r w:rsidR="0061081A">
        <w:rPr>
          <w:lang w:val="en-GB"/>
        </w:rPr>
        <w:t>21</w:t>
      </w:r>
      <w:r w:rsidR="00855AF8">
        <w:rPr>
          <w:lang w:val="en-GB"/>
        </w:rPr>
        <w:t xml:space="preserve">. </w:t>
      </w:r>
    </w:p>
    <w:p w14:paraId="00222CF5" w14:textId="77777777" w:rsidR="00855AF8" w:rsidRDefault="00855AF8" w:rsidP="00EB41E2">
      <w:pPr>
        <w:rPr>
          <w:lang w:val="en-GB"/>
        </w:rPr>
      </w:pPr>
    </w:p>
    <w:p w14:paraId="5B1D9E63" w14:textId="77777777" w:rsidR="00855AF8" w:rsidRDefault="00855AF8" w:rsidP="00855AF8">
      <w:pPr>
        <w:keepNext/>
      </w:pPr>
      <w:r>
        <w:rPr>
          <w:noProof/>
          <w:lang w:val="en-GB"/>
        </w:rPr>
        <w:drawing>
          <wp:inline distT="0" distB="0" distL="0" distR="0" wp14:anchorId="028E4E9C" wp14:editId="19D9188E">
            <wp:extent cx="5037763" cy="3095468"/>
            <wp:effectExtent l="0" t="0" r="4445"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DPCCM_Top10.pdf"/>
                    <pic:cNvPicPr/>
                  </pic:nvPicPr>
                  <pic:blipFill rotWithShape="1">
                    <a:blip r:embed="rId87">
                      <a:extLst>
                        <a:ext uri="{28A0092B-C50C-407E-A947-70E740481C1C}">
                          <a14:useLocalDpi xmlns:a14="http://schemas.microsoft.com/office/drawing/2010/main" val="0"/>
                        </a:ext>
                      </a:extLst>
                    </a:blip>
                    <a:srcRect t="1095" b="8436"/>
                    <a:stretch/>
                  </pic:blipFill>
                  <pic:spPr bwMode="auto">
                    <a:xfrm>
                      <a:off x="0" y="0"/>
                      <a:ext cx="5039360" cy="3096449"/>
                    </a:xfrm>
                    <a:prstGeom prst="rect">
                      <a:avLst/>
                    </a:prstGeom>
                    <a:ln>
                      <a:noFill/>
                    </a:ln>
                    <a:extLst>
                      <a:ext uri="{53640926-AAD7-44D8-BBD7-CCE9431645EC}">
                        <a14:shadowObscured xmlns:a14="http://schemas.microsoft.com/office/drawing/2010/main"/>
                      </a:ext>
                    </a:extLst>
                  </pic:spPr>
                </pic:pic>
              </a:graphicData>
            </a:graphic>
          </wp:inline>
        </w:drawing>
      </w:r>
    </w:p>
    <w:p w14:paraId="0DEBAA8F" w14:textId="4BBDED2E" w:rsidR="00855AF8" w:rsidRPr="00855AF8" w:rsidRDefault="00855AF8" w:rsidP="00855AF8">
      <w:pPr>
        <w:pStyle w:val="Caption"/>
        <w:rPr>
          <w:b w:val="0"/>
          <w:lang w:val="en-GB"/>
        </w:rPr>
      </w:pPr>
      <w:bookmarkStart w:id="174" w:name="_Toc3225935"/>
      <w:r>
        <w:t xml:space="preserve">Table </w:t>
      </w:r>
      <w:fldSimple w:instr=" SEQ Table \* ARABIC ">
        <w:r w:rsidR="00066B5A">
          <w:rPr>
            <w:noProof/>
          </w:rPr>
          <w:t>21</w:t>
        </w:r>
      </w:fldSimple>
      <w:r>
        <w:t>: Top 10 prioritisation scoring results for the TDP-43 common coexpression module.</w:t>
      </w:r>
      <w:r>
        <w:rPr>
          <w:b w:val="0"/>
        </w:rPr>
        <w:t xml:space="preserve"> LOF = loss-of-function. IPA = Ingenuity Pathway Analysis. DEG = Differentially Expressed Gene. PPI = Protein-protein interaction.</w:t>
      </w:r>
      <w:bookmarkEnd w:id="174"/>
    </w:p>
    <w:p w14:paraId="6CB4AB56" w14:textId="31486503" w:rsidR="00DA3ECC" w:rsidRPr="0082680A" w:rsidRDefault="00855AF8" w:rsidP="00DA3ECC">
      <w:pPr>
        <w:rPr>
          <w:lang w:val="en-GB"/>
        </w:rPr>
      </w:pPr>
      <w:r>
        <w:rPr>
          <w:lang w:val="en-GB"/>
        </w:rPr>
        <w:br w:type="page"/>
      </w:r>
    </w:p>
    <w:p w14:paraId="14F3CF6A" w14:textId="5EA8CC52" w:rsidR="00CB57DA" w:rsidRPr="0082680A" w:rsidRDefault="00DA3ECC" w:rsidP="00EB41E2">
      <w:pPr>
        <w:rPr>
          <w:lang w:val="en-GB"/>
        </w:rPr>
      </w:pPr>
      <w:r w:rsidRPr="0082680A">
        <w:rPr>
          <w:color w:val="000000" w:themeColor="text1"/>
          <w:lang w:val="en-GB"/>
        </w:rPr>
        <w:lastRenderedPageBreak/>
        <w:t>From the prioritisation results, t</w:t>
      </w:r>
      <w:r w:rsidR="00EB41E2" w:rsidRPr="0082680A">
        <w:rPr>
          <w:color w:val="000000" w:themeColor="text1"/>
          <w:lang w:val="en-GB"/>
        </w:rPr>
        <w:t xml:space="preserve">he top </w:t>
      </w:r>
      <w:r w:rsidR="00974245" w:rsidRPr="0082680A">
        <w:rPr>
          <w:color w:val="000000" w:themeColor="text1"/>
          <w:lang w:val="en-GB"/>
        </w:rPr>
        <w:t>5</w:t>
      </w:r>
      <w:r w:rsidR="00EB41E2" w:rsidRPr="0082680A">
        <w:rPr>
          <w:color w:val="000000" w:themeColor="text1"/>
          <w:lang w:val="en-GB"/>
        </w:rPr>
        <w:t xml:space="preserve"> genes were selected for </w:t>
      </w:r>
      <w:r w:rsidR="00974245" w:rsidRPr="0082680A">
        <w:rPr>
          <w:color w:val="000000" w:themeColor="text1"/>
          <w:lang w:val="en-GB"/>
        </w:rPr>
        <w:t>further assessmen</w:t>
      </w:r>
      <w:r w:rsidR="00F72F37" w:rsidRPr="0082680A">
        <w:rPr>
          <w:color w:val="000000" w:themeColor="text1"/>
          <w:lang w:val="en-GB"/>
        </w:rPr>
        <w:t>t.</w:t>
      </w:r>
      <w:r w:rsidR="000C54A3" w:rsidRPr="0082680A">
        <w:rPr>
          <w:color w:val="FF0000"/>
          <w:lang w:val="en-GB"/>
        </w:rPr>
        <w:t xml:space="preserve"> </w:t>
      </w:r>
      <w:r w:rsidR="0028096C" w:rsidRPr="0082680A">
        <w:rPr>
          <w:color w:val="000000" w:themeColor="text1"/>
          <w:lang w:val="en-GB"/>
        </w:rPr>
        <w:t xml:space="preserve">The top scoring gene, by a number of points, was </w:t>
      </w:r>
      <w:r w:rsidR="0028096C" w:rsidRPr="0082680A">
        <w:rPr>
          <w:i/>
          <w:color w:val="000000" w:themeColor="text1"/>
          <w:lang w:val="en-GB"/>
        </w:rPr>
        <w:t>YBX1</w:t>
      </w:r>
      <w:r w:rsidR="0028096C" w:rsidRPr="0082680A">
        <w:rPr>
          <w:i/>
          <w:lang w:val="en-GB"/>
        </w:rPr>
        <w:t xml:space="preserve"> </w:t>
      </w:r>
      <w:r w:rsidR="00CB57DA" w:rsidRPr="0082680A">
        <w:rPr>
          <w:lang w:val="en-GB"/>
        </w:rPr>
        <w:t xml:space="preserve">(Y-Box Binding Protein 1). </w:t>
      </w:r>
      <w:r w:rsidR="00CB57DA" w:rsidRPr="0082680A">
        <w:rPr>
          <w:i/>
          <w:lang w:val="en-GB"/>
        </w:rPr>
        <w:t>YBX1</w:t>
      </w:r>
      <w:r w:rsidR="00CB57DA" w:rsidRPr="0082680A">
        <w:rPr>
          <w:lang w:val="en-GB"/>
        </w:rPr>
        <w:t xml:space="preserve"> codes for a protein which possesses a large variety of roles in transcription and translation regulation, just like TDP-43, in particular mRNA splicing and miRNA transportation </w:t>
      </w:r>
      <w:r w:rsidR="00CB57DA" w:rsidRPr="0082680A">
        <w:rPr>
          <w:lang w:val="en-GB"/>
        </w:rPr>
        <w:fldChar w:fldCharType="begin" w:fldLock="1"/>
      </w:r>
      <w:r w:rsidR="000507BA">
        <w:rPr>
          <w:lang w:val="en-GB"/>
        </w:rPr>
        <w:instrText>ADDIN CSL_CITATION {"citationItems":[{"id":"ITEM-1","itemData":{"DOI":"10.7554/eLife.19276","ISSN":"2050-084X","PMID":"27559612","abstract":"Exosomes are small vesicles that are secreted from metazoan cells and may convey selected membrane proteins and small RNAs to target cells for the control of cell migration, development and metastasis. To study the mechanisms of RNA packaging into exosomes, we devised a purification scheme based on the membrane marker CD63 to isolate a single exosome species secreted from HEK293T cells. Using immunoisolated CD63-containing exosomes we identified a set of miRNAs that are highly enriched with respect to their cellular levels. To explore the biochemical requirements for exosome biogenesis and RNA packaging, we devised a cell-free reaction that recapitulates the species-selective enclosure of miR-223 in isolated membranes supplemented with cytosol. We found that the RNA-binding protein Y-box protein I (YBX1) binds to and is required for the sorting of miR-223 in the cell-free reaction. Furthermore, YBX1 serves an important role in the secretion of miRNAs in exosomes by HEK293T cells.","author":[{"dropping-particle":"","family":"Shurtleff","given":"Matthew J","non-dropping-particle":"","parse-names":false,"suffix":""},{"dropping-particle":"","family":"Temoche-Diaz","given":"Morayma M","non-dropping-particle":"","parse-names":false,"suffix":""},{"dropping-particle":"V","family":"Karfilis","given":"Kate","non-dropping-particle":"","parse-names":false,"suffix":""},{"dropping-particle":"","family":"Ri","given":"Sayaka","non-dropping-particle":"","parse-names":false,"suffix":""},{"dropping-particle":"","family":"Schekman","given":"Randy","non-dropping-particle":"","parse-names":false,"suffix":""}],"container-title":"eLife","id":"ITEM-1","issued":{"date-parts":[["2016"]]},"publisher":"eLife Sciences Publications, Ltd","title":"Y-box protein 1 is required to sort microRNAs into exosomes in cells and in a cell-free reaction.","type":"article-journal","volume":"5"},"uris":["http://www.mendeley.com/documents/?uuid=2f955451-b76f-3fb3-a125-867231be24c3"]}],"mendeley":{"formattedCitation":"&lt;sup&gt;182&lt;/sup&gt;","plainTextFormattedCitation":"182","previouslyFormattedCitation":"&lt;sup&gt;182&lt;/sup&gt;"},"properties":{"noteIndex":0},"schema":"https://github.com/citation-style-language/schema/raw/master/csl-citation.json"}</w:instrText>
      </w:r>
      <w:r w:rsidR="00CB57DA" w:rsidRPr="0082680A">
        <w:rPr>
          <w:lang w:val="en-GB"/>
        </w:rPr>
        <w:fldChar w:fldCharType="separate"/>
      </w:r>
      <w:r w:rsidR="00426B19" w:rsidRPr="00426B19">
        <w:rPr>
          <w:noProof/>
          <w:vertAlign w:val="superscript"/>
          <w:lang w:val="en-GB"/>
        </w:rPr>
        <w:t>182</w:t>
      </w:r>
      <w:r w:rsidR="00CB57DA" w:rsidRPr="0082680A">
        <w:rPr>
          <w:lang w:val="en-GB"/>
        </w:rPr>
        <w:fldChar w:fldCharType="end"/>
      </w:r>
      <w:r w:rsidR="00CB57DA" w:rsidRPr="0082680A">
        <w:rPr>
          <w:lang w:val="en-GB"/>
        </w:rPr>
        <w:t xml:space="preserve">. </w:t>
      </w:r>
      <w:r w:rsidR="00945B4A" w:rsidRPr="0082680A">
        <w:rPr>
          <w:i/>
          <w:lang w:val="en-GB"/>
        </w:rPr>
        <w:t>YBX1</w:t>
      </w:r>
      <w:r w:rsidR="00945B4A" w:rsidRPr="0082680A">
        <w:rPr>
          <w:lang w:val="en-GB"/>
        </w:rPr>
        <w:t xml:space="preserve"> was found to contain two </w:t>
      </w:r>
      <w:r w:rsidR="005A5B43" w:rsidRPr="0082680A">
        <w:rPr>
          <w:lang w:val="en-GB"/>
        </w:rPr>
        <w:t xml:space="preserve">predicted </w:t>
      </w:r>
      <w:r w:rsidR="00945B4A" w:rsidRPr="0082680A">
        <w:rPr>
          <w:lang w:val="en-GB"/>
        </w:rPr>
        <w:t>LoF mutations in Project MinE patients, one of which was a</w:t>
      </w:r>
      <w:r w:rsidR="00163F98" w:rsidRPr="0082680A">
        <w:rPr>
          <w:lang w:val="en-GB"/>
        </w:rPr>
        <w:t xml:space="preserve"> predicted</w:t>
      </w:r>
      <w:r w:rsidR="00945B4A" w:rsidRPr="0082680A">
        <w:rPr>
          <w:lang w:val="en-GB"/>
        </w:rPr>
        <w:t xml:space="preserve"> stop</w:t>
      </w:r>
      <w:r w:rsidR="00163F98" w:rsidRPr="0082680A">
        <w:rPr>
          <w:lang w:val="en-GB"/>
        </w:rPr>
        <w:t>-</w:t>
      </w:r>
      <w:r w:rsidR="00945B4A" w:rsidRPr="0082680A">
        <w:rPr>
          <w:lang w:val="en-GB"/>
        </w:rPr>
        <w:t>gain mutation.</w:t>
      </w:r>
      <w:r w:rsidR="005A5B43" w:rsidRPr="0082680A">
        <w:rPr>
          <w:lang w:val="en-GB"/>
        </w:rPr>
        <w:t xml:space="preserve"> </w:t>
      </w:r>
      <w:r w:rsidR="004B1E7B" w:rsidRPr="0082680A">
        <w:rPr>
          <w:i/>
          <w:lang w:val="en-GB"/>
        </w:rPr>
        <w:t>YBX1</w:t>
      </w:r>
      <w:r w:rsidR="004B1E7B" w:rsidRPr="0082680A">
        <w:rPr>
          <w:lang w:val="en-GB"/>
        </w:rPr>
        <w:t xml:space="preserve"> also scored highly for GeneXplain and Endeavour </w:t>
      </w:r>
      <w:proofErr w:type="gramStart"/>
      <w:r w:rsidR="004B1E7B" w:rsidRPr="0082680A">
        <w:rPr>
          <w:lang w:val="en-GB"/>
        </w:rPr>
        <w:t>ranks, and</w:t>
      </w:r>
      <w:proofErr w:type="gramEnd"/>
      <w:r w:rsidR="004B1E7B" w:rsidRPr="0082680A">
        <w:rPr>
          <w:lang w:val="en-GB"/>
        </w:rPr>
        <w:t xml:space="preserve"> is a known binding partner of TDP-43 protein. </w:t>
      </w:r>
    </w:p>
    <w:p w14:paraId="18352EBD" w14:textId="77777777" w:rsidR="00CB57DA" w:rsidRPr="0082680A" w:rsidRDefault="00CB57DA" w:rsidP="00EB41E2">
      <w:pPr>
        <w:rPr>
          <w:i/>
          <w:lang w:val="en-GB"/>
        </w:rPr>
      </w:pPr>
    </w:p>
    <w:p w14:paraId="7B2B1AAA" w14:textId="69BA156F" w:rsidR="000C54A3" w:rsidRPr="0082680A" w:rsidRDefault="00D97E59" w:rsidP="00EB41E2">
      <w:pPr>
        <w:rPr>
          <w:lang w:val="en-GB"/>
        </w:rPr>
      </w:pPr>
      <w:r w:rsidRPr="0082680A">
        <w:rPr>
          <w:lang w:val="en-GB"/>
        </w:rPr>
        <w:t xml:space="preserve">With the joint second highest score were the genes </w:t>
      </w:r>
      <w:r w:rsidR="00ED74C7" w:rsidRPr="0082680A">
        <w:rPr>
          <w:i/>
          <w:lang w:val="en-GB"/>
        </w:rPr>
        <w:t xml:space="preserve">DDX1 </w:t>
      </w:r>
      <w:r w:rsidR="00ED74C7" w:rsidRPr="0082680A">
        <w:rPr>
          <w:lang w:val="en-GB"/>
        </w:rPr>
        <w:t>and</w:t>
      </w:r>
      <w:r w:rsidRPr="0082680A">
        <w:rPr>
          <w:i/>
          <w:lang w:val="en-GB"/>
        </w:rPr>
        <w:t xml:space="preserve"> TBK1</w:t>
      </w:r>
      <w:r w:rsidRPr="0082680A">
        <w:rPr>
          <w:lang w:val="en-GB"/>
        </w:rPr>
        <w:t xml:space="preserve">. DDX1 (DEAD-Box Helicase 1) is an ATP-dependent RNA helicase, involved in a number of transcriptional processes including within the Drosha complex alongside TDP-43 </w:t>
      </w:r>
      <w:r w:rsidRPr="0082680A">
        <w:rPr>
          <w:lang w:val="en-GB"/>
        </w:rPr>
        <w:fldChar w:fldCharType="begin" w:fldLock="1"/>
      </w:r>
      <w:r w:rsidR="000507BA">
        <w:rPr>
          <w:lang w:val="en-GB"/>
        </w:rPr>
        <w:instrText>ADDIN CSL_CITATION {"citationItems":[{"id":"ITEM-1","itemData":{"DOI":"10.1016/J.CELREP.2014.07.058","ISSN":"2211-1247","abstract":"Posttranscriptional maturation is a critical step in microRNA (miRNA) biogenesis that determines mature miRNA levels. In addition to core components (Drosha and DGCR8 [DiGeorge syndrome critical region gene 8]) in the microprocessor, regulatory RNA-binding proteins may confer the specificity for recruiting and processing of individual primary miRNAs (pri-miRNAs). Here, we identify DDX1 as a regulatory protein that promotes the expression of a subset of miRNAs, including five members in the microRNA-200 (miR-200) family and four miRNAs in an eight-miRNA signature of a mesenchymal ovarian cancer subtype. A majority of DDX1-dependent miRNAs are induced after DNA damage. This induction is facilitated by the ataxia telangiectasia mutated (ATM)-mediated phosphorylation of DDX1. Inhibiting DDX1 promotes ovarian tumor growth and metastasis in a syngeneic mouse model. Analysis of The Cancer Genome Atlas (TCGA) reveals that low DDX1 levels are associated with poor clinical outcome in patients with serous ovarian cancer. These findings suggest that DDX1 is a key modulator in miRNA maturation and ovarian tumor suppression.","author":[{"dropping-particle":"","family":"Han","given":"Cecil","non-dropping-particle":"","parse-names":false,"suffix":""},{"dropping-particle":"","family":"Liu","given":"Yunhua","non-dropping-particle":"","parse-names":false,"suffix":""},{"dropping-particle":"","family":"Wan","given":"Guohui","non-dropping-particle":"","parse-names":false,"suffix":""},{"dropping-particle":"","family":"Choi","given":"Hyun Jin","non-dropping-particle":"","parse-names":false,"suffix":""},{"dropping-particle":"","family":"Zhao","given":"Luqing","non-dropping-particle":"","parse-names":false,"suffix":""},{"dropping-particle":"","family":"Ivan","given":"Cristina","non-dropping-particle":"","parse-names":false,"suffix":""},{"dropping-particle":"","family":"He","given":"Xiaoming","non-dropping-particle":"","parse-names":false,"suffix":""},{"dropping-particle":"","family":"Sood","given":"Anil K.","non-dropping-particle":"","parse-names":false,"suffix":""},{"dropping-particle":"","family":"Zhang","given":"Xinna","non-dropping-particle":"","parse-names":false,"suffix":""},{"dropping-particle":"","family":"Lu","given":"Xiongbin","non-dropping-particle":"","parse-names":false,"suffix":""}],"container-title":"Cell Reports","id":"ITEM-1","issue":"5","issued":{"date-parts":[["2014","9","11"]]},"page":"1447-1460","publisher":"Cell Press","title":"The RNA-Binding Protein DDX1 Promotes Primary MicroRNA Maturation and Inhibits Ovarian Tumor Progression","type":"article-journal","volume":"8"},"uris":["http://www.mendeley.com/documents/?uuid=125415b4-0a83-3b1d-bdb1-621cb12a5e27"]}],"mendeley":{"formattedCitation":"&lt;sup&gt;183&lt;/sup&gt;","plainTextFormattedCitation":"183","previouslyFormattedCitation":"&lt;sup&gt;183&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183</w:t>
      </w:r>
      <w:r w:rsidRPr="0082680A">
        <w:rPr>
          <w:lang w:val="en-GB"/>
        </w:rPr>
        <w:fldChar w:fldCharType="end"/>
      </w:r>
      <w:r w:rsidRPr="0082680A">
        <w:rPr>
          <w:lang w:val="en-GB"/>
        </w:rPr>
        <w:t>. DDX1 contained a</w:t>
      </w:r>
      <w:r w:rsidR="005C32FE" w:rsidRPr="0082680A">
        <w:rPr>
          <w:lang w:val="en-GB"/>
        </w:rPr>
        <w:t xml:space="preserve"> </w:t>
      </w:r>
      <w:r w:rsidR="006B2570" w:rsidRPr="0082680A">
        <w:rPr>
          <w:lang w:val="en-GB"/>
        </w:rPr>
        <w:t>splice acceptor</w:t>
      </w:r>
      <w:r w:rsidRPr="0082680A">
        <w:rPr>
          <w:lang w:val="en-GB"/>
        </w:rPr>
        <w:t xml:space="preserve"> </w:t>
      </w:r>
      <w:r w:rsidR="006B2570" w:rsidRPr="0082680A">
        <w:rPr>
          <w:lang w:val="en-GB"/>
        </w:rPr>
        <w:t xml:space="preserve">LoF </w:t>
      </w:r>
      <w:r w:rsidR="005C4341" w:rsidRPr="0082680A">
        <w:rPr>
          <w:lang w:val="en-GB"/>
        </w:rPr>
        <w:t>mutation but</w:t>
      </w:r>
      <w:r w:rsidR="006B2570" w:rsidRPr="0082680A">
        <w:rPr>
          <w:lang w:val="en-GB"/>
        </w:rPr>
        <w:t xml:space="preserve"> scored</w:t>
      </w:r>
      <w:r w:rsidRPr="0082680A">
        <w:rPr>
          <w:lang w:val="en-GB"/>
        </w:rPr>
        <w:t xml:space="preserve"> </w:t>
      </w:r>
      <w:r w:rsidR="00924F0D" w:rsidRPr="0082680A">
        <w:rPr>
          <w:lang w:val="en-GB"/>
        </w:rPr>
        <w:t xml:space="preserve">highly </w:t>
      </w:r>
      <w:r w:rsidR="00053AFE" w:rsidRPr="0082680A">
        <w:rPr>
          <w:lang w:val="en-GB"/>
        </w:rPr>
        <w:t xml:space="preserve">in Endeavour, is well-connected within the network, and </w:t>
      </w:r>
      <w:r w:rsidR="005C4341" w:rsidRPr="0082680A">
        <w:rPr>
          <w:lang w:val="en-GB"/>
        </w:rPr>
        <w:t>possesses a known protein-protein interaction with TDP-43.</w:t>
      </w:r>
      <w:r w:rsidR="00924F0D" w:rsidRPr="0082680A">
        <w:rPr>
          <w:lang w:val="en-GB"/>
        </w:rPr>
        <w:t xml:space="preserve"> </w:t>
      </w:r>
      <w:r w:rsidR="0028096C" w:rsidRPr="0082680A">
        <w:rPr>
          <w:i/>
          <w:lang w:val="en-GB"/>
        </w:rPr>
        <w:t>TBK1</w:t>
      </w:r>
      <w:r w:rsidR="0028096C" w:rsidRPr="0082680A">
        <w:rPr>
          <w:lang w:val="en-GB"/>
        </w:rPr>
        <w:t xml:space="preserve"> (TANK Binding Kinase 1) is an established ALS and Frontotemporal Dementia gene and aids in the inflammatory response to foreign agents </w:t>
      </w:r>
      <w:r w:rsidR="0028096C" w:rsidRPr="0082680A">
        <w:rPr>
          <w:lang w:val="en-GB"/>
        </w:rPr>
        <w:fldChar w:fldCharType="begin" w:fldLock="1"/>
      </w:r>
      <w:r w:rsidR="000507BA">
        <w:rPr>
          <w:lang w:val="en-GB"/>
        </w:rPr>
        <w:instrText>ADDIN CSL_CITATION {"citationItems":[{"id":"ITEM-1","itemData":{"DOI":"10.1155/2012/979105","ISSN":"1466-1861","PMID":"23304064","abstract":"Inflammation is a complex biological response of tissues to harmful stimuli such as pathogens, cell damage, or irritants. Inflammation is considered to be a major cause of most chronic diseases, especially in more than 100 types of inflammatory diseases which include Alzheimer's disease, rheumatoid arthritis, asthma, atherosclerosis, Crohn's disease, colitis, dermatitis, hepatitis, and Parkinson's disease. Recently, an increasing number of studies have focused on inflammatory diseases. TBK1 is a serine/threonine-protein kinase which regulates antiviral defense, host-virus interaction, and immunity. It is ubiquitously expressed in mouse stomach, colon, thymus, and liver. Interestingly, high levels of active TBK1 have also been found to be associated with inflammatory diseases, indicating that TBK1 is closely related to inflammatory responses. Even though relatively few studies have addressed the functional roles of TBK1 relating to inflammation, this paper discusses some recent findings that support the critical role of TBK1 in inflammatory diseases and underlie the necessity of trials to develop useful remedies or therapeutics that target TBK1 for the treatment of inflammatory diseases.","author":[{"dropping-particle":"","family":"Yu","given":"Tao","non-dropping-particle":"","parse-names":false,"suffix":""},{"dropping-particle":"","family":"Yi","given":"Young-Su","non-dropping-particle":"","parse-names":false,"suffix":""},{"dropping-particle":"","family":"Yang","given":"Yanyan","non-dropping-particle":"","parse-names":false,"suffix":""},{"dropping-particle":"","family":"Oh","given":"Jueun","non-dropping-particle":"","parse-names":false,"suffix":""},{"dropping-particle":"","family":"Jeong","given":"Deok","non-dropping-particle":"","parse-names":false,"suffix":""},{"dropping-particle":"","family":"Cho","given":"Jae Youl","non-dropping-particle":"","parse-names":false,"suffix":""}],"container-title":"Mediators of inflammation","id":"ITEM-1","issued":{"date-parts":[["2012","12","6"]]},"page":"979105","publisher":"Hindawi","title":"The pivotal role of TBK1 in inflammatory responses mediated by macrophages.","type":"article-journal","volume":"2012"},"uris":["http://www.mendeley.com/documents/?uuid=e390ed4d-658f-395e-957c-4b1587e70e04"]},{"id":"ITEM-2","itemData":{"DOI":"10.4049/JIMMUNOL.175.5.3339","ISSN":"0022-1767","PMID":"16116226","abstract":"TLRs can activate two distinct branches of downstream signaling pathways. MyD88 and Toll/IL-1R domain-containing adaptor inducing IFN-beta (TRIF) pathways lead to the expression of proinflammatory cytokines and type I IFN genes, respectively. Numerous reports have demonstrated that resveratrol, a phytoalexin with anti-inflammatory effects, inhibits NF-kappaB activation and other downstream signaling pathways leading to the suppression of target gene expression. However, the direct targets of resveratrol have not been identified. In this study, we attempted to identify the molecular target for resveratrol in TLR-mediated signaling pathways. Resveratrol suppressed NF-kappaB activation and cyclooxygenase-2 expression in RAW264.7 cells following TLR3 and TLR4 stimulation, but not TLR2 or TLR9. Further, resveratrol inhibited NF-kappaB activation induced by TRIF, but not by MyD88. The activation of IFN regulatory factor 3 and the expression of IFN-beta induced by LPS, poly(I:C), or TRIF were also suppressed by resveratrol. The suppressive effect of resveratrol on LPS-induced NF-kappaB activation was abolished in TRIF-deficient mouse embryonic fibroblasts, whereas LPS-induced degradation of IkappaBalpha and expression of cyclooxygenase-2 and inducible NO synthase were still inhibited in MyD88-deficient macrophages. Furthermore, resveratrol inhibited the kinase activity of TANK-binding kinase 1 and the NF-kappaB activation induced by RIP1 in RAW264.7 cells. Together, these results demonstrate that resveratrol specifically inhibits TRIF signaling in the TLR3 and TLR4 pathway by targeting TANK-binding kinase 1 and RIP1 in TRIF complex. The results raise the possibility that certain dietary phytochemicals can modulate TLR-derived signaling and inflammatory target gene expression and can alter susceptibility to microbial infection and chronic inflammatory diseases.","author":[{"dropping-particle":"","family":"Youn","given":"Hyung S","non-dropping-particle":"","parse-names":false,"suffix":""},{"dropping-particle":"","family":"Lee","given":"Joo Y","non-dropping-particle":"","parse-names":false,"suffix":""},{"dropping-particle":"","family":"Fitzgerald","given":"Katherine A","non-dropping-particle":"","parse-names":false,"suffix":""},{"dropping-particle":"","family":"Young","given":"Howard A","non-dropping-particle":"","parse-names":false,"suffix":""},{"dropping-particle":"","family":"Akira","given":"Shizuo","non-dropping-particle":"","parse-names":false,"suffix":""},{"dropping-particle":"","family":"Hwang","given":"Daniel H","non-dropping-particle":"","parse-names":false,"suffix":""}],"container-title":"Journal of immunology (Baltimore, Md. : 1950)","id":"ITEM-2","issue":"5","issued":{"date-parts":[["2005","9","1"]]},"page":"3339-46","publisher":"American Association of Immunologists","title":"Specific inhibition of MyD88-independent signaling pathways of TLR3 and TLR4 by resveratrol: molecular targets are TBK1 and RIP1 in TRIF complex.","type":"article-journal","volume":"175"},"uris":["http://www.mendeley.com/documents/?uuid=b389046a-8850-3d57-9516-c1692bcc9d75"]}],"mendeley":{"formattedCitation":"&lt;sup&gt;184,185&lt;/sup&gt;","plainTextFormattedCitation":"184,185","previouslyFormattedCitation":"&lt;sup&gt;184,185&lt;/sup&gt;"},"properties":{"noteIndex":0},"schema":"https://github.com/citation-style-language/schema/raw/master/csl-citation.json"}</w:instrText>
      </w:r>
      <w:r w:rsidR="0028096C" w:rsidRPr="0082680A">
        <w:rPr>
          <w:lang w:val="en-GB"/>
        </w:rPr>
        <w:fldChar w:fldCharType="separate"/>
      </w:r>
      <w:r w:rsidR="00426B19" w:rsidRPr="00426B19">
        <w:rPr>
          <w:noProof/>
          <w:vertAlign w:val="superscript"/>
          <w:lang w:val="en-GB"/>
        </w:rPr>
        <w:t>184,185</w:t>
      </w:r>
      <w:r w:rsidR="0028096C" w:rsidRPr="0082680A">
        <w:rPr>
          <w:lang w:val="en-GB"/>
        </w:rPr>
        <w:fldChar w:fldCharType="end"/>
      </w:r>
      <w:r w:rsidR="0028096C" w:rsidRPr="0082680A">
        <w:rPr>
          <w:lang w:val="en-GB"/>
        </w:rPr>
        <w:t xml:space="preserve">. </w:t>
      </w:r>
      <w:r w:rsidR="00F64698" w:rsidRPr="0082680A">
        <w:rPr>
          <w:lang w:val="en-GB"/>
        </w:rPr>
        <w:t xml:space="preserve">In our analysis, </w:t>
      </w:r>
      <w:r w:rsidR="0028096C" w:rsidRPr="0082680A">
        <w:rPr>
          <w:i/>
          <w:lang w:val="en-GB"/>
        </w:rPr>
        <w:t>TBK1</w:t>
      </w:r>
      <w:r w:rsidR="00F64698" w:rsidRPr="0082680A">
        <w:rPr>
          <w:lang w:val="en-GB"/>
        </w:rPr>
        <w:t xml:space="preserve"> was found to carry</w:t>
      </w:r>
      <w:r w:rsidR="0028096C" w:rsidRPr="0082680A">
        <w:rPr>
          <w:lang w:val="en-GB"/>
        </w:rPr>
        <w:t xml:space="preserve"> a predicted </w:t>
      </w:r>
      <w:r w:rsidR="00761DC2" w:rsidRPr="0082680A">
        <w:rPr>
          <w:lang w:val="en-GB"/>
        </w:rPr>
        <w:t>LoF frameshift</w:t>
      </w:r>
      <w:r w:rsidR="00F64698" w:rsidRPr="0082680A">
        <w:rPr>
          <w:lang w:val="en-GB"/>
        </w:rPr>
        <w:t xml:space="preserve"> mutation as well</w:t>
      </w:r>
      <w:r w:rsidR="00053AFE" w:rsidRPr="0082680A">
        <w:rPr>
          <w:lang w:val="en-GB"/>
        </w:rPr>
        <w:t xml:space="preserve"> as</w:t>
      </w:r>
      <w:r w:rsidR="000F64CE" w:rsidRPr="0082680A">
        <w:rPr>
          <w:lang w:val="en-GB"/>
        </w:rPr>
        <w:t xml:space="preserve"> being highly</w:t>
      </w:r>
      <w:r w:rsidR="00053AFE" w:rsidRPr="0082680A">
        <w:rPr>
          <w:lang w:val="en-GB"/>
        </w:rPr>
        <w:t xml:space="preserve"> </w:t>
      </w:r>
      <w:r w:rsidR="000F64CE" w:rsidRPr="0082680A">
        <w:rPr>
          <w:lang w:val="en-GB"/>
        </w:rPr>
        <w:t>ranked</w:t>
      </w:r>
      <w:r w:rsidR="0028096C" w:rsidRPr="0082680A">
        <w:rPr>
          <w:lang w:val="en-GB"/>
        </w:rPr>
        <w:t xml:space="preserve"> by </w:t>
      </w:r>
      <w:r w:rsidR="000F64CE" w:rsidRPr="0082680A">
        <w:rPr>
          <w:lang w:val="en-GB"/>
        </w:rPr>
        <w:t xml:space="preserve">both </w:t>
      </w:r>
      <w:r w:rsidR="0028096C" w:rsidRPr="0082680A">
        <w:rPr>
          <w:lang w:val="en-GB"/>
        </w:rPr>
        <w:t xml:space="preserve">GeneXplain </w:t>
      </w:r>
      <w:r w:rsidR="000F64CE" w:rsidRPr="0082680A">
        <w:rPr>
          <w:lang w:val="en-GB"/>
        </w:rPr>
        <w:t xml:space="preserve">and Endeavour </w:t>
      </w:r>
      <w:r w:rsidR="0028096C" w:rsidRPr="0082680A">
        <w:rPr>
          <w:lang w:val="en-GB"/>
        </w:rPr>
        <w:t xml:space="preserve">analysis. </w:t>
      </w:r>
    </w:p>
    <w:p w14:paraId="411626CC" w14:textId="09DB2845" w:rsidR="000F64CE" w:rsidRPr="0082680A" w:rsidRDefault="000F64CE" w:rsidP="00EB41E2">
      <w:pPr>
        <w:rPr>
          <w:lang w:val="en-GB"/>
        </w:rPr>
      </w:pPr>
    </w:p>
    <w:p w14:paraId="1ABDD308" w14:textId="4108A222" w:rsidR="000C54A3" w:rsidRDefault="000F64CE" w:rsidP="00EB41E2">
      <w:pPr>
        <w:rPr>
          <w:lang w:val="en-GB"/>
        </w:rPr>
      </w:pPr>
      <w:r w:rsidRPr="0082680A">
        <w:rPr>
          <w:lang w:val="en-GB"/>
        </w:rPr>
        <w:t xml:space="preserve">Scoring 16 were </w:t>
      </w:r>
      <w:r w:rsidRPr="0082680A">
        <w:rPr>
          <w:i/>
          <w:lang w:val="en-GB"/>
        </w:rPr>
        <w:t>RANBP2</w:t>
      </w:r>
      <w:r w:rsidRPr="0082680A">
        <w:rPr>
          <w:lang w:val="en-GB"/>
        </w:rPr>
        <w:t xml:space="preserve"> and </w:t>
      </w:r>
      <w:r w:rsidRPr="0082680A">
        <w:rPr>
          <w:i/>
          <w:lang w:val="en-GB"/>
        </w:rPr>
        <w:t>HSPA9</w:t>
      </w:r>
      <w:r w:rsidRPr="0082680A">
        <w:rPr>
          <w:lang w:val="en-GB"/>
        </w:rPr>
        <w:t>.</w:t>
      </w:r>
      <w:r w:rsidR="00F32019" w:rsidRPr="0082680A">
        <w:rPr>
          <w:lang w:val="en-GB"/>
        </w:rPr>
        <w:t xml:space="preserve"> </w:t>
      </w:r>
      <w:r w:rsidRPr="0082680A">
        <w:rPr>
          <w:lang w:val="en-GB"/>
        </w:rPr>
        <w:t>RANBP2 (</w:t>
      </w:r>
      <w:r w:rsidR="00511D31" w:rsidRPr="0082680A">
        <w:rPr>
          <w:lang w:val="en-GB"/>
        </w:rPr>
        <w:t xml:space="preserve">RAN Binding Protein 2) </w:t>
      </w:r>
      <w:r w:rsidR="00F32019" w:rsidRPr="0082680A">
        <w:rPr>
          <w:lang w:val="en-GB"/>
        </w:rPr>
        <w:t xml:space="preserve">is a nucleoporin, meaning that it </w:t>
      </w:r>
      <w:r w:rsidR="00EB42C0" w:rsidRPr="0082680A">
        <w:rPr>
          <w:lang w:val="en-GB"/>
        </w:rPr>
        <w:t>forms part of th</w:t>
      </w:r>
      <w:r w:rsidR="00E3060E" w:rsidRPr="0082680A">
        <w:rPr>
          <w:lang w:val="en-GB"/>
        </w:rPr>
        <w:t xml:space="preserve">e nuclear pore complex (NPC). The nuclear pore complex </w:t>
      </w:r>
      <w:r w:rsidR="009C374A" w:rsidRPr="0082680A">
        <w:rPr>
          <w:lang w:val="en-GB"/>
        </w:rPr>
        <w:t>has an integral role on the transport of components between the nucleus and the cytoplasm</w:t>
      </w:r>
      <w:r w:rsidR="00237F1E" w:rsidRPr="0082680A">
        <w:rPr>
          <w:lang w:val="en-GB"/>
        </w:rPr>
        <w:t xml:space="preserve"> </w:t>
      </w:r>
      <w:r w:rsidR="00237F1E" w:rsidRPr="0082680A">
        <w:rPr>
          <w:lang w:val="en-GB"/>
        </w:rPr>
        <w:fldChar w:fldCharType="begin" w:fldLock="1"/>
      </w:r>
      <w:r w:rsidR="000507BA">
        <w:rPr>
          <w:lang w:val="en-GB"/>
        </w:rPr>
        <w:instrText>ADDIN CSL_CITATION {"citationItems":[{"id":"ITEM-1","itemData":{"DOI":"10.1242/JCS.083246","ISSN":"1477-9137","PMID":"26046137","abstract":"Nuclear pore complexes (NPCs) are indispensable for cell function and are at the center of several human diseases. NPCs provide access to the nucleus and regulate the transport of proteins and RNA across the nuclear envelope. They are aqueous channels generated from a complex network of evolutionarily conserved proteins known as nucleporins. In this Cell Science at a Glance article and the accompanying poster, we discuss how transport between the nucleoplasm and the cytoplasm is regulated, what we currently know about the structure of individual nucleoporins and the assembled NPC, and how the cell regulates assembly and disassembly of such a massive structure. Our aim is to provide a general overview on what we currently know about the nuclear pore and point out directions of research this area is heading to.","author":[{"dropping-particle":"","family":"Kabachinski","given":"Greg","non-dropping-particle":"","parse-names":false,"suffix":""},{"dropping-particle":"","family":"Schwartz","given":"Thomas U","non-dropping-particle":"","parse-names":false,"suffix":""}],"container-title":"Journal of cell science","id":"ITEM-1","issue":"3","issued":{"date-parts":[["2015","2","1"]]},"page":"423-9","publisher":"Company of Biologists","title":"The nuclear pore complex--structure and function at a glance.","type":"article-journal","volume":"128"},"uris":["http://www.mendeley.com/documents/?uuid=4957eabb-87a3-3c2c-b872-438476829495"]}],"mendeley":{"formattedCitation":"&lt;sup&gt;186&lt;/sup&gt;","plainTextFormattedCitation":"186","previouslyFormattedCitation":"&lt;sup&gt;186&lt;/sup&gt;"},"properties":{"noteIndex":0},"schema":"https://github.com/citation-style-language/schema/raw/master/csl-citation.json"}</w:instrText>
      </w:r>
      <w:r w:rsidR="00237F1E" w:rsidRPr="0082680A">
        <w:rPr>
          <w:lang w:val="en-GB"/>
        </w:rPr>
        <w:fldChar w:fldCharType="separate"/>
      </w:r>
      <w:r w:rsidR="00426B19" w:rsidRPr="00426B19">
        <w:rPr>
          <w:noProof/>
          <w:vertAlign w:val="superscript"/>
          <w:lang w:val="en-GB"/>
        </w:rPr>
        <w:t>186</w:t>
      </w:r>
      <w:r w:rsidR="00237F1E" w:rsidRPr="0082680A">
        <w:rPr>
          <w:lang w:val="en-GB"/>
        </w:rPr>
        <w:fldChar w:fldCharType="end"/>
      </w:r>
      <w:r w:rsidR="009C374A" w:rsidRPr="0082680A">
        <w:rPr>
          <w:lang w:val="en-GB"/>
        </w:rPr>
        <w:t xml:space="preserve">. </w:t>
      </w:r>
      <w:r w:rsidR="002434A2" w:rsidRPr="0082680A">
        <w:rPr>
          <w:lang w:val="en-GB"/>
        </w:rPr>
        <w:t xml:space="preserve">Our </w:t>
      </w:r>
      <w:r w:rsidR="003C4F52" w:rsidRPr="0082680A">
        <w:rPr>
          <w:lang w:val="en-GB"/>
        </w:rPr>
        <w:t xml:space="preserve">analysis revealed a number of </w:t>
      </w:r>
      <w:r w:rsidR="00163F98" w:rsidRPr="0082680A">
        <w:rPr>
          <w:lang w:val="en-GB"/>
        </w:rPr>
        <w:t xml:space="preserve">predicted </w:t>
      </w:r>
      <w:r w:rsidR="003C4F52" w:rsidRPr="0082680A">
        <w:rPr>
          <w:lang w:val="en-GB"/>
        </w:rPr>
        <w:t>stop</w:t>
      </w:r>
      <w:r w:rsidR="00163F98" w:rsidRPr="0082680A">
        <w:rPr>
          <w:lang w:val="en-GB"/>
        </w:rPr>
        <w:t>-</w:t>
      </w:r>
      <w:r w:rsidR="003C4F52" w:rsidRPr="0082680A">
        <w:rPr>
          <w:lang w:val="en-GB"/>
        </w:rPr>
        <w:t xml:space="preserve">gain mutations within </w:t>
      </w:r>
      <w:r w:rsidR="003C4F52" w:rsidRPr="0082680A">
        <w:rPr>
          <w:i/>
          <w:lang w:val="en-GB"/>
        </w:rPr>
        <w:t>RANBP2</w:t>
      </w:r>
      <w:r w:rsidR="003C4F52" w:rsidRPr="0082680A">
        <w:rPr>
          <w:lang w:val="en-GB"/>
        </w:rPr>
        <w:t xml:space="preserve"> in Project MinE patients, and a moderately high score from GeneXplain. </w:t>
      </w:r>
      <w:r w:rsidR="003C4F52" w:rsidRPr="0082680A">
        <w:rPr>
          <w:i/>
          <w:lang w:val="en-GB"/>
        </w:rPr>
        <w:t>RANBP2</w:t>
      </w:r>
      <w:r w:rsidR="003C4F52" w:rsidRPr="0082680A">
        <w:rPr>
          <w:lang w:val="en-GB"/>
        </w:rPr>
        <w:t xml:space="preserve"> was not particularly highly conne</w:t>
      </w:r>
      <w:r w:rsidR="00E679F0" w:rsidRPr="0082680A">
        <w:rPr>
          <w:lang w:val="en-GB"/>
        </w:rPr>
        <w:t xml:space="preserve">cted within the </w:t>
      </w:r>
      <w:proofErr w:type="gramStart"/>
      <w:r w:rsidR="00E679F0" w:rsidRPr="0082680A">
        <w:rPr>
          <w:lang w:val="en-GB"/>
        </w:rPr>
        <w:t xml:space="preserve">network, </w:t>
      </w:r>
      <w:r w:rsidR="002B6BAF" w:rsidRPr="0082680A">
        <w:rPr>
          <w:lang w:val="en-GB"/>
        </w:rPr>
        <w:t>but</w:t>
      </w:r>
      <w:proofErr w:type="gramEnd"/>
      <w:r w:rsidR="002B6BAF" w:rsidRPr="0082680A">
        <w:rPr>
          <w:lang w:val="en-GB"/>
        </w:rPr>
        <w:t xml:space="preserve"> ranked highly for Endeavour consensus score. </w:t>
      </w:r>
      <w:r w:rsidR="00DE56DA" w:rsidRPr="0082680A">
        <w:rPr>
          <w:lang w:val="en-GB"/>
        </w:rPr>
        <w:t xml:space="preserve">Although we have no evidence that RANBP2 directly interacts with TDP-43, </w:t>
      </w:r>
      <w:r w:rsidR="002B6BAF" w:rsidRPr="0082680A">
        <w:rPr>
          <w:lang w:val="en-GB"/>
        </w:rPr>
        <w:t xml:space="preserve">it is possible to hypothesise that </w:t>
      </w:r>
      <w:r w:rsidR="00DE56DA" w:rsidRPr="0082680A">
        <w:rPr>
          <w:lang w:val="en-GB"/>
        </w:rPr>
        <w:t xml:space="preserve">due to its role in the NPC, </w:t>
      </w:r>
      <w:r w:rsidR="002B6BAF" w:rsidRPr="0082680A">
        <w:rPr>
          <w:lang w:val="en-GB"/>
        </w:rPr>
        <w:t>RANBP</w:t>
      </w:r>
      <w:r w:rsidR="00DE56DA" w:rsidRPr="0082680A">
        <w:rPr>
          <w:lang w:val="en-GB"/>
        </w:rPr>
        <w:t>2</w:t>
      </w:r>
      <w:r w:rsidR="002B6BAF" w:rsidRPr="0082680A">
        <w:rPr>
          <w:lang w:val="en-GB"/>
        </w:rPr>
        <w:t xml:space="preserve"> may</w:t>
      </w:r>
      <w:r w:rsidR="00DE56DA" w:rsidRPr="0082680A">
        <w:rPr>
          <w:lang w:val="en-GB"/>
        </w:rPr>
        <w:t xml:space="preserve"> contribute to </w:t>
      </w:r>
      <w:r w:rsidR="00E81CF1" w:rsidRPr="0082680A">
        <w:rPr>
          <w:lang w:val="en-GB"/>
        </w:rPr>
        <w:t>aberrant export of TDP-43 protein from the nucleus into the cytoplasm</w:t>
      </w:r>
      <w:r w:rsidR="002B6BAF" w:rsidRPr="0082680A">
        <w:rPr>
          <w:lang w:val="en-GB"/>
        </w:rPr>
        <w:t xml:space="preserve">. </w:t>
      </w:r>
      <w:r w:rsidR="006A40BC" w:rsidRPr="0082680A">
        <w:rPr>
          <w:lang w:val="en-GB"/>
        </w:rPr>
        <w:t>Heat Shock Protein Family A (Hsp70) Member 9</w:t>
      </w:r>
      <w:r w:rsidR="000B3E5E" w:rsidRPr="0082680A">
        <w:rPr>
          <w:lang w:val="en-GB"/>
        </w:rPr>
        <w:t xml:space="preserve"> (HSPA9)</w:t>
      </w:r>
      <w:r w:rsidR="00DC500D" w:rsidRPr="0082680A">
        <w:rPr>
          <w:lang w:val="en-GB"/>
        </w:rPr>
        <w:t xml:space="preserve">, </w:t>
      </w:r>
      <w:r w:rsidR="000B3E5E" w:rsidRPr="0082680A">
        <w:rPr>
          <w:lang w:val="en-GB"/>
        </w:rPr>
        <w:t>codes for</w:t>
      </w:r>
      <w:r w:rsidR="0073617A" w:rsidRPr="0082680A">
        <w:rPr>
          <w:lang w:val="en-GB"/>
        </w:rPr>
        <w:t xml:space="preserve"> a mainly mitochondria-associated</w:t>
      </w:r>
      <w:r w:rsidR="00A408F8" w:rsidRPr="0082680A">
        <w:rPr>
          <w:lang w:val="en-GB"/>
        </w:rPr>
        <w:t xml:space="preserve"> </w:t>
      </w:r>
      <w:r w:rsidR="00C6578C" w:rsidRPr="0082680A">
        <w:rPr>
          <w:lang w:val="en-GB"/>
        </w:rPr>
        <w:t xml:space="preserve">chaperone </w:t>
      </w:r>
      <w:r w:rsidR="00A408F8" w:rsidRPr="0082680A">
        <w:rPr>
          <w:lang w:val="en-GB"/>
        </w:rPr>
        <w:t>protein</w:t>
      </w:r>
      <w:r w:rsidR="007428FB" w:rsidRPr="0082680A">
        <w:rPr>
          <w:lang w:val="en-GB"/>
        </w:rPr>
        <w:t xml:space="preserve"> (also known as Mortalin)</w:t>
      </w:r>
      <w:r w:rsidR="00C6578C" w:rsidRPr="0082680A">
        <w:rPr>
          <w:lang w:val="en-GB"/>
        </w:rPr>
        <w:t xml:space="preserve">. </w:t>
      </w:r>
      <w:r w:rsidR="00B66284" w:rsidRPr="0082680A">
        <w:rPr>
          <w:lang w:val="en-GB"/>
        </w:rPr>
        <w:t>Mortalin has been linked to a number of neurodegeneration</w:t>
      </w:r>
      <w:r w:rsidR="00E679F0" w:rsidRPr="0082680A">
        <w:rPr>
          <w:lang w:val="en-GB"/>
        </w:rPr>
        <w:t>-</w:t>
      </w:r>
      <w:r w:rsidR="006B4B02" w:rsidRPr="0082680A">
        <w:rPr>
          <w:lang w:val="en-GB"/>
        </w:rPr>
        <w:t>associated</w:t>
      </w:r>
      <w:r w:rsidR="00E679F0" w:rsidRPr="0082680A">
        <w:rPr>
          <w:lang w:val="en-GB"/>
        </w:rPr>
        <w:t xml:space="preserve"> genes, including </w:t>
      </w:r>
      <w:r w:rsidR="00E679F0" w:rsidRPr="0082680A">
        <w:rPr>
          <w:i/>
          <w:lang w:val="en-GB"/>
        </w:rPr>
        <w:t>APP</w:t>
      </w:r>
      <w:r w:rsidR="00E679F0" w:rsidRPr="0082680A">
        <w:rPr>
          <w:lang w:val="en-GB"/>
        </w:rPr>
        <w:t xml:space="preserve"> and </w:t>
      </w:r>
      <w:r w:rsidR="00E679F0" w:rsidRPr="0082680A">
        <w:rPr>
          <w:i/>
          <w:lang w:val="en-GB"/>
        </w:rPr>
        <w:t>APOE</w:t>
      </w:r>
      <w:r w:rsidR="00B66284" w:rsidRPr="0082680A">
        <w:rPr>
          <w:lang w:val="en-GB"/>
        </w:rPr>
        <w:t xml:space="preserve"> </w:t>
      </w:r>
      <w:r w:rsidR="00E679F0" w:rsidRPr="0082680A">
        <w:rPr>
          <w:lang w:val="en-GB"/>
        </w:rPr>
        <w:t xml:space="preserve">in Alzheimer’s Disease, and Parkin and </w:t>
      </w:r>
      <w:r w:rsidR="00E679F0" w:rsidRPr="0082680A">
        <w:rPr>
          <w:i/>
          <w:lang w:val="en-GB"/>
        </w:rPr>
        <w:t>DJ-1</w:t>
      </w:r>
      <w:r w:rsidR="00E679F0" w:rsidRPr="0082680A">
        <w:rPr>
          <w:lang w:val="en-GB"/>
        </w:rPr>
        <w:t xml:space="preserve"> in Parkinson’s disease </w:t>
      </w:r>
      <w:r w:rsidR="00E679F0" w:rsidRPr="0082680A">
        <w:rPr>
          <w:lang w:val="en-GB"/>
        </w:rPr>
        <w:fldChar w:fldCharType="begin" w:fldLock="1"/>
      </w:r>
      <w:r w:rsidR="000507BA">
        <w:rPr>
          <w:lang w:val="en-GB"/>
        </w:rPr>
        <w:instrText>ADDIN CSL_CITATION {"citationItems":[{"id":"ITEM-1","itemData":{"DOI":"10.3390/biom2010143","ISSN":"2218-273X","PMID":"24970131","abstract":"Mortalin is a highly conserved heat-shock chaperone usually found in multiple subcellular locations. It has several binding partners and has been implicated in various functions ranging from stress response, control of cell proliferation, and inhibition/prevention of apoptosis. The activity of this protein involves different structural and functional mechanisms, and minor alterations in its expression level may lead to serious biological consequences, including neurodegeneration. In this article we review the most current data associated with mortalin's binding partners and how these protein-protein interactions may be implicated in apoptosis and neurodegeneration. A complete understanding of the molecular pathways in which mortalin is involved is important for the development of therapeutic strategies for cancer and neurodegenerative diseases.","author":[{"dropping-particle":"","family":"Londono","given":"Carolina","non-dropping-particle":"","parse-names":false,"suffix":""},{"dropping-particle":"","family":"Osorio","given":"Cristina","non-dropping-particle":"","parse-names":false,"suffix":""},{"dropping-particle":"","family":"Gama","given":"Vivian","non-dropping-particle":"","parse-names":false,"suffix":""},{"dropping-particle":"","family":"Alzate","given":"Oscar","non-dropping-particle":"","parse-names":false,"suffix":""}],"container-title":"Biomolecules","id":"ITEM-1","issue":"1","issued":{"date-parts":[["2012","3","1"]]},"page":"143-64","publisher":"Multidisciplinary Digital Publishing Institute  (MDPI)","title":"Mortalin, apoptosis, and neurodegeneration.","type":"article-journal","volume":"2"},"uris":["http://www.mendeley.com/documents/?uuid=fe59df0d-45dc-3000-a258-23e0d807fb88"]}],"mendeley":{"formattedCitation":"&lt;sup&gt;187&lt;/sup&gt;","plainTextFormattedCitation":"187","previouslyFormattedCitation":"&lt;sup&gt;187&lt;/sup&gt;"},"properties":{"noteIndex":0},"schema":"https://github.com/citation-style-language/schema/raw/master/csl-citation.json"}</w:instrText>
      </w:r>
      <w:r w:rsidR="00E679F0" w:rsidRPr="0082680A">
        <w:rPr>
          <w:lang w:val="en-GB"/>
        </w:rPr>
        <w:fldChar w:fldCharType="separate"/>
      </w:r>
      <w:r w:rsidR="00426B19" w:rsidRPr="00426B19">
        <w:rPr>
          <w:noProof/>
          <w:vertAlign w:val="superscript"/>
          <w:lang w:val="en-GB"/>
        </w:rPr>
        <w:t>187</w:t>
      </w:r>
      <w:r w:rsidR="00E679F0" w:rsidRPr="0082680A">
        <w:rPr>
          <w:lang w:val="en-GB"/>
        </w:rPr>
        <w:fldChar w:fldCharType="end"/>
      </w:r>
      <w:r w:rsidR="00E93783" w:rsidRPr="0082680A">
        <w:rPr>
          <w:lang w:val="en-GB"/>
        </w:rPr>
        <w:t xml:space="preserve">. </w:t>
      </w:r>
      <w:r w:rsidR="00A60692" w:rsidRPr="0082680A">
        <w:rPr>
          <w:lang w:val="en-GB"/>
        </w:rPr>
        <w:t>Its contribution to neurodeg</w:t>
      </w:r>
      <w:r w:rsidR="00972072" w:rsidRPr="0082680A">
        <w:rPr>
          <w:lang w:val="en-GB"/>
        </w:rPr>
        <w:t xml:space="preserve">eneration is hypothesised to be an inability to respond </w:t>
      </w:r>
      <w:r w:rsidR="004D0D06" w:rsidRPr="0082680A">
        <w:rPr>
          <w:lang w:val="en-GB"/>
        </w:rPr>
        <w:t xml:space="preserve">properly </w:t>
      </w:r>
      <w:r w:rsidR="00972072" w:rsidRPr="0082680A">
        <w:rPr>
          <w:lang w:val="en-GB"/>
        </w:rPr>
        <w:t>to accumula</w:t>
      </w:r>
      <w:r w:rsidR="004D0D06" w:rsidRPr="0082680A">
        <w:rPr>
          <w:lang w:val="en-GB"/>
        </w:rPr>
        <w:t xml:space="preserve">tion of reactive oxygen species </w:t>
      </w:r>
      <w:r w:rsidR="004D0D06" w:rsidRPr="0082680A">
        <w:rPr>
          <w:lang w:val="en-GB"/>
        </w:rPr>
        <w:fldChar w:fldCharType="begin" w:fldLock="1"/>
      </w:r>
      <w:r w:rsidR="000507BA">
        <w:rPr>
          <w:lang w:val="en-GB"/>
        </w:rPr>
        <w:instrText>ADDIN CSL_CITATION {"citationItems":[{"id":"ITEM-1","itemData":{"DOI":"10.3390/biom2010143","ISSN":"2218-273X","PMID":"24970131","abstract":"Mortalin is a highly conserved heat-shock chaperone usually found in multiple subcellular locations. It has several binding partners and has been implicated in various functions ranging from stress response, control of cell proliferation, and inhibition/prevention of apoptosis. The activity of this protein involves different structural and functional mechanisms, and minor alterations in its expression level may lead to serious biological consequences, including neurodegeneration. In this article we review the most current data associated with mortalin's binding partners and how these protein-protein interactions may be implicated in apoptosis and neurodegeneration. A complete understanding of the molecular pathways in which mortalin is involved is important for the development of therapeutic strategies for cancer and neurodegenerative diseases.","author":[{"dropping-particle":"","family":"Londono","given":"Carolina","non-dropping-particle":"","parse-names":false,"suffix":""},{"dropping-particle":"","family":"Osorio","given":"Cristina","non-dropping-particle":"","parse-names":false,"suffix":""},{"dropping-particle":"","family":"Gama","given":"Vivian","non-dropping-particle":"","parse-names":false,"suffix":""},{"dropping-particle":"","family":"Alzate","given":"Oscar","non-dropping-particle":"","parse-names":false,"suffix":""}],"container-title":"Biomolecules","id":"ITEM-1","issue":"1","issued":{"date-parts":[["2012","3","1"]]},"page":"143-64","publisher":"Multidisciplinary Digital Publishing Institute  (MDPI)","title":"Mortalin, apoptosis, and neurodegeneration.","type":"article-journal","volume":"2"},"uris":["http://www.mendeley.com/documents/?uuid=fe59df0d-45dc-3000-a258-23e0d807fb88"]}],"mendeley":{"formattedCitation":"&lt;sup&gt;187&lt;/sup&gt;","plainTextFormattedCitation":"187","previouslyFormattedCitation":"&lt;sup&gt;187&lt;/sup&gt;"},"properties":{"noteIndex":0},"schema":"https://github.com/citation-style-language/schema/raw/master/csl-citation.json"}</w:instrText>
      </w:r>
      <w:r w:rsidR="004D0D06" w:rsidRPr="0082680A">
        <w:rPr>
          <w:lang w:val="en-GB"/>
        </w:rPr>
        <w:fldChar w:fldCharType="separate"/>
      </w:r>
      <w:r w:rsidR="00426B19" w:rsidRPr="00426B19">
        <w:rPr>
          <w:noProof/>
          <w:vertAlign w:val="superscript"/>
          <w:lang w:val="en-GB"/>
        </w:rPr>
        <w:t>187</w:t>
      </w:r>
      <w:r w:rsidR="004D0D06" w:rsidRPr="0082680A">
        <w:rPr>
          <w:lang w:val="en-GB"/>
        </w:rPr>
        <w:fldChar w:fldCharType="end"/>
      </w:r>
      <w:r w:rsidR="004D0D06" w:rsidRPr="0082680A">
        <w:rPr>
          <w:lang w:val="en-GB"/>
        </w:rPr>
        <w:t>.</w:t>
      </w:r>
    </w:p>
    <w:p w14:paraId="67482A0C" w14:textId="5681EAE5" w:rsidR="00855AF8" w:rsidRDefault="00855AF8" w:rsidP="00EB41E2">
      <w:pPr>
        <w:rPr>
          <w:lang w:val="en-GB"/>
        </w:rPr>
      </w:pPr>
    </w:p>
    <w:p w14:paraId="40962AC9" w14:textId="77777777" w:rsidR="00855AF8" w:rsidRPr="0082680A" w:rsidRDefault="00855AF8" w:rsidP="00855AF8">
      <w:pPr>
        <w:rPr>
          <w:lang w:val="en-GB"/>
        </w:rPr>
      </w:pPr>
      <w:r>
        <w:rPr>
          <w:lang w:val="en-GB"/>
        </w:rPr>
        <w:t>To</w:t>
      </w:r>
      <w:r w:rsidRPr="0082680A">
        <w:rPr>
          <w:lang w:val="en-GB"/>
        </w:rPr>
        <w:t xml:space="preserve"> see if the 5 TDP-43 disease genes within the module (</w:t>
      </w:r>
      <w:r w:rsidRPr="0082680A">
        <w:rPr>
          <w:i/>
          <w:lang w:val="en-GB"/>
        </w:rPr>
        <w:t>TBK1, TUBA4A, ELP3, ITPR2, &amp;</w:t>
      </w:r>
      <w:r>
        <w:rPr>
          <w:i/>
          <w:lang w:val="en-GB"/>
        </w:rPr>
        <w:t xml:space="preserve"> </w:t>
      </w:r>
      <w:r w:rsidRPr="0082680A">
        <w:rPr>
          <w:i/>
          <w:lang w:val="en-GB"/>
        </w:rPr>
        <w:t>GARS</w:t>
      </w:r>
      <w:r w:rsidRPr="0082680A">
        <w:rPr>
          <w:lang w:val="en-GB"/>
        </w:rPr>
        <w:t xml:space="preserve">) score, on average, significantly higher than a random set of 5 genes. For 100,000 permutations, 5 random scores from the prioritisation list were selected, the average was calculated, and the value stored in a vector. A P-value was calculated using </w:t>
      </w:r>
      <w:r w:rsidRPr="0082680A">
        <w:rPr>
          <w:lang w:val="en-GB"/>
        </w:rPr>
        <w:lastRenderedPageBreak/>
        <w:t xml:space="preserve">the frequency of permutations in which the mean random scores matched or exceeded the mean score of the 5 disease genes. </w:t>
      </w:r>
      <w:r w:rsidRPr="0082680A">
        <w:rPr>
          <w:color w:val="000000" w:themeColor="text1"/>
          <w:lang w:val="en-GB"/>
        </w:rPr>
        <w:t>Results indicated that the mean score of the 5 disease genes</w:t>
      </w:r>
      <w:r>
        <w:rPr>
          <w:color w:val="000000" w:themeColor="text1"/>
          <w:lang w:val="en-GB"/>
        </w:rPr>
        <w:t xml:space="preserve"> (10.8)</w:t>
      </w:r>
      <w:r w:rsidRPr="0082680A">
        <w:rPr>
          <w:color w:val="000000" w:themeColor="text1"/>
          <w:lang w:val="en-GB"/>
        </w:rPr>
        <w:t xml:space="preserve"> was significantly higher than expected by chance</w:t>
      </w:r>
      <w:r>
        <w:rPr>
          <w:color w:val="000000" w:themeColor="text1"/>
          <w:lang w:val="en-GB"/>
        </w:rPr>
        <w:t xml:space="preserve"> (expected mean = 6.262, expected range = 1.2:15.2, p = 0.0075)</w:t>
      </w:r>
      <w:r w:rsidRPr="0082680A">
        <w:rPr>
          <w:color w:val="000000" w:themeColor="text1"/>
          <w:lang w:val="en-GB"/>
        </w:rPr>
        <w:t>, suggesting that the prioritisation scoring system is accurately promoting true positives to higher scoring positions</w:t>
      </w:r>
      <w:r>
        <w:rPr>
          <w:color w:val="000000" w:themeColor="text1"/>
          <w:lang w:val="en-GB"/>
        </w:rPr>
        <w:t>.</w:t>
      </w:r>
    </w:p>
    <w:p w14:paraId="511D398B" w14:textId="77777777" w:rsidR="00855AF8" w:rsidRPr="0082680A" w:rsidRDefault="00855AF8" w:rsidP="00EB41E2">
      <w:pPr>
        <w:rPr>
          <w:lang w:val="en-GB"/>
        </w:rPr>
      </w:pPr>
    </w:p>
    <w:p w14:paraId="5620B64F" w14:textId="77777777" w:rsidR="00EB41E2" w:rsidRPr="0082680A" w:rsidRDefault="00EB41E2" w:rsidP="00842FD0">
      <w:pPr>
        <w:pStyle w:val="Heading4"/>
        <w:rPr>
          <w:lang w:val="en-GB"/>
        </w:rPr>
      </w:pPr>
      <w:bookmarkStart w:id="175" w:name="_buce63cxramk" w:colFirst="0" w:colLast="0"/>
      <w:bookmarkStart w:id="176" w:name="_Toc3211369"/>
      <w:bookmarkEnd w:id="175"/>
      <w:r w:rsidRPr="0082680A">
        <w:rPr>
          <w:lang w:val="en-GB"/>
        </w:rPr>
        <w:t>Summary</w:t>
      </w:r>
      <w:bookmarkEnd w:id="176"/>
    </w:p>
    <w:p w14:paraId="003257E6" w14:textId="4164E7BE" w:rsidR="00C47701" w:rsidRPr="0082680A" w:rsidRDefault="00A356EE" w:rsidP="00C47701">
      <w:pPr>
        <w:rPr>
          <w:lang w:val="en-GB"/>
        </w:rPr>
      </w:pPr>
      <w:r w:rsidRPr="0082680A">
        <w:rPr>
          <w:lang w:val="en-GB"/>
        </w:rPr>
        <w:t xml:space="preserve">The aim of this section was to provide a set of structured guidelines to support the target selection process. </w:t>
      </w:r>
      <w:r w:rsidR="00EB41E2" w:rsidRPr="0082680A">
        <w:rPr>
          <w:lang w:val="en-GB"/>
        </w:rPr>
        <w:t>Prioritisation is a notoriously challenging process. The steps that have been laid out in this section have not been empirically tested against other prioritisation methodologies, and do not aim to represent a new methodology</w:t>
      </w:r>
      <w:r w:rsidR="00086D4B" w:rsidRPr="0082680A">
        <w:rPr>
          <w:lang w:val="en-GB"/>
        </w:rPr>
        <w:t>, but have been shown to successfully rank true positives in highly-ranked positions</w:t>
      </w:r>
      <w:r w:rsidR="00EB41E2" w:rsidRPr="0082680A">
        <w:rPr>
          <w:lang w:val="en-GB"/>
        </w:rPr>
        <w:t xml:space="preserve">. </w:t>
      </w:r>
      <w:r w:rsidRPr="0082680A">
        <w:rPr>
          <w:lang w:val="en-GB"/>
        </w:rPr>
        <w:t>In depth assessment of the top 5 rankin</w:t>
      </w:r>
      <w:r w:rsidR="005B7EB0" w:rsidRPr="0082680A">
        <w:rPr>
          <w:lang w:val="en-GB"/>
        </w:rPr>
        <w:t>g genes revealed</w:t>
      </w:r>
      <w:r w:rsidRPr="0082680A">
        <w:rPr>
          <w:lang w:val="en-GB"/>
        </w:rPr>
        <w:t xml:space="preserve"> these top-scoring genes represent good candidates for </w:t>
      </w:r>
      <w:r w:rsidR="00155A1D" w:rsidRPr="0082680A">
        <w:rPr>
          <w:i/>
          <w:lang w:val="en-GB"/>
        </w:rPr>
        <w:t>in vitro</w:t>
      </w:r>
      <w:r w:rsidR="00155A1D" w:rsidRPr="0082680A">
        <w:rPr>
          <w:lang w:val="en-GB"/>
        </w:rPr>
        <w:t xml:space="preserve"> validation, either due to presence of LoF mutations, prediction of regulatory </w:t>
      </w:r>
      <w:r w:rsidR="005B7EB0" w:rsidRPr="0082680A">
        <w:rPr>
          <w:lang w:val="en-GB"/>
        </w:rPr>
        <w:t xml:space="preserve">roles in the network, or direct interactions with TDP-43.  </w:t>
      </w:r>
      <w:r w:rsidR="00EB41E2" w:rsidRPr="0082680A">
        <w:rPr>
          <w:lang w:val="en-GB"/>
        </w:rPr>
        <w:t xml:space="preserve"> </w:t>
      </w:r>
      <w:bookmarkStart w:id="177" w:name="_stb7r0d0sp0l" w:colFirst="0" w:colLast="0"/>
      <w:bookmarkEnd w:id="177"/>
    </w:p>
    <w:p w14:paraId="35935B3F" w14:textId="77777777" w:rsidR="00C47701" w:rsidRPr="0082680A" w:rsidRDefault="00C47701" w:rsidP="00C47701">
      <w:pPr>
        <w:rPr>
          <w:lang w:val="en-GB"/>
        </w:rPr>
      </w:pPr>
    </w:p>
    <w:p w14:paraId="1A6F85F5" w14:textId="77777777" w:rsidR="007A65BC" w:rsidRPr="0082680A" w:rsidRDefault="007A65BC">
      <w:pPr>
        <w:rPr>
          <w:rFonts w:ascii="Arial" w:eastAsia="Arial" w:hAnsi="Arial" w:cs="Arial"/>
          <w:sz w:val="36"/>
          <w:szCs w:val="32"/>
          <w:lang w:val="en-GB"/>
        </w:rPr>
      </w:pPr>
      <w:r w:rsidRPr="0082680A">
        <w:rPr>
          <w:lang w:val="en-GB"/>
        </w:rPr>
        <w:br w:type="page"/>
      </w:r>
    </w:p>
    <w:p w14:paraId="2FA7BA64" w14:textId="4C1C24EB" w:rsidR="00EB41E2" w:rsidRPr="00842FD0" w:rsidRDefault="00EB41E2" w:rsidP="00842FD0">
      <w:pPr>
        <w:pStyle w:val="Heading2"/>
      </w:pPr>
      <w:bookmarkStart w:id="178" w:name="_Toc3211370"/>
      <w:r w:rsidRPr="00842FD0">
        <w:lastRenderedPageBreak/>
        <w:t>Target Validation in vitro</w:t>
      </w:r>
      <w:bookmarkEnd w:id="178"/>
    </w:p>
    <w:p w14:paraId="6EC12462" w14:textId="419716A3" w:rsidR="00D10D4F" w:rsidRPr="00691215" w:rsidRDefault="00D10D4F" w:rsidP="00691215">
      <w:pPr>
        <w:pStyle w:val="Heading3"/>
      </w:pPr>
      <w:bookmarkStart w:id="179" w:name="_Toc3211371"/>
      <w:r w:rsidRPr="00691215">
        <w:t>Introduction</w:t>
      </w:r>
      <w:bookmarkEnd w:id="179"/>
    </w:p>
    <w:p w14:paraId="50A64A0C" w14:textId="5FAFBD1F" w:rsidR="00EB41E2" w:rsidRPr="0082680A" w:rsidRDefault="00EB41E2" w:rsidP="00EB41E2">
      <w:pPr>
        <w:rPr>
          <w:b/>
          <w:lang w:val="en-GB"/>
        </w:rPr>
      </w:pPr>
      <w:r w:rsidRPr="0082680A">
        <w:rPr>
          <w:b/>
          <w:lang w:val="en-GB"/>
        </w:rPr>
        <w:t xml:space="preserve">The results and images in this section have been shared </w:t>
      </w:r>
      <w:r w:rsidR="00B2371B" w:rsidRPr="0082680A">
        <w:rPr>
          <w:b/>
          <w:lang w:val="en-GB"/>
        </w:rPr>
        <w:t>through</w:t>
      </w:r>
      <w:r w:rsidRPr="0082680A">
        <w:rPr>
          <w:b/>
          <w:lang w:val="en-GB"/>
        </w:rPr>
        <w:t xml:space="preserve"> collaboration. All cell work and imaging </w:t>
      </w:r>
      <w:proofErr w:type="gramStart"/>
      <w:r w:rsidRPr="0082680A">
        <w:rPr>
          <w:b/>
          <w:lang w:val="en-GB"/>
        </w:rPr>
        <w:t>was</w:t>
      </w:r>
      <w:proofErr w:type="gramEnd"/>
      <w:r w:rsidRPr="0082680A">
        <w:rPr>
          <w:b/>
          <w:lang w:val="en-GB"/>
        </w:rPr>
        <w:t xml:space="preserve"> completed by Dr Kuchuan Chen under the supervision of Professor Clifford Woolf, Boston Children’s Hospital</w:t>
      </w:r>
      <w:r w:rsidR="008726F8" w:rsidRPr="0082680A">
        <w:rPr>
          <w:b/>
          <w:lang w:val="en-GB"/>
        </w:rPr>
        <w:t xml:space="preserve"> </w:t>
      </w:r>
      <w:r w:rsidR="0049645D" w:rsidRPr="0082680A">
        <w:rPr>
          <w:b/>
          <w:lang w:val="en-GB"/>
        </w:rPr>
        <w:t xml:space="preserve">and Harvard Medical School, </w:t>
      </w:r>
      <w:r w:rsidRPr="0082680A">
        <w:rPr>
          <w:b/>
          <w:lang w:val="en-GB"/>
        </w:rPr>
        <w:t xml:space="preserve">Boston, USA. </w:t>
      </w:r>
    </w:p>
    <w:p w14:paraId="38B16120" w14:textId="77777777" w:rsidR="006D2854" w:rsidRPr="0082680A" w:rsidRDefault="006D2854" w:rsidP="00EB41E2">
      <w:pPr>
        <w:rPr>
          <w:lang w:val="en-GB"/>
        </w:rPr>
      </w:pPr>
    </w:p>
    <w:p w14:paraId="16737F49" w14:textId="79C968D7" w:rsidR="00EB41E2" w:rsidRPr="0082680A" w:rsidRDefault="00EB41E2" w:rsidP="00EB41E2">
      <w:pPr>
        <w:rPr>
          <w:lang w:val="en-GB"/>
        </w:rPr>
      </w:pPr>
      <w:r w:rsidRPr="0082680A">
        <w:rPr>
          <w:lang w:val="en-GB"/>
        </w:rPr>
        <w:t xml:space="preserve">One of the most important objectives in this project was to not only develop a methodological pipeline to identify upstream targets, but to validate those discoveries </w:t>
      </w:r>
      <w:r w:rsidRPr="0082680A">
        <w:rPr>
          <w:i/>
          <w:lang w:val="en-GB"/>
        </w:rPr>
        <w:t>in vitro</w:t>
      </w:r>
      <w:r w:rsidRPr="0082680A">
        <w:rPr>
          <w:lang w:val="en-GB"/>
        </w:rPr>
        <w:t xml:space="preserve"> or </w:t>
      </w:r>
      <w:r w:rsidRPr="0082680A">
        <w:rPr>
          <w:i/>
          <w:lang w:val="en-GB"/>
        </w:rPr>
        <w:t xml:space="preserve">in vivo. </w:t>
      </w:r>
      <w:r w:rsidRPr="0082680A">
        <w:rPr>
          <w:lang w:val="en-GB"/>
        </w:rPr>
        <w:t xml:space="preserve">Through a collaboration with the Woolf Lab at Boston’s Children Hospital, the targets we selected via target prioritisation were assessed in a neuronal </w:t>
      </w:r>
      <w:r w:rsidR="00551146" w:rsidRPr="0082680A">
        <w:rPr>
          <w:lang w:val="en-GB"/>
        </w:rPr>
        <w:t>iPSC</w:t>
      </w:r>
      <w:r w:rsidRPr="0082680A">
        <w:rPr>
          <w:lang w:val="en-GB"/>
        </w:rPr>
        <w:t xml:space="preserve"> model. </w:t>
      </w:r>
    </w:p>
    <w:p w14:paraId="3EC7EA94" w14:textId="56D324FE" w:rsidR="000F4881" w:rsidRPr="0082680A" w:rsidRDefault="000F4881" w:rsidP="00EB41E2">
      <w:pPr>
        <w:rPr>
          <w:lang w:val="en-GB"/>
        </w:rPr>
      </w:pPr>
    </w:p>
    <w:p w14:paraId="55AE3142" w14:textId="386AE31E" w:rsidR="00D0571E" w:rsidRPr="0082680A" w:rsidRDefault="000F4881" w:rsidP="000F4881">
      <w:pPr>
        <w:rPr>
          <w:lang w:val="en-GB"/>
        </w:rPr>
      </w:pPr>
      <w:r w:rsidRPr="0082680A">
        <w:rPr>
          <w:lang w:val="en-GB"/>
        </w:rPr>
        <w:t xml:space="preserve">Four genes were </w:t>
      </w:r>
      <w:r w:rsidR="00DB0C2A" w:rsidRPr="0082680A">
        <w:rPr>
          <w:lang w:val="en-GB"/>
        </w:rPr>
        <w:t>selected for testing</w:t>
      </w:r>
      <w:r w:rsidRPr="0082680A">
        <w:rPr>
          <w:lang w:val="en-GB"/>
        </w:rPr>
        <w:t xml:space="preserve"> </w:t>
      </w:r>
      <w:r w:rsidRPr="0082680A">
        <w:rPr>
          <w:i/>
          <w:lang w:val="en-GB"/>
        </w:rPr>
        <w:t>in vitro</w:t>
      </w:r>
      <w:r w:rsidRPr="0082680A">
        <w:rPr>
          <w:lang w:val="en-GB"/>
        </w:rPr>
        <w:t xml:space="preserve"> to establish their relationship to TDP-43 pathology</w:t>
      </w:r>
      <w:r w:rsidR="0024696B" w:rsidRPr="0082680A">
        <w:rPr>
          <w:lang w:val="en-GB"/>
        </w:rPr>
        <w:t>; two as controls, and two as experimental</w:t>
      </w:r>
      <w:r w:rsidRPr="0082680A">
        <w:rPr>
          <w:lang w:val="en-GB"/>
        </w:rPr>
        <w:t xml:space="preserve">. </w:t>
      </w:r>
      <w:r w:rsidRPr="0082680A">
        <w:rPr>
          <w:i/>
          <w:lang w:val="en-GB"/>
        </w:rPr>
        <w:t>TBK1</w:t>
      </w:r>
      <w:r w:rsidR="009417AF" w:rsidRPr="0082680A">
        <w:rPr>
          <w:lang w:val="en-GB"/>
        </w:rPr>
        <w:t xml:space="preserve"> was selected as a positive control, as this gene has already been associated with risk for ALS</w:t>
      </w:r>
      <w:r w:rsidR="0024696B" w:rsidRPr="0082680A">
        <w:rPr>
          <w:lang w:val="en-GB"/>
        </w:rPr>
        <w:t>, therefore we expect to see some degree of neurodegenerative phenotype</w:t>
      </w:r>
      <w:r w:rsidR="009417AF" w:rsidRPr="0082680A">
        <w:rPr>
          <w:lang w:val="en-GB"/>
        </w:rPr>
        <w:t>.</w:t>
      </w:r>
      <w:r w:rsidR="0024696B" w:rsidRPr="0082680A">
        <w:rPr>
          <w:lang w:val="en-GB"/>
        </w:rPr>
        <w:t xml:space="preserve"> The </w:t>
      </w:r>
      <w:r w:rsidR="00990D21" w:rsidRPr="0082680A">
        <w:rPr>
          <w:lang w:val="en-GB"/>
        </w:rPr>
        <w:t>purpose of the second control was to identify a gene with a predicted genetic association with ALS, but little documentation to suggest a relationship with TDP-43</w:t>
      </w:r>
      <w:r w:rsidR="0050523A" w:rsidRPr="0082680A">
        <w:rPr>
          <w:lang w:val="en-GB"/>
        </w:rPr>
        <w:t>, and</w:t>
      </w:r>
      <w:r w:rsidR="00990D21" w:rsidRPr="0082680A">
        <w:rPr>
          <w:lang w:val="en-GB"/>
        </w:rPr>
        <w:t xml:space="preserve"> to establish the importance of contextual as well as genetic </w:t>
      </w:r>
      <w:r w:rsidR="00314EAF" w:rsidRPr="0082680A">
        <w:rPr>
          <w:lang w:val="en-GB"/>
        </w:rPr>
        <w:t xml:space="preserve">information in the selection of </w:t>
      </w:r>
      <w:r w:rsidR="00314EAF" w:rsidRPr="0082680A">
        <w:rPr>
          <w:i/>
          <w:lang w:val="en-GB"/>
        </w:rPr>
        <w:t>in vitro</w:t>
      </w:r>
      <w:r w:rsidR="00314EAF" w:rsidRPr="0082680A">
        <w:rPr>
          <w:lang w:val="en-GB"/>
        </w:rPr>
        <w:t xml:space="preserve"> candidates. Subsequently, we selected the gene </w:t>
      </w:r>
      <w:r w:rsidR="00314EAF" w:rsidRPr="0082680A">
        <w:rPr>
          <w:i/>
          <w:lang w:val="en-GB"/>
        </w:rPr>
        <w:t>EPS15</w:t>
      </w:r>
      <w:r w:rsidR="00314EAF" w:rsidRPr="0082680A">
        <w:rPr>
          <w:lang w:val="en-GB"/>
        </w:rPr>
        <w:t xml:space="preserve"> (Epidermal Growth Factor Receptor Pathway Substrate 15). EPS15 functions as a member of the EGFR pathway, and is therefore closely involved in cell cycle processes such as cell proliferation, survival, growth and development. As of yet, EPS15 has not been associated with TDP-43 mislocalisation or aggregation</w:t>
      </w:r>
      <w:r w:rsidR="003C6F92" w:rsidRPr="0082680A">
        <w:rPr>
          <w:lang w:val="en-GB"/>
        </w:rPr>
        <w:t xml:space="preserve">, subsequently we predict </w:t>
      </w:r>
      <w:r w:rsidR="003C6F92" w:rsidRPr="0082680A">
        <w:rPr>
          <w:i/>
          <w:lang w:val="en-GB"/>
        </w:rPr>
        <w:t>EPS15</w:t>
      </w:r>
      <w:r w:rsidR="003C6F92" w:rsidRPr="0082680A">
        <w:rPr>
          <w:lang w:val="en-GB"/>
        </w:rPr>
        <w:t xml:space="preserve"> knockdown will not produce a neurodegenerative phenotype. </w:t>
      </w:r>
      <w:r w:rsidR="00D0571E" w:rsidRPr="0082680A">
        <w:rPr>
          <w:lang w:val="en-GB"/>
        </w:rPr>
        <w:t xml:space="preserve"> </w:t>
      </w:r>
    </w:p>
    <w:p w14:paraId="411249BC" w14:textId="77777777" w:rsidR="00D0571E" w:rsidRPr="0082680A" w:rsidRDefault="00D0571E" w:rsidP="000F4881">
      <w:pPr>
        <w:rPr>
          <w:lang w:val="en-GB"/>
        </w:rPr>
      </w:pPr>
    </w:p>
    <w:p w14:paraId="20903332" w14:textId="19454AFE" w:rsidR="000F4881" w:rsidRPr="0082680A" w:rsidRDefault="003C6F92" w:rsidP="00EB41E2">
      <w:pPr>
        <w:rPr>
          <w:lang w:val="en-GB"/>
        </w:rPr>
      </w:pPr>
      <w:r w:rsidRPr="0082680A">
        <w:rPr>
          <w:lang w:val="en-GB"/>
        </w:rPr>
        <w:t xml:space="preserve">Our two experimental genes were the two top scoring novel genes; </w:t>
      </w:r>
      <w:r w:rsidR="009417AF" w:rsidRPr="0082680A">
        <w:rPr>
          <w:i/>
          <w:lang w:val="en-GB"/>
        </w:rPr>
        <w:t xml:space="preserve">YBX1 </w:t>
      </w:r>
      <w:r w:rsidR="009417AF" w:rsidRPr="0082680A">
        <w:rPr>
          <w:lang w:val="en-GB"/>
        </w:rPr>
        <w:t xml:space="preserve">and </w:t>
      </w:r>
      <w:r w:rsidR="000F4881" w:rsidRPr="0082680A">
        <w:rPr>
          <w:i/>
          <w:lang w:val="en-GB"/>
        </w:rPr>
        <w:t>DDX1</w:t>
      </w:r>
      <w:r w:rsidRPr="0082680A">
        <w:rPr>
          <w:lang w:val="en-GB"/>
        </w:rPr>
        <w:t xml:space="preserve">. </w:t>
      </w:r>
      <w:r w:rsidR="00D10D4F" w:rsidRPr="0082680A">
        <w:rPr>
          <w:i/>
          <w:lang w:val="en-GB"/>
        </w:rPr>
        <w:t xml:space="preserve">RANBP2 </w:t>
      </w:r>
      <w:r w:rsidR="00D10D4F" w:rsidRPr="0082680A">
        <w:rPr>
          <w:lang w:val="en-GB"/>
        </w:rPr>
        <w:t xml:space="preserve">and </w:t>
      </w:r>
      <w:r w:rsidR="00D10D4F" w:rsidRPr="0082680A">
        <w:rPr>
          <w:i/>
          <w:lang w:val="en-GB"/>
        </w:rPr>
        <w:t>HSPA9</w:t>
      </w:r>
      <w:r w:rsidR="00D10D4F" w:rsidRPr="0082680A">
        <w:rPr>
          <w:lang w:val="en-GB"/>
        </w:rPr>
        <w:t xml:space="preserve"> were both also considered, but due to limitations of resources were retained for later validation experiments. </w:t>
      </w:r>
      <w:r w:rsidRPr="0082680A">
        <w:rPr>
          <w:lang w:val="en-GB"/>
        </w:rPr>
        <w:t xml:space="preserve">Both </w:t>
      </w:r>
      <w:r w:rsidR="00D10D4F" w:rsidRPr="0082680A">
        <w:rPr>
          <w:i/>
          <w:lang w:val="en-GB"/>
        </w:rPr>
        <w:t xml:space="preserve">YBX1 </w:t>
      </w:r>
      <w:r w:rsidR="00D10D4F" w:rsidRPr="0082680A">
        <w:rPr>
          <w:lang w:val="en-GB"/>
        </w:rPr>
        <w:t xml:space="preserve">and </w:t>
      </w:r>
      <w:r w:rsidR="00D10D4F" w:rsidRPr="0082680A">
        <w:rPr>
          <w:i/>
          <w:lang w:val="en-GB"/>
        </w:rPr>
        <w:t>DDX1</w:t>
      </w:r>
      <w:r w:rsidRPr="0082680A">
        <w:rPr>
          <w:lang w:val="en-GB"/>
        </w:rPr>
        <w:t xml:space="preserve"> </w:t>
      </w:r>
      <w:r w:rsidR="00D723C8" w:rsidRPr="0082680A">
        <w:rPr>
          <w:lang w:val="en-GB"/>
        </w:rPr>
        <w:t>code for proteins which have been shown to directly bind to TDP-43</w:t>
      </w:r>
      <w:r w:rsidRPr="0082680A">
        <w:rPr>
          <w:lang w:val="en-GB"/>
        </w:rPr>
        <w:t>,</w:t>
      </w:r>
      <w:r w:rsidR="0082049A" w:rsidRPr="0082680A">
        <w:rPr>
          <w:lang w:val="en-GB"/>
        </w:rPr>
        <w:t xml:space="preserve"> contain predicted LoF mutations in ALS patients, and</w:t>
      </w:r>
      <w:r w:rsidR="002F6692" w:rsidRPr="0082680A">
        <w:rPr>
          <w:lang w:val="en-GB"/>
        </w:rPr>
        <w:t xml:space="preserve"> were</w:t>
      </w:r>
      <w:r w:rsidR="0082049A" w:rsidRPr="0082680A">
        <w:rPr>
          <w:lang w:val="en-GB"/>
        </w:rPr>
        <w:t xml:space="preserve"> </w:t>
      </w:r>
      <w:r w:rsidR="002F6692" w:rsidRPr="0082680A">
        <w:rPr>
          <w:lang w:val="en-GB"/>
        </w:rPr>
        <w:t>scored relatively highly by Endeavour.</w:t>
      </w:r>
      <w:r w:rsidR="0082049A" w:rsidRPr="0082680A">
        <w:rPr>
          <w:lang w:val="en-GB"/>
        </w:rPr>
        <w:t xml:space="preserve"> </w:t>
      </w:r>
      <w:r w:rsidR="002F6692" w:rsidRPr="0082680A">
        <w:rPr>
          <w:lang w:val="en-GB"/>
        </w:rPr>
        <w:t xml:space="preserve">Additionally, </w:t>
      </w:r>
      <w:r w:rsidR="0082049A" w:rsidRPr="0082680A">
        <w:rPr>
          <w:i/>
          <w:lang w:val="en-GB"/>
        </w:rPr>
        <w:t xml:space="preserve">YBX1 </w:t>
      </w:r>
      <w:r w:rsidR="00750B75" w:rsidRPr="0082680A">
        <w:rPr>
          <w:lang w:val="en-GB"/>
        </w:rPr>
        <w:t>was ranked 9</w:t>
      </w:r>
      <w:r w:rsidR="00750B75" w:rsidRPr="0082680A">
        <w:rPr>
          <w:vertAlign w:val="superscript"/>
          <w:lang w:val="en-GB"/>
        </w:rPr>
        <w:t>th</w:t>
      </w:r>
      <w:r w:rsidR="00750B75" w:rsidRPr="0082680A">
        <w:rPr>
          <w:lang w:val="en-GB"/>
        </w:rPr>
        <w:t xml:space="preserve"> most likely master regulator of the network by GeneXplain, </w:t>
      </w:r>
      <w:r w:rsidR="008F50A2" w:rsidRPr="0082680A">
        <w:rPr>
          <w:lang w:val="en-GB"/>
        </w:rPr>
        <w:t>out of a total of 145 molecules.</w:t>
      </w:r>
      <w:r w:rsidRPr="0082680A">
        <w:rPr>
          <w:lang w:val="en-GB"/>
        </w:rPr>
        <w:t xml:space="preserve"> </w:t>
      </w:r>
      <w:r w:rsidR="00733440" w:rsidRPr="0082680A">
        <w:rPr>
          <w:lang w:val="en-GB"/>
        </w:rPr>
        <w:t>As these genes’ relationships with TDP-43 dysfunction are completely novel, we have no way of predicting the likely effect of their knockdown. Measures we are interested in are rate of cell death (to represent neurodegeneration), localisation of TDP-</w:t>
      </w:r>
      <w:r w:rsidR="00733440" w:rsidRPr="0082680A">
        <w:rPr>
          <w:lang w:val="en-GB"/>
        </w:rPr>
        <w:lastRenderedPageBreak/>
        <w:t>43 protein (to indicate loss of nuclear/gain of cytoplasmic TDP-43</w:t>
      </w:r>
      <w:proofErr w:type="gramStart"/>
      <w:r w:rsidR="00733440" w:rsidRPr="0082680A">
        <w:rPr>
          <w:lang w:val="en-GB"/>
        </w:rPr>
        <w:t>), and</w:t>
      </w:r>
      <w:proofErr w:type="gramEnd"/>
      <w:r w:rsidR="00733440" w:rsidRPr="0082680A">
        <w:rPr>
          <w:lang w:val="en-GB"/>
        </w:rPr>
        <w:t xml:space="preserve"> staining for TDP-43 aggregations. </w:t>
      </w:r>
    </w:p>
    <w:p w14:paraId="67E6CD96" w14:textId="77777777" w:rsidR="00EB41E2" w:rsidRPr="00691215" w:rsidRDefault="00EB41E2" w:rsidP="00691215">
      <w:pPr>
        <w:pStyle w:val="Heading3"/>
      </w:pPr>
      <w:bookmarkStart w:id="180" w:name="_b3b9n2j862cs" w:colFirst="0" w:colLast="0"/>
      <w:bookmarkStart w:id="181" w:name="_Toc3211372"/>
      <w:bookmarkEnd w:id="180"/>
      <w:r w:rsidRPr="00691215">
        <w:t>Methods</w:t>
      </w:r>
      <w:bookmarkEnd w:id="181"/>
    </w:p>
    <w:p w14:paraId="1C69EAEE" w14:textId="77777777" w:rsidR="00EB41E2" w:rsidRPr="0082680A" w:rsidRDefault="00EB41E2" w:rsidP="00842FD0">
      <w:pPr>
        <w:pStyle w:val="Heading4"/>
        <w:rPr>
          <w:lang w:val="en-GB"/>
        </w:rPr>
      </w:pPr>
      <w:bookmarkStart w:id="182" w:name="_y8g08e51vsbd" w:colFirst="0" w:colLast="0"/>
      <w:bookmarkStart w:id="183" w:name="_Toc3211373"/>
      <w:bookmarkEnd w:id="182"/>
      <w:r w:rsidRPr="0082680A">
        <w:rPr>
          <w:lang w:val="en-GB"/>
        </w:rPr>
        <w:t>Stem cell culture</w:t>
      </w:r>
      <w:bookmarkEnd w:id="183"/>
    </w:p>
    <w:p w14:paraId="26667478" w14:textId="77777777" w:rsidR="00EB41E2" w:rsidRPr="0082680A" w:rsidRDefault="00EB41E2" w:rsidP="00EB41E2">
      <w:pPr>
        <w:rPr>
          <w:lang w:val="en-GB"/>
        </w:rPr>
      </w:pPr>
      <w:r w:rsidRPr="0082680A">
        <w:rPr>
          <w:lang w:val="en-GB"/>
        </w:rPr>
        <w:t xml:space="preserve">SAH iPSC line (gift from Mustafa </w:t>
      </w:r>
      <w:proofErr w:type="spellStart"/>
      <w:r w:rsidRPr="0082680A">
        <w:rPr>
          <w:lang w:val="en-GB"/>
        </w:rPr>
        <w:t>Sahin</w:t>
      </w:r>
      <w:proofErr w:type="spellEnd"/>
      <w:r w:rsidRPr="0082680A">
        <w:rPr>
          <w:lang w:val="en-GB"/>
        </w:rPr>
        <w:t xml:space="preserve">) were maintained on Matrigel (BD Biosciences) with </w:t>
      </w:r>
      <w:proofErr w:type="spellStart"/>
      <w:r w:rsidRPr="0082680A">
        <w:rPr>
          <w:lang w:val="en-GB"/>
        </w:rPr>
        <w:t>StemFlex</w:t>
      </w:r>
      <w:proofErr w:type="spellEnd"/>
      <w:r w:rsidRPr="0082680A">
        <w:rPr>
          <w:lang w:val="en-GB"/>
        </w:rPr>
        <w:t>™ Medium (</w:t>
      </w:r>
      <w:proofErr w:type="spellStart"/>
      <w:r w:rsidRPr="0082680A">
        <w:rPr>
          <w:lang w:val="en-GB"/>
        </w:rPr>
        <w:t>Thermo</w:t>
      </w:r>
      <w:proofErr w:type="spellEnd"/>
      <w:r w:rsidRPr="0082680A">
        <w:rPr>
          <w:lang w:val="en-GB"/>
        </w:rPr>
        <w:t xml:space="preserve"> Fisher Scientific) and passaged by </w:t>
      </w:r>
      <w:proofErr w:type="spellStart"/>
      <w:r w:rsidRPr="0082680A">
        <w:rPr>
          <w:lang w:val="en-GB"/>
        </w:rPr>
        <w:t>accutase</w:t>
      </w:r>
      <w:proofErr w:type="spellEnd"/>
      <w:r w:rsidRPr="0082680A">
        <w:rPr>
          <w:lang w:val="en-GB"/>
        </w:rPr>
        <w:t xml:space="preserve"> (Innovative Cell Technologies). All cell cultures were maintained at 37°C, 5% CO</w:t>
      </w:r>
      <w:r w:rsidRPr="0082680A">
        <w:rPr>
          <w:vertAlign w:val="subscript"/>
          <w:lang w:val="en-GB"/>
        </w:rPr>
        <w:t>2</w:t>
      </w:r>
      <w:r w:rsidRPr="0082680A">
        <w:rPr>
          <w:lang w:val="en-GB"/>
        </w:rPr>
        <w:t>.</w:t>
      </w:r>
    </w:p>
    <w:p w14:paraId="438EE86D" w14:textId="77777777" w:rsidR="00EB41E2" w:rsidRPr="0082680A" w:rsidRDefault="00EB41E2" w:rsidP="00842FD0">
      <w:pPr>
        <w:pStyle w:val="Heading4"/>
        <w:rPr>
          <w:lang w:val="en-GB"/>
        </w:rPr>
      </w:pPr>
      <w:bookmarkStart w:id="184" w:name="_xjwwds6c8mke" w:colFirst="0" w:colLast="0"/>
      <w:bookmarkStart w:id="185" w:name="_Toc3211374"/>
      <w:bookmarkEnd w:id="184"/>
      <w:r w:rsidRPr="0082680A">
        <w:rPr>
          <w:lang w:val="en-GB"/>
        </w:rPr>
        <w:t>Motor neuron differentiation</w:t>
      </w:r>
      <w:bookmarkEnd w:id="185"/>
    </w:p>
    <w:p w14:paraId="5C77665A" w14:textId="39278DF2" w:rsidR="00EB41E2" w:rsidRPr="0082680A" w:rsidRDefault="00EB41E2" w:rsidP="00EB41E2">
      <w:pPr>
        <w:rPr>
          <w:lang w:val="en-GB"/>
        </w:rPr>
      </w:pPr>
      <w:r w:rsidRPr="0082680A">
        <w:rPr>
          <w:lang w:val="en-GB"/>
        </w:rPr>
        <w:t>Human spinal motor neurons were differentiated from SAH iPSC using dual-</w:t>
      </w:r>
      <w:proofErr w:type="spellStart"/>
      <w:r w:rsidRPr="0082680A">
        <w:rPr>
          <w:lang w:val="en-GB"/>
        </w:rPr>
        <w:t>smad</w:t>
      </w:r>
      <w:proofErr w:type="spellEnd"/>
      <w:r w:rsidRPr="0082680A">
        <w:rPr>
          <w:lang w:val="en-GB"/>
        </w:rPr>
        <w:t xml:space="preserve"> small compounds protocol as previously described </w:t>
      </w:r>
      <w:r w:rsidR="00551146" w:rsidRPr="0082680A">
        <w:rPr>
          <w:lang w:val="en-GB"/>
        </w:rPr>
        <w:fldChar w:fldCharType="begin" w:fldLock="1"/>
      </w:r>
      <w:r w:rsidR="000507BA">
        <w:rPr>
          <w:lang w:val="en-GB"/>
        </w:rPr>
        <w:instrText>ADDIN CSL_CITATION {"citationItems":[{"id":"ITEM-1","itemData":{"DOI":"10.1038/ncomms7626","ISSN":"2041-1723","PMID":"25806427","abstract":"Human pluripotent stem cells (hPSCs) have opened new opportunities for understanding human development, modelling disease processes and developing new therapeutics. However, these applications are hindered by the low efficiency and heterogeneity of cell types, such as motorneurons (MNs), differentiated from hPSCs as well as our inability to maintain the potency of lineage-committed progenitors. Here by using a combination of small molecules that regulate multiple signalling pathways, we develop a method to guide human embryonic stem cells to a near-pure population (&gt;95%) of motor neuron progenitors (MNPs) in 12 days, and an enriched population (&gt;90%) of functionally mature MNs in an additional 16 days. More importantly, the MNPs can be expanded for at least five passages so that a single MNP can be amplified to 1 × 10(4). This method is reproducible in human-induced pluripotent stem cells and is applied to model MN-degenerative diseases and in proof-of-principle drug-screening assays.","author":[{"dropping-particle":"","family":"Du","given":"Zhong-Wei","non-dropping-particle":"","parse-names":false,"suffix":""},{"dropping-particle":"","family":"Chen","given":"Hong","non-dropping-particle":"","parse-names":false,"suffix":""},{"dropping-particle":"","family":"Liu","given":"Huisheng","non-dropping-particle":"","parse-names":false,"suffix":""},{"dropping-particle":"","family":"Lu","given":"Jianfeng","non-dropping-particle":"","parse-names":false,"suffix":""},{"dropping-particle":"","family":"Qian","given":"Kun","non-dropping-particle":"","parse-names":false,"suffix":""},{"dropping-particle":"","family":"Huang","given":"CindyTzu-Ling","non-dropping-particle":"","parse-names":false,"suffix":""},{"dropping-particle":"","family":"Zhong","given":"Xiaofen","non-dropping-particle":"","parse-names":false,"suffix":""},{"dropping-particle":"","family":"Fan","given":"Frank","non-dropping-particle":"","parse-names":false,"suffix":""},{"dropping-particle":"","family":"Zhang","given":"Su-Chun","non-dropping-particle":"","parse-names":false,"suffix":""}],"container-title":"Nature communications","id":"ITEM-1","issued":{"date-parts":[["2015","3","25"]]},"page":"6626","publisher":"NIH Public Access","title":"Generation and expansion of highly pure motor neuron progenitors from human pluripotent stem cells.","type":"article-journal","volume":"6"},"uris":["http://www.mendeley.com/documents/?uuid=1953f959-1415-3286-9eaa-acf158fc36b8"]}],"mendeley":{"formattedCitation":"&lt;sup&gt;188&lt;/sup&gt;","plainTextFormattedCitation":"188","previouslyFormattedCitation":"&lt;sup&gt;188&lt;/sup&gt;"},"properties":{"noteIndex":0},"schema":"https://github.com/citation-style-language/schema/raw/master/csl-citation.json"}</w:instrText>
      </w:r>
      <w:r w:rsidR="00551146" w:rsidRPr="0082680A">
        <w:rPr>
          <w:lang w:val="en-GB"/>
        </w:rPr>
        <w:fldChar w:fldCharType="separate"/>
      </w:r>
      <w:r w:rsidR="00426B19" w:rsidRPr="00426B19">
        <w:rPr>
          <w:noProof/>
          <w:vertAlign w:val="superscript"/>
          <w:lang w:val="en-GB"/>
        </w:rPr>
        <w:t>188</w:t>
      </w:r>
      <w:r w:rsidR="00551146" w:rsidRPr="0082680A">
        <w:rPr>
          <w:lang w:val="en-GB"/>
        </w:rPr>
        <w:fldChar w:fldCharType="end"/>
      </w:r>
      <w:r w:rsidRPr="0082680A">
        <w:rPr>
          <w:lang w:val="en-GB"/>
        </w:rPr>
        <w:t xml:space="preserve">. Briefly, iPSC colonies were dissociated to single cells with </w:t>
      </w:r>
      <w:proofErr w:type="spellStart"/>
      <w:r w:rsidRPr="0082680A">
        <w:rPr>
          <w:lang w:val="en-GB"/>
        </w:rPr>
        <w:t>accutase</w:t>
      </w:r>
      <w:proofErr w:type="spellEnd"/>
      <w:r w:rsidRPr="0082680A">
        <w:rPr>
          <w:lang w:val="en-GB"/>
        </w:rPr>
        <w:t xml:space="preserve"> and 1.5 million cells were plated into the </w:t>
      </w:r>
      <w:proofErr w:type="spellStart"/>
      <w:r w:rsidRPr="0082680A">
        <w:rPr>
          <w:lang w:val="en-GB"/>
        </w:rPr>
        <w:t>matrigel</w:t>
      </w:r>
      <w:proofErr w:type="spellEnd"/>
      <w:r w:rsidRPr="0082680A">
        <w:rPr>
          <w:lang w:val="en-GB"/>
        </w:rPr>
        <w:t xml:space="preserve"> coated dish with </w:t>
      </w:r>
      <w:proofErr w:type="spellStart"/>
      <w:r w:rsidRPr="0082680A">
        <w:rPr>
          <w:lang w:val="en-GB"/>
        </w:rPr>
        <w:t>StemFlex</w:t>
      </w:r>
      <w:proofErr w:type="spellEnd"/>
      <w:r w:rsidRPr="0082680A">
        <w:rPr>
          <w:lang w:val="en-GB"/>
        </w:rPr>
        <w:t xml:space="preserve">™ Medium and 10 </w:t>
      </w:r>
      <w:proofErr w:type="spellStart"/>
      <w:r w:rsidRPr="0082680A">
        <w:rPr>
          <w:lang w:val="en-GB"/>
        </w:rPr>
        <w:t>μM</w:t>
      </w:r>
      <w:proofErr w:type="spellEnd"/>
      <w:r w:rsidRPr="0082680A">
        <w:rPr>
          <w:lang w:val="en-GB"/>
        </w:rPr>
        <w:t xml:space="preserve"> ROCK inhibitor (Sigma) for 48 hrs. Cells were then cultured with neural induction medium 235 ml DMEM/F12 (Life Technologies), 235 ml Neurobasal A (Li</w:t>
      </w:r>
      <w:r w:rsidR="00C47701" w:rsidRPr="0082680A">
        <w:rPr>
          <w:lang w:val="en-GB"/>
        </w:rPr>
        <w:t>fe Technologies), 5 ml MEM Non-</w:t>
      </w:r>
      <w:r w:rsidRPr="0082680A">
        <w:rPr>
          <w:lang w:val="en-GB"/>
        </w:rPr>
        <w:t>Essential Amino Acids Solution (</w:t>
      </w:r>
      <w:proofErr w:type="spellStart"/>
      <w:r w:rsidRPr="0082680A">
        <w:rPr>
          <w:lang w:val="en-GB"/>
        </w:rPr>
        <w:t>Thermo</w:t>
      </w:r>
      <w:proofErr w:type="spellEnd"/>
      <w:r w:rsidRPr="0082680A">
        <w:rPr>
          <w:lang w:val="en-GB"/>
        </w:rPr>
        <w:t xml:space="preserve"> Fisher Scientific), 5 ml </w:t>
      </w:r>
      <w:proofErr w:type="spellStart"/>
      <w:r w:rsidRPr="0082680A">
        <w:rPr>
          <w:lang w:val="en-GB"/>
        </w:rPr>
        <w:t>Penicilin</w:t>
      </w:r>
      <w:proofErr w:type="spellEnd"/>
      <w:r w:rsidRPr="0082680A">
        <w:rPr>
          <w:lang w:val="en-GB"/>
        </w:rPr>
        <w:t xml:space="preserve">/Streptomycin (Life Technologies), 5 ml </w:t>
      </w:r>
      <w:proofErr w:type="spellStart"/>
      <w:r w:rsidRPr="0082680A">
        <w:rPr>
          <w:lang w:val="en-GB"/>
        </w:rPr>
        <w:t>GlutaMAX</w:t>
      </w:r>
      <w:proofErr w:type="spellEnd"/>
      <w:r w:rsidRPr="0082680A">
        <w:rPr>
          <w:lang w:val="en-GB"/>
        </w:rPr>
        <w:t xml:space="preserve"> (</w:t>
      </w:r>
      <w:proofErr w:type="spellStart"/>
      <w:r w:rsidRPr="0082680A">
        <w:rPr>
          <w:lang w:val="en-GB"/>
        </w:rPr>
        <w:t>Thermo</w:t>
      </w:r>
      <w:proofErr w:type="spellEnd"/>
      <w:r w:rsidRPr="0082680A">
        <w:rPr>
          <w:lang w:val="en-GB"/>
        </w:rPr>
        <w:t xml:space="preserve"> Fisher Scientific), 5 ml N-2 Supplement (</w:t>
      </w:r>
      <w:proofErr w:type="spellStart"/>
      <w:r w:rsidRPr="0082680A">
        <w:rPr>
          <w:lang w:val="en-GB"/>
        </w:rPr>
        <w:t>Thermo</w:t>
      </w:r>
      <w:proofErr w:type="spellEnd"/>
      <w:r w:rsidRPr="0082680A">
        <w:rPr>
          <w:lang w:val="en-GB"/>
        </w:rPr>
        <w:t xml:space="preserve"> Fisher Scientific), 10 ml B27 (Life Technologies) on days 1–28. Cells were treated with small molecules as follows: on days 1-6, Ascorbic Acid (0.1 </w:t>
      </w:r>
      <w:proofErr w:type="spellStart"/>
      <w:r w:rsidRPr="0082680A">
        <w:rPr>
          <w:lang w:val="en-GB"/>
        </w:rPr>
        <w:t>mM</w:t>
      </w:r>
      <w:proofErr w:type="spellEnd"/>
      <w:r w:rsidRPr="0082680A">
        <w:rPr>
          <w:lang w:val="en-GB"/>
        </w:rPr>
        <w:t xml:space="preserve">, Sigma), CHIR99021 (3 µM, Sigma), DMH-1 (20 µM, </w:t>
      </w:r>
      <w:proofErr w:type="spellStart"/>
      <w:r w:rsidRPr="0082680A">
        <w:rPr>
          <w:lang w:val="en-GB"/>
        </w:rPr>
        <w:t>Tocris</w:t>
      </w:r>
      <w:proofErr w:type="spellEnd"/>
      <w:r w:rsidRPr="0082680A">
        <w:rPr>
          <w:lang w:val="en-GB"/>
        </w:rPr>
        <w:t xml:space="preserve">), and SB431542 (20 µM, </w:t>
      </w:r>
      <w:proofErr w:type="spellStart"/>
      <w:r w:rsidRPr="0082680A">
        <w:rPr>
          <w:lang w:val="en-GB"/>
        </w:rPr>
        <w:t>cayman</w:t>
      </w:r>
      <w:proofErr w:type="spellEnd"/>
      <w:r w:rsidRPr="0082680A">
        <w:rPr>
          <w:lang w:val="en-GB"/>
        </w:rPr>
        <w:t xml:space="preserve"> chemical); on days 7-12, Ascorbic Acid (0.1 </w:t>
      </w:r>
      <w:proofErr w:type="spellStart"/>
      <w:r w:rsidRPr="0082680A">
        <w:rPr>
          <w:lang w:val="en-GB"/>
        </w:rPr>
        <w:t>mM</w:t>
      </w:r>
      <w:proofErr w:type="spellEnd"/>
      <w:r w:rsidRPr="0082680A">
        <w:rPr>
          <w:lang w:val="en-GB"/>
        </w:rPr>
        <w:t xml:space="preserve">), </w:t>
      </w:r>
      <w:proofErr w:type="spellStart"/>
      <w:r w:rsidRPr="0082680A">
        <w:rPr>
          <w:lang w:val="en-GB"/>
        </w:rPr>
        <w:t>Purmorphamine</w:t>
      </w:r>
      <w:proofErr w:type="spellEnd"/>
      <w:r w:rsidRPr="0082680A">
        <w:rPr>
          <w:lang w:val="en-GB"/>
        </w:rPr>
        <w:t xml:space="preserve"> (0.5 µM, Sigma), CHIR99021 (1 µM), DMH-1 (20µM), SB431542 (20 µM), retinoic acid (0.1 µM, Sigma); on days 13-18, Ascorbic Acid (0.1 </w:t>
      </w:r>
      <w:proofErr w:type="spellStart"/>
      <w:r w:rsidRPr="0082680A">
        <w:rPr>
          <w:lang w:val="en-GB"/>
        </w:rPr>
        <w:t>mM</w:t>
      </w:r>
      <w:proofErr w:type="spellEnd"/>
      <w:r w:rsidRPr="0082680A">
        <w:rPr>
          <w:lang w:val="en-GB"/>
        </w:rPr>
        <w:t xml:space="preserve">), retinoic acid (0.5 µM), </w:t>
      </w:r>
      <w:proofErr w:type="spellStart"/>
      <w:r w:rsidRPr="0082680A">
        <w:rPr>
          <w:lang w:val="en-GB"/>
        </w:rPr>
        <w:t>Purmorphamine</w:t>
      </w:r>
      <w:proofErr w:type="spellEnd"/>
      <w:r w:rsidRPr="0082680A">
        <w:rPr>
          <w:lang w:val="en-GB"/>
        </w:rPr>
        <w:t xml:space="preserve"> (0.1 µM), on days 19-28, Ascorbic Acid (0.1 </w:t>
      </w:r>
      <w:proofErr w:type="spellStart"/>
      <w:r w:rsidRPr="0082680A">
        <w:rPr>
          <w:lang w:val="en-GB"/>
        </w:rPr>
        <w:t>mM</w:t>
      </w:r>
      <w:proofErr w:type="spellEnd"/>
      <w:r w:rsidRPr="0082680A">
        <w:rPr>
          <w:lang w:val="en-GB"/>
        </w:rPr>
        <w:t xml:space="preserve">), retinoic acid (0.5 µM), </w:t>
      </w:r>
      <w:proofErr w:type="spellStart"/>
      <w:r w:rsidRPr="0082680A">
        <w:rPr>
          <w:lang w:val="en-GB"/>
        </w:rPr>
        <w:t>Purmorphamine</w:t>
      </w:r>
      <w:proofErr w:type="spellEnd"/>
      <w:r w:rsidRPr="0082680A">
        <w:rPr>
          <w:lang w:val="en-GB"/>
        </w:rPr>
        <w:t xml:space="preserve"> (0.1 µM), Compound E (0.1 µM, EMD Millipore). In every stage the cells were split by </w:t>
      </w:r>
      <w:proofErr w:type="spellStart"/>
      <w:r w:rsidRPr="0082680A">
        <w:rPr>
          <w:lang w:val="en-GB"/>
        </w:rPr>
        <w:t>accutase</w:t>
      </w:r>
      <w:proofErr w:type="spellEnd"/>
      <w:r w:rsidRPr="0082680A">
        <w:rPr>
          <w:lang w:val="en-GB"/>
        </w:rPr>
        <w:t xml:space="preserve"> in 1:6 ratio and </w:t>
      </w:r>
      <w:proofErr w:type="spellStart"/>
      <w:r w:rsidRPr="0082680A">
        <w:rPr>
          <w:lang w:val="en-GB"/>
        </w:rPr>
        <w:t>replated</w:t>
      </w:r>
      <w:proofErr w:type="spellEnd"/>
      <w:r w:rsidRPr="0082680A">
        <w:rPr>
          <w:lang w:val="en-GB"/>
        </w:rPr>
        <w:t xml:space="preserve"> into </w:t>
      </w:r>
      <w:proofErr w:type="spellStart"/>
      <w:r w:rsidRPr="0082680A">
        <w:rPr>
          <w:lang w:val="en-GB"/>
        </w:rPr>
        <w:t>matrigel</w:t>
      </w:r>
      <w:proofErr w:type="spellEnd"/>
      <w:r w:rsidRPr="0082680A">
        <w:rPr>
          <w:lang w:val="en-GB"/>
        </w:rPr>
        <w:t xml:space="preserve"> coated dish. After differentiation, motor neurons were plated into wells coated with Poly-D-Lysine/laminin and cu</w:t>
      </w:r>
      <w:r w:rsidR="00C47701" w:rsidRPr="0082680A">
        <w:rPr>
          <w:lang w:val="en-GB"/>
        </w:rPr>
        <w:t xml:space="preserve">ltured with motor neuron medium </w:t>
      </w:r>
      <w:r w:rsidRPr="0082680A">
        <w:rPr>
          <w:lang w:val="en-GB"/>
        </w:rPr>
        <w:t>(</w:t>
      </w:r>
      <w:proofErr w:type="spellStart"/>
      <w:r w:rsidRPr="0082680A">
        <w:rPr>
          <w:lang w:val="en-GB"/>
        </w:rPr>
        <w:t>Sciencell</w:t>
      </w:r>
      <w:proofErr w:type="spellEnd"/>
      <w:r w:rsidRPr="0082680A">
        <w:rPr>
          <w:lang w:val="en-GB"/>
        </w:rPr>
        <w:t xml:space="preserve">) with cAMP (200 µM, Sigma), hNT-3 (10 ng/ml, </w:t>
      </w:r>
      <w:proofErr w:type="spellStart"/>
      <w:r w:rsidRPr="0082680A">
        <w:rPr>
          <w:lang w:val="en-GB"/>
        </w:rPr>
        <w:t>Thermo</w:t>
      </w:r>
      <w:proofErr w:type="spellEnd"/>
      <w:r w:rsidRPr="0082680A">
        <w:rPr>
          <w:lang w:val="en-GB"/>
        </w:rPr>
        <w:t xml:space="preserve"> Fisher Scientific), </w:t>
      </w:r>
      <w:proofErr w:type="spellStart"/>
      <w:r w:rsidRPr="0082680A">
        <w:rPr>
          <w:lang w:val="en-GB"/>
        </w:rPr>
        <w:t>hBDNF</w:t>
      </w:r>
      <w:proofErr w:type="spellEnd"/>
      <w:r w:rsidRPr="0082680A">
        <w:rPr>
          <w:lang w:val="en-GB"/>
        </w:rPr>
        <w:t xml:space="preserve"> (10 ng/ml, Life Technologies), </w:t>
      </w:r>
      <w:proofErr w:type="spellStart"/>
      <w:r w:rsidRPr="0082680A">
        <w:rPr>
          <w:lang w:val="en-GB"/>
        </w:rPr>
        <w:t>hGDNF</w:t>
      </w:r>
      <w:proofErr w:type="spellEnd"/>
      <w:r w:rsidRPr="0082680A">
        <w:rPr>
          <w:lang w:val="en-GB"/>
        </w:rPr>
        <w:t xml:space="preserve"> (10 ng/ml, </w:t>
      </w:r>
      <w:proofErr w:type="spellStart"/>
      <w:r w:rsidRPr="0082680A">
        <w:rPr>
          <w:lang w:val="en-GB"/>
        </w:rPr>
        <w:t>Thermo</w:t>
      </w:r>
      <w:proofErr w:type="spellEnd"/>
      <w:r w:rsidRPr="0082680A">
        <w:rPr>
          <w:lang w:val="en-GB"/>
        </w:rPr>
        <w:t xml:space="preserve"> Fisher Scientific), </w:t>
      </w:r>
      <w:proofErr w:type="spellStart"/>
      <w:r w:rsidRPr="0082680A">
        <w:rPr>
          <w:lang w:val="en-GB"/>
        </w:rPr>
        <w:t>hCNTF</w:t>
      </w:r>
      <w:proofErr w:type="spellEnd"/>
      <w:r w:rsidRPr="0082680A">
        <w:rPr>
          <w:lang w:val="en-GB"/>
        </w:rPr>
        <w:t xml:space="preserve"> (10 ng/ml, </w:t>
      </w:r>
      <w:proofErr w:type="spellStart"/>
      <w:r w:rsidRPr="0082680A">
        <w:rPr>
          <w:lang w:val="en-GB"/>
        </w:rPr>
        <w:t>Thermo</w:t>
      </w:r>
      <w:proofErr w:type="spellEnd"/>
      <w:r w:rsidRPr="0082680A">
        <w:rPr>
          <w:lang w:val="en-GB"/>
        </w:rPr>
        <w:t xml:space="preserve"> Fisher Scientific).</w:t>
      </w:r>
    </w:p>
    <w:p w14:paraId="6B9E72D8" w14:textId="77777777" w:rsidR="00EB41E2" w:rsidRPr="0082680A" w:rsidRDefault="00EB41E2" w:rsidP="00842FD0">
      <w:pPr>
        <w:pStyle w:val="Heading4"/>
        <w:rPr>
          <w:lang w:val="en-GB"/>
        </w:rPr>
      </w:pPr>
      <w:bookmarkStart w:id="186" w:name="_pq3tqeomgqkt" w:colFirst="0" w:colLast="0"/>
      <w:bookmarkStart w:id="187" w:name="_Toc3211375"/>
      <w:bookmarkEnd w:id="186"/>
      <w:r w:rsidRPr="0082680A">
        <w:rPr>
          <w:lang w:val="en-GB"/>
        </w:rPr>
        <w:t>shRNA Knockdown</w:t>
      </w:r>
      <w:bookmarkEnd w:id="187"/>
    </w:p>
    <w:p w14:paraId="38A8B4BE" w14:textId="747978FF" w:rsidR="00EB41E2" w:rsidRPr="0082680A" w:rsidRDefault="00EB41E2" w:rsidP="00EB41E2">
      <w:pPr>
        <w:rPr>
          <w:lang w:val="en-GB"/>
        </w:rPr>
      </w:pPr>
      <w:r w:rsidRPr="0082680A">
        <w:rPr>
          <w:i/>
          <w:lang w:val="en-GB"/>
        </w:rPr>
        <w:t>TBK1</w:t>
      </w:r>
      <w:r w:rsidRPr="0082680A">
        <w:rPr>
          <w:lang w:val="en-GB"/>
        </w:rPr>
        <w:t xml:space="preserve"> (TRCN0000314842), </w:t>
      </w:r>
      <w:r w:rsidRPr="0082680A">
        <w:rPr>
          <w:i/>
          <w:lang w:val="en-GB"/>
        </w:rPr>
        <w:t>YBX1</w:t>
      </w:r>
      <w:r w:rsidRPr="0082680A">
        <w:rPr>
          <w:lang w:val="en-GB"/>
        </w:rPr>
        <w:t xml:space="preserve"> (TRCN0000315309), </w:t>
      </w:r>
      <w:r w:rsidRPr="0082680A">
        <w:rPr>
          <w:i/>
          <w:lang w:val="en-GB"/>
        </w:rPr>
        <w:t>DDX1</w:t>
      </w:r>
      <w:r w:rsidRPr="0082680A">
        <w:rPr>
          <w:lang w:val="en-GB"/>
        </w:rPr>
        <w:t xml:space="preserve"> (TRCN0000050500), </w:t>
      </w:r>
      <w:r w:rsidRPr="0082680A">
        <w:rPr>
          <w:i/>
          <w:lang w:val="en-GB"/>
        </w:rPr>
        <w:t>EPS15</w:t>
      </w:r>
      <w:r w:rsidR="007766C3" w:rsidRPr="0082680A">
        <w:rPr>
          <w:lang w:val="en-GB"/>
        </w:rPr>
        <w:t xml:space="preserve"> </w:t>
      </w:r>
      <w:r w:rsidRPr="0082680A">
        <w:rPr>
          <w:lang w:val="en-GB"/>
        </w:rPr>
        <w:t xml:space="preserve">(TRCN0000007976) validated </w:t>
      </w:r>
      <w:proofErr w:type="spellStart"/>
      <w:r w:rsidRPr="0082680A">
        <w:rPr>
          <w:lang w:val="en-GB"/>
        </w:rPr>
        <w:t>shRNAs</w:t>
      </w:r>
      <w:proofErr w:type="spellEnd"/>
      <w:r w:rsidRPr="0082680A">
        <w:rPr>
          <w:lang w:val="en-GB"/>
        </w:rPr>
        <w:t xml:space="preserve"> were ordered from Sigma MISSION® shRNA Library. Lentivirus of shRNA were generated by the Boston Children’s Hospital </w:t>
      </w:r>
      <w:r w:rsidRPr="0082680A">
        <w:rPr>
          <w:lang w:val="en-GB"/>
        </w:rPr>
        <w:lastRenderedPageBreak/>
        <w:t>Viral Core. After differentiation, human motor neurons were infected by lentiviruses and viruses were removed on the next day.</w:t>
      </w:r>
    </w:p>
    <w:p w14:paraId="3B2AA2A2" w14:textId="77777777" w:rsidR="00EB41E2" w:rsidRPr="0082680A" w:rsidRDefault="00EB41E2" w:rsidP="00842FD0">
      <w:pPr>
        <w:pStyle w:val="Heading4"/>
        <w:rPr>
          <w:lang w:val="en-GB"/>
        </w:rPr>
      </w:pPr>
      <w:bookmarkStart w:id="188" w:name="_vr0h29oiwiqz" w:colFirst="0" w:colLast="0"/>
      <w:bookmarkStart w:id="189" w:name="_Toc3211376"/>
      <w:bookmarkEnd w:id="188"/>
      <w:r w:rsidRPr="0082680A">
        <w:rPr>
          <w:lang w:val="en-GB"/>
        </w:rPr>
        <w:t>Immunostaining</w:t>
      </w:r>
      <w:bookmarkEnd w:id="189"/>
    </w:p>
    <w:p w14:paraId="6DADF0DF" w14:textId="71DA24DC" w:rsidR="00FC4EF0" w:rsidRPr="0082680A" w:rsidRDefault="00EB41E2" w:rsidP="00EB41E2">
      <w:pPr>
        <w:rPr>
          <w:lang w:val="en-GB"/>
        </w:rPr>
      </w:pPr>
      <w:r w:rsidRPr="0082680A">
        <w:rPr>
          <w:lang w:val="en-GB"/>
        </w:rPr>
        <w:t xml:space="preserve">Motor neurons were fixed by 4% paraformaldehyde for 20 mins, and then neurons were blocked and permeabilized by 10% donkey/goat serum in PBS-T (Triton 0.3%) for 1 hour. Cells were then incubated with primary antibodies overnight and in secondary antibodies for 1 hr after several washes in between. DNA was visualized by a Hoechst stain. The following antibodies were used: Primary antibodies used in this study are Chicken anti-MAP2 (1:2000, Abcam AB5392), Rabbit anti-TDP-43 (1:500, Protein tech, 10782-2-AP), Chicken anti-GFP (1:1000, 1:500, Life Technologies). Secondary antibodies used (488 and 568) were </w:t>
      </w:r>
      <w:proofErr w:type="spellStart"/>
      <w:r w:rsidRPr="0082680A">
        <w:rPr>
          <w:lang w:val="en-GB"/>
        </w:rPr>
        <w:t>AlexaFluor</w:t>
      </w:r>
      <w:proofErr w:type="spellEnd"/>
      <w:r w:rsidRPr="0082680A">
        <w:rPr>
          <w:lang w:val="en-GB"/>
        </w:rPr>
        <w:t xml:space="preserve"> (1:1000, Life Technologies) and </w:t>
      </w:r>
      <w:proofErr w:type="spellStart"/>
      <w:r w:rsidRPr="0082680A">
        <w:rPr>
          <w:lang w:val="en-GB"/>
        </w:rPr>
        <w:t>DyLight</w:t>
      </w:r>
      <w:proofErr w:type="spellEnd"/>
      <w:r w:rsidRPr="0082680A">
        <w:rPr>
          <w:lang w:val="en-GB"/>
        </w:rPr>
        <w:t xml:space="preserve"> (1:500, Jackson </w:t>
      </w:r>
      <w:proofErr w:type="spellStart"/>
      <w:r w:rsidRPr="0082680A">
        <w:rPr>
          <w:lang w:val="en-GB"/>
        </w:rPr>
        <w:t>ImmunoResearch</w:t>
      </w:r>
      <w:proofErr w:type="spellEnd"/>
      <w:r w:rsidRPr="0082680A">
        <w:rPr>
          <w:lang w:val="en-GB"/>
        </w:rPr>
        <w:t xml:space="preserve"> Laboratories).</w:t>
      </w:r>
    </w:p>
    <w:p w14:paraId="698A187B" w14:textId="55E0C06E" w:rsidR="00EB41E2" w:rsidRPr="0082680A" w:rsidRDefault="00FC4EF0" w:rsidP="00EB41E2">
      <w:pPr>
        <w:rPr>
          <w:lang w:val="en-GB"/>
        </w:rPr>
      </w:pPr>
      <w:r w:rsidRPr="0082680A">
        <w:rPr>
          <w:lang w:val="en-GB"/>
        </w:rPr>
        <w:br w:type="page"/>
      </w:r>
    </w:p>
    <w:p w14:paraId="44FE9AEA" w14:textId="77777777" w:rsidR="00EB41E2" w:rsidRPr="00691215" w:rsidRDefault="00EB41E2" w:rsidP="00691215">
      <w:pPr>
        <w:pStyle w:val="Heading3"/>
      </w:pPr>
      <w:bookmarkStart w:id="190" w:name="_gbdf12mc5dfp" w:colFirst="0" w:colLast="0"/>
      <w:bookmarkStart w:id="191" w:name="_Toc3211377"/>
      <w:bookmarkEnd w:id="190"/>
      <w:r w:rsidRPr="00691215">
        <w:lastRenderedPageBreak/>
        <w:t>Results</w:t>
      </w:r>
      <w:bookmarkEnd w:id="191"/>
    </w:p>
    <w:p w14:paraId="7689DF3E" w14:textId="77777777" w:rsidR="00EB41E2" w:rsidRPr="0082680A" w:rsidRDefault="00EB41E2" w:rsidP="00842FD0">
      <w:pPr>
        <w:pStyle w:val="Heading4"/>
        <w:rPr>
          <w:lang w:val="en-GB"/>
        </w:rPr>
      </w:pPr>
      <w:bookmarkStart w:id="192" w:name="_vjwcdkbwhqk4" w:colFirst="0" w:colLast="0"/>
      <w:bookmarkStart w:id="193" w:name="_Toc3211378"/>
      <w:bookmarkEnd w:id="192"/>
      <w:r w:rsidRPr="0082680A">
        <w:rPr>
          <w:lang w:val="en-GB"/>
        </w:rPr>
        <w:t>No TDP-43 phenotype exhibited at Day 14</w:t>
      </w:r>
      <w:bookmarkEnd w:id="193"/>
    </w:p>
    <w:p w14:paraId="22463E5E" w14:textId="3B0CCEFD" w:rsidR="00EB41E2" w:rsidRPr="0082680A" w:rsidRDefault="00EB41E2" w:rsidP="00EB41E2">
      <w:pPr>
        <w:rPr>
          <w:lang w:val="en-GB"/>
        </w:rPr>
      </w:pPr>
      <w:r w:rsidRPr="0082680A">
        <w:rPr>
          <w:lang w:val="en-GB"/>
        </w:rPr>
        <w:t>After knockdown of each of the four selected hits, immunofluorescent imaging revealed no obvious TDP-43 phenotype at Day 14 (</w:t>
      </w:r>
      <w:r w:rsidR="007B66CF" w:rsidRPr="0082680A">
        <w:rPr>
          <w:lang w:val="en-GB"/>
        </w:rPr>
        <w:t xml:space="preserve">Figure </w:t>
      </w:r>
      <w:r w:rsidR="001200FB" w:rsidRPr="0082680A">
        <w:rPr>
          <w:lang w:val="en-GB"/>
        </w:rPr>
        <w:t>8</w:t>
      </w:r>
      <w:r w:rsidR="007B66CF" w:rsidRPr="0082680A">
        <w:rPr>
          <w:lang w:val="en-GB"/>
        </w:rPr>
        <w:t>)</w:t>
      </w:r>
      <w:r w:rsidRPr="0082680A">
        <w:rPr>
          <w:lang w:val="en-GB"/>
        </w:rPr>
        <w:t xml:space="preserve">. MAP2 staining (green) indicates axon structure is maintained and TDP-43 staining (red) indicates TDP-43 protein remains enclosed within the nuclei of the neurons. </w:t>
      </w:r>
      <w:r w:rsidRPr="0082680A">
        <w:rPr>
          <w:i/>
          <w:lang w:val="en-GB"/>
        </w:rPr>
        <w:t>DDX1</w:t>
      </w:r>
      <w:r w:rsidRPr="0082680A">
        <w:rPr>
          <w:lang w:val="en-GB"/>
        </w:rPr>
        <w:t xml:space="preserve"> and </w:t>
      </w:r>
      <w:r w:rsidRPr="0082680A">
        <w:rPr>
          <w:i/>
          <w:lang w:val="en-GB"/>
        </w:rPr>
        <w:t>YBX1</w:t>
      </w:r>
      <w:r w:rsidRPr="0082680A">
        <w:rPr>
          <w:lang w:val="en-GB"/>
        </w:rPr>
        <w:t xml:space="preserve"> knockdown seemed visually to result in a reduced population and less elaborate neurite extensions, however neurons looked healthy with appropriate distribution of TDP-43 protein. </w:t>
      </w:r>
    </w:p>
    <w:p w14:paraId="7CEDB63A" w14:textId="4674BEB7" w:rsidR="00335397" w:rsidRPr="0082680A" w:rsidRDefault="00335397" w:rsidP="00EB41E2">
      <w:pPr>
        <w:rPr>
          <w:lang w:val="en-GB"/>
        </w:rPr>
      </w:pPr>
    </w:p>
    <w:p w14:paraId="312E3216" w14:textId="77777777" w:rsidR="00335397" w:rsidRPr="0082680A" w:rsidRDefault="00335397" w:rsidP="00335397">
      <w:pPr>
        <w:pStyle w:val="NoSpacing"/>
        <w:rPr>
          <w:lang w:val="en-GB"/>
        </w:rPr>
      </w:pPr>
      <w:r w:rsidRPr="0082680A">
        <w:rPr>
          <w:noProof/>
          <w:lang w:val="en-GB"/>
        </w:rPr>
        <w:drawing>
          <wp:inline distT="0" distB="0" distL="0" distR="0" wp14:anchorId="2F3F8324" wp14:editId="07183FE3">
            <wp:extent cx="5127584" cy="344838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nockdownDay14.png"/>
                    <pic:cNvPicPr/>
                  </pic:nvPicPr>
                  <pic:blipFill rotWithShape="1">
                    <a:blip r:embed="rId88" cstate="print">
                      <a:extLst>
                        <a:ext uri="{28A0092B-C50C-407E-A947-70E740481C1C}">
                          <a14:useLocalDpi xmlns:a14="http://schemas.microsoft.com/office/drawing/2010/main" val="0"/>
                        </a:ext>
                      </a:extLst>
                    </a:blip>
                    <a:srcRect l="884" r="1273"/>
                    <a:stretch/>
                  </pic:blipFill>
                  <pic:spPr bwMode="auto">
                    <a:xfrm>
                      <a:off x="0" y="0"/>
                      <a:ext cx="5136113" cy="3454121"/>
                    </a:xfrm>
                    <a:prstGeom prst="rect">
                      <a:avLst/>
                    </a:prstGeom>
                    <a:ln>
                      <a:noFill/>
                    </a:ln>
                    <a:extLst>
                      <a:ext uri="{53640926-AAD7-44D8-BBD7-CCE9431645EC}">
                        <a14:shadowObscured xmlns:a14="http://schemas.microsoft.com/office/drawing/2010/main"/>
                      </a:ext>
                    </a:extLst>
                  </pic:spPr>
                </pic:pic>
              </a:graphicData>
            </a:graphic>
          </wp:inline>
        </w:drawing>
      </w:r>
    </w:p>
    <w:p w14:paraId="07C53ED6" w14:textId="4DB89C79" w:rsidR="00335397" w:rsidRPr="0082680A" w:rsidRDefault="00335397" w:rsidP="00335397">
      <w:pPr>
        <w:pStyle w:val="Caption"/>
        <w:rPr>
          <w:b w:val="0"/>
          <w:lang w:val="en-GB"/>
        </w:rPr>
      </w:pPr>
      <w:bookmarkStart w:id="194" w:name="_Toc3226003"/>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7</w:t>
      </w:r>
      <w:r w:rsidR="00666C92" w:rsidRPr="0082680A">
        <w:rPr>
          <w:noProof/>
          <w:lang w:val="en-GB"/>
        </w:rPr>
        <w:fldChar w:fldCharType="end"/>
      </w:r>
      <w:r w:rsidRPr="0082680A">
        <w:rPr>
          <w:lang w:val="en-GB"/>
        </w:rPr>
        <w:t xml:space="preserve">: </w:t>
      </w:r>
      <w:r w:rsidR="007B66CF" w:rsidRPr="0082680A">
        <w:rPr>
          <w:lang w:val="en-GB"/>
        </w:rPr>
        <w:t xml:space="preserve">Immunofluorescence imaging of transfected motor neurons at Day 14. </w:t>
      </w:r>
      <w:r w:rsidR="007B66CF" w:rsidRPr="0082680A">
        <w:rPr>
          <w:b w:val="0"/>
          <w:lang w:val="en-GB"/>
        </w:rPr>
        <w:t xml:space="preserve">Neuronal projections are revealed by fluorescent staining of MAP2 (green) and TDP-43 </w:t>
      </w:r>
      <w:r w:rsidR="002F2A97">
        <w:rPr>
          <w:b w:val="0"/>
          <w:lang w:val="en-GB"/>
        </w:rPr>
        <w:t>(red)</w:t>
      </w:r>
      <w:r w:rsidR="007B66CF" w:rsidRPr="0082680A">
        <w:rPr>
          <w:b w:val="0"/>
          <w:lang w:val="en-GB"/>
        </w:rPr>
        <w:t>. TDP-43 localises predominantly to the nucleus in all conditions.</w:t>
      </w:r>
      <w:bookmarkEnd w:id="194"/>
      <w:r w:rsidR="007B66CF" w:rsidRPr="0082680A">
        <w:rPr>
          <w:b w:val="0"/>
          <w:lang w:val="en-GB"/>
        </w:rPr>
        <w:t xml:space="preserve"> </w:t>
      </w:r>
    </w:p>
    <w:p w14:paraId="69968092" w14:textId="24C47C60" w:rsidR="00335397" w:rsidRPr="0082680A" w:rsidRDefault="00FC4EF0" w:rsidP="00335397">
      <w:pPr>
        <w:rPr>
          <w:lang w:val="en-GB"/>
        </w:rPr>
      </w:pPr>
      <w:r w:rsidRPr="0082680A">
        <w:rPr>
          <w:lang w:val="en-GB"/>
        </w:rPr>
        <w:br w:type="page"/>
      </w:r>
    </w:p>
    <w:p w14:paraId="7BD364E7" w14:textId="77777777" w:rsidR="00EB41E2" w:rsidRPr="0082680A" w:rsidRDefault="00EB41E2" w:rsidP="00842FD0">
      <w:pPr>
        <w:pStyle w:val="Heading4"/>
        <w:rPr>
          <w:lang w:val="en-GB"/>
        </w:rPr>
      </w:pPr>
      <w:bookmarkStart w:id="195" w:name="_wovtvho0o9in" w:colFirst="0" w:colLast="0"/>
      <w:bookmarkStart w:id="196" w:name="_Toc3211379"/>
      <w:bookmarkEnd w:id="195"/>
      <w:r w:rsidRPr="0082680A">
        <w:rPr>
          <w:lang w:val="en-GB"/>
        </w:rPr>
        <w:lastRenderedPageBreak/>
        <w:t>TBK1 and DDX1 knockdown affects neuron health at Day 20</w:t>
      </w:r>
      <w:bookmarkEnd w:id="196"/>
    </w:p>
    <w:p w14:paraId="77D2DA11" w14:textId="36D645DA" w:rsidR="007B66CF" w:rsidRPr="0082680A" w:rsidRDefault="00EB41E2" w:rsidP="00EB41E2">
      <w:pPr>
        <w:rPr>
          <w:lang w:val="en-GB"/>
        </w:rPr>
      </w:pPr>
      <w:r w:rsidRPr="0082680A">
        <w:rPr>
          <w:lang w:val="en-GB"/>
        </w:rPr>
        <w:t xml:space="preserve">At 20 days post-transfection, </w:t>
      </w:r>
      <w:r w:rsidRPr="0082680A">
        <w:rPr>
          <w:i/>
          <w:lang w:val="en-GB"/>
        </w:rPr>
        <w:t>TBK1</w:t>
      </w:r>
      <w:r w:rsidRPr="0082680A">
        <w:rPr>
          <w:lang w:val="en-GB"/>
        </w:rPr>
        <w:t xml:space="preserve"> knockdown neurons exhibited drastically shortened neurites, though this is yet to be quantified fully </w:t>
      </w:r>
      <w:r w:rsidR="001200FB" w:rsidRPr="0082680A">
        <w:rPr>
          <w:lang w:val="en-GB"/>
        </w:rPr>
        <w:t>(Figure 9</w:t>
      </w:r>
      <w:r w:rsidRPr="0082680A">
        <w:rPr>
          <w:lang w:val="en-GB"/>
        </w:rPr>
        <w:t xml:space="preserve">). Knockdown of </w:t>
      </w:r>
      <w:r w:rsidRPr="0082680A">
        <w:rPr>
          <w:i/>
          <w:lang w:val="en-GB"/>
        </w:rPr>
        <w:t>DDX1</w:t>
      </w:r>
      <w:r w:rsidRPr="0082680A">
        <w:rPr>
          <w:lang w:val="en-GB"/>
        </w:rPr>
        <w:t xml:space="preserve"> on the other hand caused marked neuronal death, which again will need to be quantified. </w:t>
      </w:r>
      <w:r w:rsidR="007766C3" w:rsidRPr="0082680A">
        <w:rPr>
          <w:lang w:val="en-GB"/>
        </w:rPr>
        <w:t xml:space="preserve">Knockdown of </w:t>
      </w:r>
      <w:r w:rsidR="007766C3" w:rsidRPr="0082680A">
        <w:rPr>
          <w:i/>
          <w:lang w:val="en-GB"/>
        </w:rPr>
        <w:t xml:space="preserve">EPS15 </w:t>
      </w:r>
      <w:r w:rsidR="007766C3" w:rsidRPr="0082680A">
        <w:rPr>
          <w:lang w:val="en-GB"/>
        </w:rPr>
        <w:t>produced no visible effect on the health of the neuronal cells.</w:t>
      </w:r>
    </w:p>
    <w:p w14:paraId="1CA95A04" w14:textId="77777777" w:rsidR="00FC4EF0" w:rsidRPr="0082680A" w:rsidRDefault="00FC4EF0" w:rsidP="00EB41E2">
      <w:pPr>
        <w:rPr>
          <w:lang w:val="en-GB"/>
        </w:rPr>
      </w:pPr>
    </w:p>
    <w:p w14:paraId="6A148CC4" w14:textId="77777777" w:rsidR="00FC4EF0" w:rsidRPr="0082680A" w:rsidRDefault="00FC4EF0" w:rsidP="00842FD0">
      <w:pPr>
        <w:pStyle w:val="Heading4"/>
        <w:rPr>
          <w:lang w:val="en-GB"/>
        </w:rPr>
      </w:pPr>
      <w:bookmarkStart w:id="197" w:name="_Toc3211380"/>
      <w:r w:rsidRPr="0082680A">
        <w:rPr>
          <w:lang w:val="en-GB"/>
        </w:rPr>
        <w:t>YBX1 knockdown leads to diffusion of TDP-43 protein into cytoplasm at Day 20</w:t>
      </w:r>
      <w:bookmarkEnd w:id="197"/>
    </w:p>
    <w:p w14:paraId="12329E42" w14:textId="73162016" w:rsidR="00FC4EF0" w:rsidRPr="0082680A" w:rsidRDefault="00FC4EF0" w:rsidP="007B66CF">
      <w:pPr>
        <w:rPr>
          <w:lang w:val="en-GB"/>
        </w:rPr>
      </w:pPr>
      <w:r w:rsidRPr="0082680A">
        <w:rPr>
          <w:i/>
          <w:lang w:val="en-GB"/>
        </w:rPr>
        <w:t>YBX1</w:t>
      </w:r>
      <w:r w:rsidRPr="0082680A">
        <w:rPr>
          <w:lang w:val="en-GB"/>
        </w:rPr>
        <w:t xml:space="preserve"> knockdown was largely indistinguishable from the no virus phenotype at Day 14, however by Day 20 there was a clear mislocalisation of TDP-43 protein from the nucleus into the </w:t>
      </w:r>
      <w:r w:rsidR="007766C3" w:rsidRPr="0082680A">
        <w:rPr>
          <w:lang w:val="en-GB"/>
        </w:rPr>
        <w:t>cytoplasm</w:t>
      </w:r>
      <w:r w:rsidRPr="0082680A">
        <w:rPr>
          <w:lang w:val="en-GB"/>
        </w:rPr>
        <w:t xml:space="preserve"> </w:t>
      </w:r>
      <w:r w:rsidR="001200FB" w:rsidRPr="0082680A">
        <w:rPr>
          <w:lang w:val="en-GB"/>
        </w:rPr>
        <w:t>(Figure 10)</w:t>
      </w:r>
      <w:r w:rsidRPr="0082680A">
        <w:rPr>
          <w:lang w:val="en-GB"/>
        </w:rPr>
        <w:t xml:space="preserve">. </w:t>
      </w:r>
      <w:r w:rsidR="007766C3" w:rsidRPr="0082680A">
        <w:rPr>
          <w:lang w:val="en-GB"/>
        </w:rPr>
        <w:t xml:space="preserve">The presence of TDP-43 protein in the cytoplasm is depicted by the yellow colouring caused by the combined fluorescence of green-stained TDP-43 and red-stained MAP2. Diffusion did not appear to extend into the neurites of the </w:t>
      </w:r>
      <w:proofErr w:type="gramStart"/>
      <w:r w:rsidR="007766C3" w:rsidRPr="0082680A">
        <w:rPr>
          <w:lang w:val="en-GB"/>
        </w:rPr>
        <w:t>cell, and</w:t>
      </w:r>
      <w:proofErr w:type="gramEnd"/>
      <w:r w:rsidR="007766C3" w:rsidRPr="0082680A">
        <w:rPr>
          <w:lang w:val="en-GB"/>
        </w:rPr>
        <w:t xml:space="preserve"> was predominantly localised to the neuronal cell body. </w:t>
      </w:r>
    </w:p>
    <w:p w14:paraId="309C359B" w14:textId="16174649" w:rsidR="007B66CF" w:rsidRPr="0082680A" w:rsidRDefault="00FC4EF0" w:rsidP="007B66CF">
      <w:pPr>
        <w:rPr>
          <w:lang w:val="en-GB"/>
        </w:rPr>
      </w:pPr>
      <w:r w:rsidRPr="0082680A">
        <w:rPr>
          <w:lang w:val="en-GB"/>
        </w:rPr>
        <w:br w:type="page"/>
      </w:r>
    </w:p>
    <w:p w14:paraId="01108C1C" w14:textId="77777777" w:rsidR="00FC4EF0" w:rsidRPr="0082680A" w:rsidRDefault="007B66CF" w:rsidP="00FC4EF0">
      <w:pPr>
        <w:pStyle w:val="NoSpacing"/>
        <w:jc w:val="center"/>
        <w:rPr>
          <w:lang w:val="en-GB"/>
        </w:rPr>
      </w:pPr>
      <w:r w:rsidRPr="0082680A">
        <w:rPr>
          <w:noProof/>
          <w:lang w:val="en-GB"/>
        </w:rPr>
        <w:lastRenderedPageBreak/>
        <w:drawing>
          <wp:inline distT="0" distB="0" distL="0" distR="0" wp14:anchorId="4E0A70D5" wp14:editId="3E692692">
            <wp:extent cx="3629727" cy="360000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llButYBX1_Day20.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29727" cy="3600000"/>
                    </a:xfrm>
                    <a:prstGeom prst="rect">
                      <a:avLst/>
                    </a:prstGeom>
                  </pic:spPr>
                </pic:pic>
              </a:graphicData>
            </a:graphic>
          </wp:inline>
        </w:drawing>
      </w:r>
    </w:p>
    <w:p w14:paraId="4D72AEDE" w14:textId="62FF21E9" w:rsidR="007B66CF" w:rsidRPr="0082680A" w:rsidRDefault="00FC4EF0" w:rsidP="00FC4EF0">
      <w:pPr>
        <w:pStyle w:val="Caption"/>
        <w:rPr>
          <w:i/>
          <w:lang w:val="en-GB"/>
        </w:rPr>
      </w:pPr>
      <w:bookmarkStart w:id="198" w:name="_Toc3226004"/>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8</w:t>
      </w:r>
      <w:r w:rsidR="00666C92" w:rsidRPr="0082680A">
        <w:rPr>
          <w:noProof/>
          <w:lang w:val="en-GB"/>
        </w:rPr>
        <w:fldChar w:fldCharType="end"/>
      </w:r>
      <w:r w:rsidRPr="0082680A">
        <w:rPr>
          <w:lang w:val="en-GB"/>
        </w:rPr>
        <w:t xml:space="preserve">: Immunofluorescence imaging of TBK1, DDX1, and EPS15 knockdown neurons at Day 20. </w:t>
      </w:r>
      <w:r w:rsidRPr="0082680A">
        <w:rPr>
          <w:b w:val="0"/>
          <w:lang w:val="en-GB"/>
        </w:rPr>
        <w:t xml:space="preserve">Axons indicated by red MAP2 staining and TDP-43 protein is stained green. </w:t>
      </w:r>
      <w:r w:rsidRPr="0082680A">
        <w:rPr>
          <w:b w:val="0"/>
          <w:i/>
          <w:lang w:val="en-GB"/>
        </w:rPr>
        <w:t>TBK1</w:t>
      </w:r>
      <w:r w:rsidRPr="0082680A">
        <w:rPr>
          <w:b w:val="0"/>
          <w:lang w:val="en-GB"/>
        </w:rPr>
        <w:t xml:space="preserve"> knockdown neurons show drastically shortened neurites, and </w:t>
      </w:r>
      <w:r w:rsidRPr="0082680A">
        <w:rPr>
          <w:b w:val="0"/>
          <w:i/>
          <w:lang w:val="en-GB"/>
        </w:rPr>
        <w:t>DDX1</w:t>
      </w:r>
      <w:r w:rsidRPr="0082680A">
        <w:rPr>
          <w:b w:val="0"/>
          <w:lang w:val="en-GB"/>
        </w:rPr>
        <w:t xml:space="preserve"> knockdown induces marked neuronal death.</w:t>
      </w:r>
      <w:bookmarkEnd w:id="198"/>
    </w:p>
    <w:p w14:paraId="09A3BE98" w14:textId="77777777" w:rsidR="00FC4EF0" w:rsidRPr="0082680A" w:rsidRDefault="007B66CF" w:rsidP="00FC4EF0">
      <w:pPr>
        <w:pStyle w:val="NoSpacing"/>
        <w:jc w:val="center"/>
        <w:rPr>
          <w:lang w:val="en-GB"/>
        </w:rPr>
      </w:pPr>
      <w:r w:rsidRPr="0082680A">
        <w:rPr>
          <w:noProof/>
          <w:lang w:val="en-GB"/>
        </w:rPr>
        <w:drawing>
          <wp:inline distT="0" distB="0" distL="0" distR="0" wp14:anchorId="4E36B604" wp14:editId="70F81B45">
            <wp:extent cx="3641759" cy="360000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YBX1Day20.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41759" cy="3600000"/>
                    </a:xfrm>
                    <a:prstGeom prst="rect">
                      <a:avLst/>
                    </a:prstGeom>
                  </pic:spPr>
                </pic:pic>
              </a:graphicData>
            </a:graphic>
          </wp:inline>
        </w:drawing>
      </w:r>
    </w:p>
    <w:p w14:paraId="37E050D8" w14:textId="37997B13" w:rsidR="00EB41E2" w:rsidRPr="0082680A" w:rsidRDefault="00FC4EF0" w:rsidP="00FC4EF0">
      <w:pPr>
        <w:pStyle w:val="Caption"/>
        <w:rPr>
          <w:lang w:val="en-GB"/>
        </w:rPr>
      </w:pPr>
      <w:bookmarkStart w:id="199" w:name="_Toc3226005"/>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9</w:t>
      </w:r>
      <w:r w:rsidR="00666C92" w:rsidRPr="0082680A">
        <w:rPr>
          <w:noProof/>
          <w:lang w:val="en-GB"/>
        </w:rPr>
        <w:fldChar w:fldCharType="end"/>
      </w:r>
      <w:r w:rsidRPr="0082680A">
        <w:rPr>
          <w:lang w:val="en-GB"/>
        </w:rPr>
        <w:t xml:space="preserve">: Immunofluorescence imaging of </w:t>
      </w:r>
      <w:r w:rsidRPr="0082680A">
        <w:rPr>
          <w:i/>
          <w:lang w:val="en-GB"/>
        </w:rPr>
        <w:t>YBX1</w:t>
      </w:r>
      <w:r w:rsidRPr="0082680A">
        <w:rPr>
          <w:lang w:val="en-GB"/>
        </w:rPr>
        <w:t xml:space="preserve"> knockdown neurons at Day 20. </w:t>
      </w:r>
      <w:r w:rsidRPr="0082680A">
        <w:rPr>
          <w:b w:val="0"/>
          <w:lang w:val="en-GB"/>
        </w:rPr>
        <w:t xml:space="preserve">Axons indicated by red MAP2 staining and TDP-43 protein is stained green. </w:t>
      </w:r>
      <w:r w:rsidRPr="0082680A">
        <w:rPr>
          <w:b w:val="0"/>
          <w:i/>
          <w:lang w:val="en-GB"/>
        </w:rPr>
        <w:t>YBX1</w:t>
      </w:r>
      <w:r w:rsidRPr="0082680A">
        <w:rPr>
          <w:b w:val="0"/>
          <w:lang w:val="en-GB"/>
        </w:rPr>
        <w:t xml:space="preserve"> knockdown results in diffusion of TDP-43 proteins from the nucleus into the cytoplasm of the cell body.</w:t>
      </w:r>
      <w:bookmarkStart w:id="200" w:name="_nid3bh5kdiss" w:colFirst="0" w:colLast="0"/>
      <w:bookmarkStart w:id="201" w:name="_e05zxtd4s6rf" w:colFirst="0" w:colLast="0"/>
      <w:bookmarkEnd w:id="199"/>
      <w:bookmarkEnd w:id="200"/>
      <w:bookmarkEnd w:id="201"/>
      <w:r w:rsidR="00EB41E2" w:rsidRPr="0082680A">
        <w:rPr>
          <w:lang w:val="en-GB"/>
        </w:rPr>
        <w:br w:type="page"/>
      </w:r>
    </w:p>
    <w:p w14:paraId="52F159C6" w14:textId="541E7C4A" w:rsidR="007766C3" w:rsidRPr="00691215" w:rsidRDefault="007766C3" w:rsidP="00691215">
      <w:pPr>
        <w:pStyle w:val="Heading3"/>
      </w:pPr>
      <w:bookmarkStart w:id="202" w:name="_Toc3211381"/>
      <w:r w:rsidRPr="00691215">
        <w:lastRenderedPageBreak/>
        <w:t>Summary</w:t>
      </w:r>
      <w:bookmarkEnd w:id="202"/>
    </w:p>
    <w:p w14:paraId="04578AB7" w14:textId="63EDD796" w:rsidR="007766C3" w:rsidRPr="0082680A" w:rsidRDefault="007766C3" w:rsidP="007766C3">
      <w:pPr>
        <w:rPr>
          <w:lang w:val="en-GB"/>
        </w:rPr>
      </w:pPr>
      <w:r w:rsidRPr="0082680A">
        <w:rPr>
          <w:lang w:val="en-GB"/>
        </w:rPr>
        <w:t xml:space="preserve">In collaboration with the Woolf Lab, we performed </w:t>
      </w:r>
      <w:r w:rsidRPr="0082680A">
        <w:rPr>
          <w:i/>
          <w:lang w:val="en-GB"/>
        </w:rPr>
        <w:t>in vitro</w:t>
      </w:r>
      <w:r w:rsidRPr="0082680A">
        <w:rPr>
          <w:lang w:val="en-GB"/>
        </w:rPr>
        <w:t xml:space="preserve"> investigations into the effect of four </w:t>
      </w:r>
      <w:proofErr w:type="gramStart"/>
      <w:r w:rsidRPr="0082680A">
        <w:rPr>
          <w:lang w:val="en-GB"/>
        </w:rPr>
        <w:t>candidates</w:t>
      </w:r>
      <w:proofErr w:type="gramEnd"/>
      <w:r w:rsidRPr="0082680A">
        <w:rPr>
          <w:lang w:val="en-GB"/>
        </w:rPr>
        <w:t xml:space="preserve"> genes from our TDP-43 common coexpression module. </w:t>
      </w:r>
      <w:r w:rsidRPr="0082680A">
        <w:rPr>
          <w:i/>
          <w:lang w:val="en-GB"/>
        </w:rPr>
        <w:t>TBK1</w:t>
      </w:r>
      <w:r w:rsidRPr="0082680A">
        <w:rPr>
          <w:lang w:val="en-GB"/>
        </w:rPr>
        <w:t xml:space="preserve">, a gene already associated with ALS, caused the shortening of neurites, a phenotype reported in both </w:t>
      </w:r>
      <w:r w:rsidRPr="0082680A">
        <w:rPr>
          <w:i/>
          <w:lang w:val="en-GB"/>
        </w:rPr>
        <w:t>TARDBP</w:t>
      </w:r>
      <w:r w:rsidRPr="0082680A">
        <w:rPr>
          <w:lang w:val="en-GB"/>
        </w:rPr>
        <w:t xml:space="preserve">, </w:t>
      </w:r>
      <w:r w:rsidRPr="0082680A">
        <w:rPr>
          <w:i/>
          <w:lang w:val="en-GB"/>
        </w:rPr>
        <w:t>SOD1</w:t>
      </w:r>
      <w:r w:rsidRPr="0082680A">
        <w:rPr>
          <w:lang w:val="en-GB"/>
        </w:rPr>
        <w:t xml:space="preserve">, and </w:t>
      </w:r>
      <w:r w:rsidRPr="0082680A">
        <w:rPr>
          <w:i/>
          <w:lang w:val="en-GB"/>
        </w:rPr>
        <w:t>FUS</w:t>
      </w:r>
      <w:r w:rsidRPr="0082680A">
        <w:rPr>
          <w:lang w:val="en-GB"/>
        </w:rPr>
        <w:t xml:space="preserve"> models of ALS, suggesting it is a likely downstream effect of neurodegenerative risk genes, but not specific to risk genes causing TDP-43 dysfunction </w:t>
      </w:r>
      <w:r w:rsidRPr="0082680A">
        <w:rPr>
          <w:lang w:val="en-GB"/>
        </w:rPr>
        <w:fldChar w:fldCharType="begin" w:fldLock="1"/>
      </w:r>
      <w:r w:rsidR="000507BA">
        <w:rPr>
          <w:lang w:val="en-GB"/>
        </w:rPr>
        <w:instrText>ADDIN CSL_CITATION {"citationItems":[{"id":"ITEM-1","itemData":{"DOI":"10.1126/scitranslmed.3004052","ISSN":"1946-6242","PMID":"22855461","abstract":"Amyotrophic lateral sclerosis (ALS) is a late-onset, fatal disorder in which the motor neurons degenerate. The discovery of new drugs for treating ALS has been hampered by a lack of access to motor neurons from ALS patients and appropriate disease models. We generate motor neurons from induced pluripotent stem cells (iPSCs) from familial ALS patients, who carry mutations in Tar DNA binding protein-43 (TDP-43). ALS patient-specific iPSC-derived motor neurons formed cytosolic aggregates similar to those seen in postmortem tissue from ALS patients and exhibited shorter neurites as seen in a zebrafish model of ALS. The ALS motor neurons were characterized by increased mutant TDP-43 protein in a detergent-insoluble form bound to a spliceosomal factor SNRPB2. Expression array analyses detected small increases in the expression of genes involved in RNA metabolism and decreases in the expression of genes encoding cytoskeletal proteins. We examined four chemical compounds and found that a histone acetyltransferase inhibitor called anacardic acid rescued the abnormal ALS motor neuron phenotype. These findings suggest that motor neurons generated from ALS patient-derived iPSCs may provide a useful tool for elucidating ALS disease pathogenesis and for screening drug candidates.","author":[{"dropping-particle":"","family":"Egawa","given":"Naohiro","non-dropping-particle":"","parse-names":false,"suffix":""},{"dropping-particle":"","family":"Kitaoka","given":"Shiho","non-dropping-particle":"","parse-names":false,"suffix":""},{"dropping-particle":"","family":"Tsukita","given":"Kayoko","non-dropping-particle":"","parse-names":false,"suffix":""},{"dropping-particle":"","family":"Naitoh","given":"Motoko","non-dropping-particle":"","parse-names":false,"suffix":""},{"dropping-particle":"","family":"Takahashi","given":"Kazutoshi","non-dropping-particle":"","parse-names":false,"suffix":""},{"dropping-particle":"","family":"Yamamoto","given":"Takuya","non-dropping-particle":"","parse-names":false,"suffix":""},{"dropping-particle":"","family":"Adachi","given":"Fumihiko","non-dropping-particle":"","parse-names":false,"suffix":""},{"dropping-particle":"","family":"Kondo","given":"Takayuki","non-dropping-particle":"","parse-names":false,"suffix":""},{"dropping-particle":"","family":"Okita","given":"Keisuke","non-dropping-particle":"","parse-names":false,"suffix":""},{"dropping-particle":"","family":"Asaka","given":"Isao","non-dropping-particle":"","parse-names":false,"suffix":""},{"dropping-particle":"","family":"Aoi","given":"Takashi","non-dropping-particle":"","parse-names":false,"suffix":""},{"dropping-particle":"","family":"Watanabe","given":"Akira","non-dropping-particle":"","parse-names":false,"suffix":""},{"dropping-particle":"","family":"Yamada","given":"Yasuhiro","non-dropping-particle":"","parse-names":false,"suffix":""},{"dropping-particle":"","family":"Morizane","given":"Asuka","non-dropping-particle":"","parse-names":false,"suffix":""},{"dropping-particle":"","family":"Takahashi","given":"Jun","non-dropping-particle":"","parse-names":false,"suffix":""},{"dropping-particle":"","family":"Ayaki","given":"Takashi","non-dropping-particle":"","parse-names":false,"suffix":""},{"dropping-particle":"","family":"Ito","given":"Hidefumi","non-dropping-particle":"","parse-names":false,"suffix":""},{"dropping-particle":"","family":"Yoshikawa","given":"Katsuhiro","non-dropping-particle":"","parse-names":false,"suffix":""},{"dropping-particle":"","family":"Yamawaki","given":"Satoko","non-dropping-particle":"","parse-names":false,"suffix":""},{"dropping-particle":"","family":"Suzuki","given":"Shigehiko","non-dropping-particle":"","parse-names":false,"suffix":""},{"dropping-particle":"","family":"Watanabe","given":"Dai","non-dropping-particle":"","parse-names":false,"suffix":""},{"dropping-particle":"","family":"Hioki","given":"Hiroyuki","non-dropping-particle":"","parse-names":false,"suffix":""},{"dropping-particle":"","family":"Kaneko","given":"Takeshi","non-dropping-particle":"","parse-names":false,"suffix":""},{"dropping-particle":"","family":"Makioka","given":"Kouki","non-dropping-particle":"","parse-names":false,"suffix":""},{"dropping-particle":"","family":"Okamoto","given":"Koichi","non-dropping-particle":"","parse-names":false,"suffix":""},{"dropping-particle":"","family":"Takuma","given":"Hiroshi","non-dropping-particle":"","parse-names":false,"suffix":""},{"dropping-particle":"","family":"Tamaoka","given":"Akira","non-dropping-particle":"","parse-names":false,"suffix":""},{"dropping-particle":"","family":"Hasegawa","given":"Kazuko","non-dropping-particle":"","parse-names":false,"suffix":""},{"dropping-particle":"","family":"Nonaka","given":"Takashi","non-dropping-particle":"","parse-names":false,"suffix":""},{"dropping-particle":"","family":"Hasegawa","given":"Masato","non-dropping-particle":"","parse-names":false,"suffix":""},{"dropping-particle":"","family":"Kawata","given":"Akihiro","non-dropping-particle":"","parse-names":false,"suffix":""},{"dropping-particle":"","family":"Yoshida","given":"Minoru","non-dropping-particle":"","parse-names":false,"suffix":""},{"dropping-particle":"","family":"Nakahata","given":"Tatsutoshi","non-dropping-particle":"","parse-names":false,"suffix":""},{"dropping-particle":"","family":"Takahashi","given":"Ryosuke","non-dropping-particle":"","parse-names":false,"suffix":""},{"dropping-particle":"","family":"Marchetto","given":"Maria C N","non-dropping-particle":"","parse-names":false,"suffix":""},{"dropping-particle":"","family":"Gage","given":"Fred H","non-dropping-particle":"","parse-names":false,"suffix":""},{"dropping-particle":"","family":"Yamanaka","given":"Shinya","non-dropping-particle":"","parse-names":false,"suffix":""},{"dropping-particle":"","family":"Inoue","given":"Haruhisa","non-dropping-particle":"","parse-names":false,"suffix":""}],"container-title":"Science translational medicine","id":"ITEM-1","issue":"145","issued":{"date-parts":[["2012","8","1"]]},"page":"145ra104","publisher":"American Association for the Advancement of Science","title":"Drug screening for ALS using patient-specific induced pluripotent stem cells.","type":"article-journal","volume":"4"},"uris":["http://www.mendeley.com/documents/?uuid=615a6522-72ef-3006-8174-bb847781ecd2"]},{"id":"ITEM-2","itemData":{"DOI":"10.1016/j.stem.2014.03.004","ISSN":"1875-9777","PMID":"24704492","abstract":"Although many distinct mutations in a variety of genes are known to cause Amyotrophic Lateral Sclerosis (ALS), it remains poorly understood how they selectively impact motor neuron biology and whether they converge on common pathways to cause neuronal degeneration. Here, we have combined reprogramming and stem cell differentiation approaches with genome engineering and RNA sequencing to define the transcriptional and functional changes that are induced in human motor neurons by mutant SOD1. Mutant SOD1 protein induced a transcriptional signature indicative of increased oxidative stress, reduced mitochondrial function, altered subcellular transport, and activation of the ER stress and unfolded protein response pathways. Functional studies demonstrated that these pathways were perturbed in a manner dependent on the SOD1 mutation. Finally, interrogation of stem-cell-derived motor neurons produced from ALS patients harboring a repeat expansion in C9orf72 indicates that at least a subset of these changes are more broadly conserved in ALS.","author":[{"dropping-particle":"","family":"Kiskinis","given":"Evangelos","non-dropping-particle":"","parse-names":false,"suffix":""},{"dropping-particle":"","family":"Sandoe","given":"Jackson","non-dropping-particle":"","parse-names":false,"suffix":""},{"dropping-particle":"","family":"Williams","given":"Luis A","non-dropping-particle":"","parse-names":false,"suffix":""},{"dropping-particle":"","family":"Boulting","given":"Gabriella L","non-dropping-particle":"","parse-names":false,"suffix":""},{"dropping-particle":"","family":"Moccia","given":"Rob","non-dropping-particle":"","parse-names":false,"suffix":""},{"dropping-particle":"","family":"Wainger","given":"Brian J","non-dropping-particle":"","parse-names":false,"suffix":""},{"dropping-particle":"","family":"Han","given":"Steve","non-dropping-particle":"","parse-names":false,"suffix":""},{"dropping-particle":"","family":"Peng","given":"Theodore","non-dropping-particle":"","parse-names":false,"suffix":""},{"dropping-particle":"","family":"Thams","given":"Sebastian","non-dropping-particle":"","parse-names":false,"suffix":""},{"dropping-particle":"","family":"Mikkilineni","given":"Shravani","non-dropping-particle":"","parse-names":false,"suffix":""},{"dropping-particle":"","family":"Mellin","given":"Cassidy","non-dropping-particle":"","parse-names":false,"suffix":""},{"dropping-particle":"","family":"Merkle","given":"Florian T","non-dropping-particle":"","parse-names":false,"suffix":""},{"dropping-particle":"","family":"Davis-Dusenbery","given":"Brandi N","non-dropping-particle":"","parse-names":false,"suffix":""},{"dropping-particle":"","family":"Ziller","given":"Michael","non-dropping-particle":"","parse-names":false,"suffix":""},{"dropping-particle":"","family":"Oakley","given":"Derek","non-dropping-particle":"","parse-names":false,"suffix":""},{"dropping-particle":"","family":"Ichida","given":"Justin","non-dropping-particle":"","parse-names":false,"suffix":""},{"dropping-particle":"","family":"Costanzo","given":"Stefania","non-dropping-particle":"Di","parse-names":false,"suffix":""},{"dropping-particle":"","family":"Atwater","given":"Nick","non-dropping-particle":"","parse-names":false,"suffix":""},{"dropping-particle":"","family":"Maeder","given":"Morgan L","non-dropping-particle":"","parse-names":false,"suffix":""},{"dropping-particle":"","family":"Goodwin","given":"Mathew J","non-dropping-particle":"","parse-names":false,"suffix":""},{"dropping-particle":"","family":"Nemesh","given":"James","non-dropping-particle":"","parse-names":false,"suffix":""},{"dropping-particle":"","family":"Handsaker","given":"Robert E","non-dropping-particle":"","parse-names":false,"suffix":""},{"dropping-particle":"","family":"Paull","given":"Daniel","non-dropping-particle":"","parse-names":false,"suffix":""},{"dropping-particle":"","family":"Noggle","given":"Scott","non-dropping-particle":"","parse-names":false,"suffix":""},{"dropping-particle":"","family":"McCarroll","given":"Steven A","non-dropping-particle":"","parse-names":false,"suffix":""},{"dropping-particle":"","family":"Joung","given":"J Keith","non-dropping-particle":"","parse-names":false,"suffix":""},{"dropping-particle":"","family":"Woolf","given":"Clifford J","non-dropping-particle":"","parse-names":false,"suffix":""},{"dropping-particle":"","family":"Brown","given":"Robert H","non-dropping-particle":"","parse-names":false,"suffix":""},{"dropping-particle":"","family":"Eggan","given":"Kevin","non-dropping-particle":"","parse-names":false,"suffix":""}],"container-title":"Cell stem cell","id":"ITEM-2","issue":"6","issued":{"date-parts":[["2014","6","5"]]},"page":"781-95","publisher":"NIH Public Access","title":"Pathways disrupted in human ALS motor neurons identified through genetic correction of mutant SOD1.","type":"article-journal","volume":"14"},"uris":["http://www.mendeley.com/documents/?uuid=939f9243-9201-3809-87b7-2ebdc6e6fc66"]},{"id":"ITEM-3","itemData":{"DOI":"10.1371/journal.pone.0039483","ISSN":"1932-6203","PMID":"22724023","abstract":"Mutations in the fused in sarcoma/translated in liposarcoma gene (FUS/TLS, FUS) have been identified in sporadic and familial forms of amyotrophic lateral sclerosis (ALS). FUS is an RNA-binding protein that is normally localized in the nucleus, but is mislocalized to the cytoplasm in ALS, and comprises cytoplasmic inclusions in ALS-affected areas. However, it is still unknown whether the neurodegeneration that occurs in ALS is caused by the loss of FUS nuclear function, or by the gain of toxic function due to cytoplasmic FUS aggregation. Cabeza (Caz) is a Drosophila orthologue of human FUS. Here, we generated Drosophila models with Caz knockdown, and investigated their phenotypes. In wild-type Drosophila, Caz was strongly expressed in the central nervous system of larvae and adults. Caz did not colocalize with a presynaptic marker, suggesting that Caz physiologically functions in neuronal cell bodies and/or their axons. Fly models with neuron-specific Caz knockdown exhibited reduced climbing ability in adulthood and anatomical defects in presynaptic terminals of motoneurons in third instar larvae. Our results demonstrated that decreased expression of Drosophila Caz is sufficient to cause degeneration of motoneurons and locomotive disability in the absence of abnormal cytoplasmic Caz aggregates, suggesting that the pathogenic mechanism underlying FUS-related ALS should be ascribed more to the loss of physiological FUS functions in the nucleus than to the toxicity of cytoplasmic FUS aggregates. Since the Caz-knockdown Drosophila model we presented recapitulates key features of human ALS, it would be a suitable animal model for the screening of genes and chemicals that might modify the pathogenic processes that lead to the degeneration of motoneurons in ALS.","author":[{"dropping-particle":"","family":"Sasayama","given":"Hiroshi","non-dropping-particle":"","parse-names":false,"suffix":""},{"dropping-particle":"","family":"Shimamura","given":"Mai","non-dropping-particle":"","parse-names":false,"suffix":""},{"dropping-particle":"","family":"Tokuda","given":"Takahiko","non-dropping-particle":"","parse-names":false,"suffix":""},{"dropping-particle":"","family":"Azuma","given":"Yumiko","non-dropping-particle":"","parse-names":false,"suffix":""},{"dropping-particle":"","family":"Yoshida","given":"Tomokatsu","non-dropping-particle":"","parse-names":false,"suffix":""},{"dropping-particle":"","family":"Mizuno","given":"Toshiki","non-dropping-particle":"","parse-names":false,"suffix":""},{"dropping-particle":"","family":"Nakagawa","given":"Masanori","non-dropping-particle":"","parse-names":false,"suffix":""},{"dropping-particle":"","family":"Fujikake","given":"Nobuhiro","non-dropping-particle":"","parse-names":false,"suffix":""},{"dropping-particle":"","family":"Nagai","given":"Yoshitaka","non-dropping-particle":"","parse-names":false,"suffix":""},{"dropping-particle":"","family":"Yamaguchi","given":"Masamitsu","non-dropping-particle":"","parse-names":false,"suffix":""}],"container-title":"PloS one","id":"ITEM-3","issue":"6","issued":{"date-parts":[["2012"]]},"page":"e39483","publisher":"Public Library of Science","title":"Knockdown of the Drosophila fused in sarcoma (FUS) homologue causes deficient locomotive behavior and shortening of motoneuron terminal branches.","type":"article-journal","volume":"7"},"uris":["http://www.mendeley.com/documents/?uuid=b25748d4-b3ea-304c-9da2-2e7d2affb324"]}],"mendeley":{"formattedCitation":"&lt;sup&gt;189–191&lt;/sup&gt;","plainTextFormattedCitation":"189–191","previouslyFormattedCitation":"&lt;sup&gt;189–191&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189–191</w:t>
      </w:r>
      <w:r w:rsidRPr="0082680A">
        <w:rPr>
          <w:lang w:val="en-GB"/>
        </w:rPr>
        <w:fldChar w:fldCharType="end"/>
      </w:r>
      <w:r w:rsidRPr="0082680A">
        <w:rPr>
          <w:lang w:val="en-GB"/>
        </w:rPr>
        <w:t xml:space="preserve">. Knockdown of our genetic control </w:t>
      </w:r>
      <w:r w:rsidRPr="0082680A">
        <w:rPr>
          <w:i/>
          <w:lang w:val="en-GB"/>
        </w:rPr>
        <w:t>EPS15</w:t>
      </w:r>
      <w:r w:rsidRPr="0082680A">
        <w:rPr>
          <w:lang w:val="en-GB"/>
        </w:rPr>
        <w:t xml:space="preserve"> produced no visible change in phenotype, as expected. Consequently, our use of many other sources of information in our prioritisation process - rather than genetic perturbation alone - is supported. From our analysis, the gene </w:t>
      </w:r>
      <w:r w:rsidRPr="0082680A">
        <w:rPr>
          <w:i/>
          <w:lang w:val="en-GB"/>
        </w:rPr>
        <w:t>DDX1</w:t>
      </w:r>
      <w:r w:rsidRPr="0082680A">
        <w:rPr>
          <w:lang w:val="en-GB"/>
        </w:rPr>
        <w:t xml:space="preserve"> caused visible cell death, not reported in any of the other experiments. Without replication and further analysis, we cannot know whether this neuronal death is akin to neurodegeneration or whether the absence of </w:t>
      </w:r>
      <w:r w:rsidRPr="0082680A">
        <w:rPr>
          <w:i/>
          <w:lang w:val="en-GB"/>
        </w:rPr>
        <w:t>DDX1</w:t>
      </w:r>
      <w:r w:rsidRPr="0082680A">
        <w:rPr>
          <w:lang w:val="en-GB"/>
        </w:rPr>
        <w:t xml:space="preserve"> is lethal. It is promising that some cells survive to 20 days, however this cannot necessarily be compared with neurodegeneration in patients, whose onset is generally in later life. As </w:t>
      </w:r>
      <w:r w:rsidRPr="0082680A">
        <w:rPr>
          <w:i/>
          <w:lang w:val="en-GB"/>
        </w:rPr>
        <w:t>DDX1</w:t>
      </w:r>
      <w:r w:rsidRPr="0082680A">
        <w:rPr>
          <w:lang w:val="en-GB"/>
        </w:rPr>
        <w:t xml:space="preserve"> is involved in transcription processes, it is unsurprising that its reduced expression could </w:t>
      </w:r>
      <w:r w:rsidR="008A1360" w:rsidRPr="0082680A">
        <w:rPr>
          <w:lang w:val="en-GB"/>
        </w:rPr>
        <w:t>have lethal repercussions for a</w:t>
      </w:r>
      <w:r w:rsidRPr="0082680A">
        <w:rPr>
          <w:lang w:val="en-GB"/>
        </w:rPr>
        <w:t xml:space="preserve"> cell. These experiments will need to be replicated and characterised to confirm the result and further investigate its mechanisms. </w:t>
      </w:r>
    </w:p>
    <w:p w14:paraId="6C8EEA96" w14:textId="77777777" w:rsidR="007766C3" w:rsidRPr="0082680A" w:rsidRDefault="007766C3" w:rsidP="007766C3">
      <w:pPr>
        <w:rPr>
          <w:lang w:val="en-GB"/>
        </w:rPr>
      </w:pPr>
    </w:p>
    <w:p w14:paraId="0928A2C3" w14:textId="779E07EB" w:rsidR="007766C3" w:rsidRPr="0082680A" w:rsidRDefault="007766C3" w:rsidP="007766C3">
      <w:pPr>
        <w:rPr>
          <w:lang w:val="en-GB"/>
        </w:rPr>
      </w:pPr>
      <w:r w:rsidRPr="0082680A">
        <w:rPr>
          <w:lang w:val="en-GB"/>
        </w:rPr>
        <w:t xml:space="preserve">The most significant result was that of </w:t>
      </w:r>
      <w:r w:rsidRPr="0082680A">
        <w:rPr>
          <w:i/>
          <w:lang w:val="en-GB"/>
        </w:rPr>
        <w:t>YBX1</w:t>
      </w:r>
      <w:r w:rsidRPr="0082680A">
        <w:rPr>
          <w:lang w:val="en-GB"/>
        </w:rPr>
        <w:t>. By Day 20, TDP-43 protein had become increasingly apparent in the cytoplasm of the neuronal cell bodies. Mislocalisation of TDP-43 from the nucleus into the cytoplasm is a key event contributing to TDP-43 dysfunction.</w:t>
      </w:r>
      <w:r w:rsidR="008A1360" w:rsidRPr="0082680A">
        <w:rPr>
          <w:lang w:val="en-GB"/>
        </w:rPr>
        <w:t xml:space="preserve"> Like TDP-43, YBX1 protein has been shown to localise to stress granules during episodes of cellular stress </w:t>
      </w:r>
      <w:r w:rsidR="008A1360" w:rsidRPr="0082680A">
        <w:rPr>
          <w:lang w:val="en-GB"/>
        </w:rPr>
        <w:fldChar w:fldCharType="begin" w:fldLock="1"/>
      </w:r>
      <w:r w:rsidR="000507BA">
        <w:rPr>
          <w:lang w:val="en-GB"/>
        </w:rPr>
        <w:instrText>ADDIN CSL_CITATION {"citationItems":[{"id":"ITEM-1","itemData":{"DOI":"10.1016/S0076-6879(07)31005-7","ISSN":"0076-6879","PMID":"17923231","abstract":"The packaging of cytoplasmic mRNA into discrete RNA granules regulates gene expression by delaying the translation of specific transcripts. Specialized RNA granules found in germ cells direct the timing of maternal mRNA translation to promote germ cell development in the early embryo and establish the germ line for the next generation. Similarly, select neuronal mRNA transcripts are packaged into translationally inert RNA granules, transported to sites where their protein products are required, and only then activated and translated. Following translation, however, newly inactivated mRNAs released from polysomes can also be packaged into dynamic, transient structures known as stress granules (SGs) and processing bodies (PBs). Stress granules are composed largely of stalled preinitiation complexes, and contain mRNA, small ribosomal subunits, eIF3, eIF4E, eIF4G, and PABP, as their core components. PBs are associated with mRNA decay and contain the decapping enzymes DCP1/2, the 5' to 3' exonuclease Xrn1, the Lsm proteins (1-7), and the scaffolding proteins hedls/GE-1 and GW182. Both SGs and PBs contain mRNA, eIF4E, microRNAs and argonaute proteins, and various regulators of mRNA stability and translation (TTP, RCK/p54, and CPEB). Thus, SGs and PBs share some protein and mRNA components, but also contain a number of unique markers specific to each structure. We describe markers and staining procedures used to identify these distinct types of RNA granules, describe conditions that promote their assembly and disassembly, and establish YB-1 as a useful marker of SGs and PBs.","author":[{"dropping-particle":"","family":"Kedersha","given":"Nancy","non-dropping-particle":"","parse-names":false,"suffix":""},{"dropping-particle":"","family":"Anderson","given":"Paul","non-dropping-particle":"","parse-names":false,"suffix":""}],"container-title":"Methods in enzymology","id":"ITEM-1","issued":{"date-parts":[["2007"]]},"page":"61-81","title":"Mammalian Stress Granules and Processing Bodies","type":"chapter","volume":"431"},"uris":["http://www.mendeley.com/documents/?uuid=4b34ddf3-f8a5-358a-9768-1ccd1e21f7d2"]}],"mendeley":{"formattedCitation":"&lt;sup&gt;192&lt;/sup&gt;","plainTextFormattedCitation":"192","previouslyFormattedCitation":"&lt;sup&gt;192&lt;/sup&gt;"},"properties":{"noteIndex":0},"schema":"https://github.com/citation-style-language/schema/raw/master/csl-citation.json"}</w:instrText>
      </w:r>
      <w:r w:rsidR="008A1360" w:rsidRPr="0082680A">
        <w:rPr>
          <w:lang w:val="en-GB"/>
        </w:rPr>
        <w:fldChar w:fldCharType="separate"/>
      </w:r>
      <w:r w:rsidR="00426B19" w:rsidRPr="00426B19">
        <w:rPr>
          <w:noProof/>
          <w:vertAlign w:val="superscript"/>
          <w:lang w:val="en-GB"/>
        </w:rPr>
        <w:t>192</w:t>
      </w:r>
      <w:r w:rsidR="008A1360" w:rsidRPr="0082680A">
        <w:rPr>
          <w:lang w:val="en-GB"/>
        </w:rPr>
        <w:fldChar w:fldCharType="end"/>
      </w:r>
      <w:r w:rsidR="008A1360" w:rsidRPr="0082680A">
        <w:rPr>
          <w:lang w:val="en-GB"/>
        </w:rPr>
        <w:t xml:space="preserve">. In a study using a human osteosarcoma cell model, inactivation of YBX1 significantly reduced the formation of stress granules </w:t>
      </w:r>
      <w:r w:rsidR="008A1360" w:rsidRPr="0082680A">
        <w:rPr>
          <w:lang w:val="en-GB"/>
        </w:rPr>
        <w:fldChar w:fldCharType="begin" w:fldLock="1"/>
      </w:r>
      <w:r w:rsidR="000507BA">
        <w:rPr>
          <w:lang w:val="en-GB"/>
        </w:rPr>
        <w:instrText>ADDIN CSL_CITATION {"citationItems":[{"id":"ITEM-1","itemData":{"DOI":"10.1083/jcb.201411047","ISSN":"1540-8140","PMID":"25800057","abstract":"Under cell stress, global protein synthesis is inhibited to preserve energy. One mechanism is to sequester and silence mRNAs in ribonucleoprotein complexes known as stress granules (SGs), which contain translationally silent mRNAs, preinitiation factors, and RNA-binding proteins. Y-box binding protein 1 (YB-1) localizes to SGs, but its role in SG biology is unknown. We now report that YB-1 directly binds to and translationally activates the 5' untranslated region (UTR) of G3BP1 mRNAs, thereby controlling the availability of the G3BP1 SG nucleator for SG assembly. YB-1 inactivation in human sarcoma cells dramatically reduces G3BP1 and SG formation in vitro. YB-1 and G3BP1 expression are highly correlated in human sarcomas, and elevated G3BP1 expression correlates with poor survival. Finally, G3BP1 down-regulation in sarcoma xenografts prevents in vivo SG formation and tumor invasion, and completely blocks lung metastasis in mouse models. Together, these findings demonstrate a critical role for YB-1 in SG formation through translational activation of G3BP1, and highlight novel functions for SGs in tumor progression.","author":[{"dropping-particle":"","family":"Somasekharan","given":"Syam Prakash","non-dropping-particle":"","parse-names":false,"suffix":""},{"dropping-particle":"","family":"El-Naggar","given":"Amal","non-dropping-particle":"","parse-names":false,"suffix":""},{"dropping-particle":"","family":"Leprivier","given":"Gabriel","non-dropping-particle":"","parse-names":false,"suffix":""},{"dropping-particle":"","family":"Cheng","given":"Hongwei","non-dropping-particle":"","parse-names":false,"suffix":""},{"dropping-particle":"","family":"Hajee","given":"Shamil","non-dropping-particle":"","parse-names":false,"suffix":""},{"dropping-particle":"","family":"Grunewald","given":"Thomas G P","non-dropping-particle":"","parse-names":false,"suffix":""},{"dropping-particle":"","family":"Zhang","given":"Fan","non-dropping-particle":"","parse-names":false,"suffix":""},{"dropping-particle":"","family":"Ng","given":"Tony","non-dropping-particle":"","parse-names":false,"suffix":""},{"dropping-particle":"","family":"Delattre","given":"Olivier","non-dropping-particle":"","parse-names":false,"suffix":""},{"dropping-particle":"","family":"Evdokimova","given":"Valentina","non-dropping-particle":"","parse-names":false,"suffix":""},{"dropping-particle":"","family":"Wang","given":"Yuzhuo","non-dropping-particle":"","parse-names":false,"suffix":""},{"dropping-particle":"","family":"Gleave","given":"Martin","non-dropping-particle":"","parse-names":false,"suffix":""},{"dropping-particle":"","family":"Sorensen","given":"Poul H","non-dropping-particle":"","parse-names":false,"suffix":""}],"container-title":"The Journal of cell biology","id":"ITEM-1","issue":"7","issued":{"date-parts":[["2015","3","30"]]},"page":"913-29","publisher":"The Rockefeller University Press","title":"YB-1 regulates stress granule formation and tumor progression by translationally activating G3BP1.","type":"article-journal","volume":"208"},"uris":["http://www.mendeley.com/documents/?uuid=1567fdf6-8556-3f06-9970-f47787149f82"]}],"mendeley":{"formattedCitation":"&lt;sup&gt;193&lt;/sup&gt;","plainTextFormattedCitation":"193","previouslyFormattedCitation":"&lt;sup&gt;193&lt;/sup&gt;"},"properties":{"noteIndex":0},"schema":"https://github.com/citation-style-language/schema/raw/master/csl-citation.json"}</w:instrText>
      </w:r>
      <w:r w:rsidR="008A1360" w:rsidRPr="0082680A">
        <w:rPr>
          <w:lang w:val="en-GB"/>
        </w:rPr>
        <w:fldChar w:fldCharType="separate"/>
      </w:r>
      <w:r w:rsidR="00426B19" w:rsidRPr="00426B19">
        <w:rPr>
          <w:noProof/>
          <w:vertAlign w:val="superscript"/>
          <w:lang w:val="en-GB"/>
        </w:rPr>
        <w:t>193</w:t>
      </w:r>
      <w:r w:rsidR="008A1360" w:rsidRPr="0082680A">
        <w:rPr>
          <w:lang w:val="en-GB"/>
        </w:rPr>
        <w:fldChar w:fldCharType="end"/>
      </w:r>
      <w:r w:rsidR="008A1360" w:rsidRPr="0082680A">
        <w:rPr>
          <w:lang w:val="en-GB"/>
        </w:rPr>
        <w:t xml:space="preserve">. Reduced stress granule formation is also an effect of inactivated TDP-43 </w:t>
      </w:r>
      <w:r w:rsidR="008A1360" w:rsidRPr="0082680A">
        <w:rPr>
          <w:lang w:val="en-GB"/>
        </w:rPr>
        <w:fldChar w:fldCharType="begin" w:fldLock="1"/>
      </w:r>
      <w:r w:rsidR="000507BA">
        <w:rPr>
          <w:lang w:val="en-GB"/>
        </w:rPr>
        <w:instrText>ADDIN CSL_CITATION {"citationItems":[{"id":"ITEM-1","itemData":{"DOI":"10.1093/hmg/ddr021","ISSN":"1460-2083","PMID":"21257637","abstract":"TAR deoxyribonucleic acid-binding protein 43 (TDP-43) is a multifunctional protein with roles in transcription, pre-messenger ribonucleic acid (mRNA) splicing, mRNA stability and transport. TDP-43 interacts with other heterogeneous nuclear ribonucleoproteins (hnRNPs), including hnRNP A2, via its C-terminus and several hnRNP family members are involved in the cellular stress response. This relationship led us to investigate the role of TDP-43 in cellular stress. Our results demonstrate that TDP-43 and hnRNP A2 are localized to stress granules (SGs), following oxidative stress, heat shock and exposure to thapsigargin. TDP-43 contributes to both the assembly and maintenance of SGs in response to oxidative stress and differentially regulates key SGs components, including TIA-1 and G3BP. The controlled aggregation of TIA-1 is disrupted in the absence of TDP-43 resulting in slowed SG formation. In addition, TDP-43 regulates the levels of G3BP mRNA, a SG nucleating factor. The disease-associated mutation TDP-43(R361S) is a loss-of-function mutation with regards to SG formation and confers alterations in levels of G3BP and TIA-1. In contrast, a second mutation TDP-43(D169G) does not impact this pathway. Thus, mutations in TDP-43 are mechanistically divergent. Finally, the cellular function of TDP-43 extends beyond splicing and places TDP-43 as a participant of the central cellular response to stress and an active player in RNA storage.","author":[{"dropping-particle":"","family":"McDonald","given":"Karli K.","non-dropping-particle":"","parse-names":false,"suffix":""},{"dropping-particle":"","family":"Aulas","given":"Anaïs","non-dropping-particle":"","parse-names":false,"suffix":""},{"dropping-particle":"","family":"Destroismaisons","given":"Laurie","non-dropping-particle":"","parse-names":false,"suffix":""},{"dropping-particle":"","family":"Pickles","given":"Sarah","non-dropping-particle":"","parse-names":false,"suffix":""},{"dropping-particle":"","family":"Beleac","given":"Evghenia","non-dropping-particle":"","parse-names":false,"suffix":""},{"dropping-particle":"","family":"Camu","given":"William","non-dropping-particle":"","parse-names":false,"suffix":""},{"dropping-particle":"","family":"Rouleau","given":"Guy A.","non-dropping-particle":"","parse-names":false,"suffix":""},{"dropping-particle":"","family":"Velde","given":"Christine","non-dropping-particle":"Vande","parse-names":false,"suffix":""}],"container-title":"Human Molecular Genetics","id":"ITEM-1","issue":"7","issued":{"date-parts":[["2011","4","1"]]},"page":"1400-1410","title":"TAR DNA-binding protein 43 (TDP-43) regulates stress granule dynamics via differential regulation of G3BP and TIA-1","type":"article-journal","volume":"20"},"uris":["http://www.mendeley.com/documents/?uuid=d612cdf3-2a9e-34e0-99be-49e366e31767"]}],"mendeley":{"formattedCitation":"&lt;sup&gt;194&lt;/sup&gt;","plainTextFormattedCitation":"194","previouslyFormattedCitation":"&lt;sup&gt;194&lt;/sup&gt;"},"properties":{"noteIndex":0},"schema":"https://github.com/citation-style-language/schema/raw/master/csl-citation.json"}</w:instrText>
      </w:r>
      <w:r w:rsidR="008A1360" w:rsidRPr="0082680A">
        <w:rPr>
          <w:lang w:val="en-GB"/>
        </w:rPr>
        <w:fldChar w:fldCharType="separate"/>
      </w:r>
      <w:r w:rsidR="00426B19" w:rsidRPr="00426B19">
        <w:rPr>
          <w:noProof/>
          <w:vertAlign w:val="superscript"/>
          <w:lang w:val="en-GB"/>
        </w:rPr>
        <w:t>194</w:t>
      </w:r>
      <w:r w:rsidR="008A1360" w:rsidRPr="0082680A">
        <w:rPr>
          <w:lang w:val="en-GB"/>
        </w:rPr>
        <w:fldChar w:fldCharType="end"/>
      </w:r>
      <w:r w:rsidR="008A1360" w:rsidRPr="0082680A">
        <w:rPr>
          <w:lang w:val="en-GB"/>
        </w:rPr>
        <w:t xml:space="preserve">. </w:t>
      </w:r>
      <w:r w:rsidRPr="0082680A">
        <w:rPr>
          <w:lang w:val="en-GB"/>
        </w:rPr>
        <w:t xml:space="preserve">Further analyses would </w:t>
      </w:r>
      <w:r w:rsidR="00900D66" w:rsidRPr="0082680A">
        <w:rPr>
          <w:lang w:val="en-GB"/>
        </w:rPr>
        <w:t xml:space="preserve">require </w:t>
      </w:r>
      <w:r w:rsidRPr="0082680A">
        <w:rPr>
          <w:lang w:val="en-GB"/>
        </w:rPr>
        <w:t>quantif</w:t>
      </w:r>
      <w:r w:rsidR="00900D66" w:rsidRPr="0082680A">
        <w:rPr>
          <w:lang w:val="en-GB"/>
        </w:rPr>
        <w:t xml:space="preserve">ication of TDP-43 protein levels to see if </w:t>
      </w:r>
      <w:r w:rsidRPr="0082680A">
        <w:rPr>
          <w:lang w:val="en-GB"/>
        </w:rPr>
        <w:t xml:space="preserve">the additional presence of TDP-43 in the cytoplasm is accompanied by a loss of cytoplasmic protein. Subject to replication, </w:t>
      </w:r>
      <w:r w:rsidRPr="0082680A">
        <w:rPr>
          <w:i/>
          <w:lang w:val="en-GB"/>
        </w:rPr>
        <w:t>YBX1</w:t>
      </w:r>
      <w:r w:rsidRPr="0082680A">
        <w:rPr>
          <w:lang w:val="en-GB"/>
        </w:rPr>
        <w:t xml:space="preserve"> </w:t>
      </w:r>
      <w:r w:rsidR="00900D66" w:rsidRPr="0082680A">
        <w:rPr>
          <w:lang w:val="en-GB"/>
        </w:rPr>
        <w:t>could</w:t>
      </w:r>
      <w:r w:rsidRPr="0082680A">
        <w:rPr>
          <w:lang w:val="en-GB"/>
        </w:rPr>
        <w:t xml:space="preserve"> </w:t>
      </w:r>
      <w:r w:rsidR="00900D66" w:rsidRPr="0082680A">
        <w:rPr>
          <w:lang w:val="en-GB"/>
        </w:rPr>
        <w:t xml:space="preserve">plausibly </w:t>
      </w:r>
      <w:r w:rsidRPr="0082680A">
        <w:rPr>
          <w:lang w:val="en-GB"/>
        </w:rPr>
        <w:t>represent a key driver of TDP-43 cytoplasmic gain</w:t>
      </w:r>
      <w:r w:rsidR="00900D66" w:rsidRPr="0082680A">
        <w:rPr>
          <w:lang w:val="en-GB"/>
        </w:rPr>
        <w:t>, and possibly nuclear loss as well</w:t>
      </w:r>
      <w:r w:rsidRPr="0082680A">
        <w:rPr>
          <w:lang w:val="en-GB"/>
        </w:rPr>
        <w:t xml:space="preserve">. </w:t>
      </w:r>
    </w:p>
    <w:p w14:paraId="30930DCF" w14:textId="432F3751" w:rsidR="007766C3" w:rsidRPr="0082680A" w:rsidRDefault="007766C3" w:rsidP="007766C3">
      <w:pPr>
        <w:rPr>
          <w:lang w:val="en-GB"/>
        </w:rPr>
      </w:pPr>
      <w:r w:rsidRPr="0082680A">
        <w:rPr>
          <w:lang w:val="en-GB"/>
        </w:rPr>
        <w:br w:type="page"/>
      </w:r>
    </w:p>
    <w:p w14:paraId="338A4FBA" w14:textId="77777777" w:rsidR="00EB41E2" w:rsidRPr="00842FD0" w:rsidRDefault="00EB41E2" w:rsidP="00842FD0">
      <w:pPr>
        <w:pStyle w:val="Heading2"/>
      </w:pPr>
      <w:bookmarkStart w:id="203" w:name="_akj8vul3i2xq" w:colFirst="0" w:colLast="0"/>
      <w:bookmarkStart w:id="204" w:name="_Toc3211382"/>
      <w:bookmarkEnd w:id="203"/>
      <w:r w:rsidRPr="00842FD0">
        <w:lastRenderedPageBreak/>
        <w:t>Discussion</w:t>
      </w:r>
      <w:bookmarkEnd w:id="204"/>
    </w:p>
    <w:p w14:paraId="5AE618B0" w14:textId="77777777" w:rsidR="00396E1F" w:rsidRPr="0082680A" w:rsidRDefault="00EB41E2" w:rsidP="00396E1F">
      <w:pPr>
        <w:rPr>
          <w:lang w:val="en-GB"/>
        </w:rPr>
      </w:pPr>
      <w:r w:rsidRPr="0082680A">
        <w:rPr>
          <w:lang w:val="en-GB"/>
        </w:rPr>
        <w:t xml:space="preserve">The objective of this study was to develop a methodology that could successfully isolate upstream drivers of TDP-43 dysfunction from the relatively sparse data available. Through combination of transcriptomic, proteomic, and genetic data, we have identified a tightly coexpressed, functionally coherent network module generated from a variety of conditions, platforms, and genetic backgrounds. </w:t>
      </w:r>
    </w:p>
    <w:p w14:paraId="721E8701" w14:textId="77777777" w:rsidR="00396E1F" w:rsidRPr="0082680A" w:rsidRDefault="00396E1F" w:rsidP="00396E1F">
      <w:pPr>
        <w:rPr>
          <w:lang w:val="en-GB"/>
        </w:rPr>
      </w:pPr>
    </w:p>
    <w:p w14:paraId="6F2BE139" w14:textId="4015BC57" w:rsidR="00396E1F" w:rsidRPr="0082680A" w:rsidRDefault="00396E1F" w:rsidP="00396E1F">
      <w:pPr>
        <w:rPr>
          <w:lang w:val="en-GB"/>
        </w:rPr>
      </w:pPr>
      <w:r w:rsidRPr="0082680A">
        <w:rPr>
          <w:lang w:val="en-GB"/>
        </w:rPr>
        <w:t>The</w:t>
      </w:r>
      <w:r w:rsidR="00EB41E2" w:rsidRPr="0082680A">
        <w:rPr>
          <w:lang w:val="en-GB"/>
        </w:rPr>
        <w:t xml:space="preserve"> coexpression module </w:t>
      </w:r>
      <w:r w:rsidRPr="0082680A">
        <w:rPr>
          <w:lang w:val="en-GB"/>
        </w:rPr>
        <w:t xml:space="preserve">revealed significant enrichment for immune and proteasomal pathways. The immune response and neurodegeneration have been linked frequently in the last two decades, and is becoming a prevailing theory for the propensity to develop a neurodegenerative condition </w:t>
      </w:r>
      <w:r w:rsidRPr="0082680A">
        <w:rPr>
          <w:lang w:val="en-GB"/>
        </w:rPr>
        <w:fldChar w:fldCharType="begin" w:fldLock="1"/>
      </w:r>
      <w:r w:rsidR="000507BA">
        <w:rPr>
          <w:lang w:val="en-GB"/>
        </w:rPr>
        <w:instrText>ADDIN CSL_CITATION {"citationItems":[{"id":"ITEM-1","itemData":{"DOI":"10.1016/j.cell.2010.02.016","ISSN":"1097-4172","PMID":"20303880","abstract":"Inflammation is associated with many neurodegenerative diseases, including Alzheimer's disease, Parkinson's disease, amyotrophic lateral sclerosis, and multiple sclerosis. In this Review, we discuss inducers, sensors, transducers, and effectors of neuroinflammation that contribute to neuronal dysfunction and death. Although inducers of inflammation may be generated in a disease-specific manner, there is evidence for a remarkable convergence in the mechanisms responsible for the sensing, transduction, and amplification of inflammatory processes that result in the production of neurotoxic mediators. A major unanswered question is whether pharmacological inhibition of inflammation pathways will be able to safely reverse or slow the course of disease.","author":[{"dropping-particle":"","family":"Glass","given":"Christopher K","non-dropping-particle":"","parse-names":false,"suffix":""},{"dropping-particle":"","family":"Saijo","given":"Kaoru","non-dropping-particle":"","parse-names":false,"suffix":""},{"dropping-particle":"","family":"Winner","given":"Beate","non-dropping-particle":"","parse-names":false,"suffix":""},{"dropping-particle":"","family":"Marchetto","given":"Maria Carolina","non-dropping-particle":"","parse-names":false,"suffix":""},{"dropping-particle":"","family":"Gage","given":"Fred H","non-dropping-particle":"","parse-names":false,"suffix":""}],"container-title":"Cell","id":"ITEM-1","issue":"6","issued":{"date-parts":[["2010","3","19"]]},"page":"918-34","publisher":"NIH Public Access","title":"Mechanisms underlying inflammation in neurodegeneration.","type":"article-journal","volume":"140"},"uris":["http://www.mendeley.com/documents/?uuid=1ad5b603-0ad0-3c88-b721-3981adefa77a"]}],"mendeley":{"formattedCitation":"&lt;sup&gt;195&lt;/sup&gt;","plainTextFormattedCitation":"195","previouslyFormattedCitation":"&lt;sup&gt;195&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195</w:t>
      </w:r>
      <w:r w:rsidRPr="0082680A">
        <w:rPr>
          <w:lang w:val="en-GB"/>
        </w:rPr>
        <w:fldChar w:fldCharType="end"/>
      </w:r>
      <w:r w:rsidRPr="0082680A">
        <w:rPr>
          <w:lang w:val="en-GB"/>
        </w:rPr>
        <w:t xml:space="preserve">. More relevant to this investigation, early immune response has been linked to a number of neurodegenerative pathologies including TDP-43 aggregates </w:t>
      </w:r>
      <w:r w:rsidRPr="0082680A">
        <w:rPr>
          <w:lang w:val="en-GB"/>
        </w:rPr>
        <w:fldChar w:fldCharType="begin" w:fldLock="1"/>
      </w:r>
      <w:r w:rsidR="000507BA">
        <w:rPr>
          <w:lang w:val="en-GB"/>
        </w:rPr>
        <w:instrText>ADDIN CSL_CITATION {"citationItems":[{"id":"ITEM-1","itemData":{"DOI":"10.1016/j.jneuroim.2011.07.002","ISSN":"1872-8421","PMID":"21820744","abstract":"Inflammation is secondary to protein accumulation in neurodegenerative diseases, including Alzheimer's, Parkinson's and Amyotrophic Lateral Sclerosis. Emerging evidence indicate sustained inflammatory responses, involving microglia and astrocytes in animal models of neurodegeneration. It is unknown whether inflammation is beneficial or detrimental to disease progression and how inflammatory responses are induced within the CNS. Persistence of an inflammatory stimulus or failure to resolve sustained inflammation can result in pathology, thus, mechanisms that counteract inflammation are indispensable. Here we review studies on inflammation mediated by innate and adaptive immunity in the early stages of neurodegeneration and highlight important areas for future investigation.","author":[{"dropping-particle":"","family":"Khandelwal","given":"Preeti J","non-dropping-particle":"","parse-names":false,"suffix":""},{"dropping-particle":"","family":"Herman","given":"Alexander M","non-dropping-particle":"","parse-names":false,"suffix":""},{"dropping-particle":"","family":"Moussa","given":"Charbel E-H","non-dropping-particle":"","parse-names":false,"suffix":""}],"container-title":"Journal of neuroimmunology","id":"ITEM-1","issue":"1-2","issued":{"date-parts":[["2011","9","15"]]},"page":"1-11","publisher":"NIH Public Access","title":"Inflammation in the early stages of neurodegenerative pathology.","type":"article-journal","volume":"238"},"uris":["http://www.mendeley.com/documents/?uuid=aeb43052-025e-321f-878c-d16a6b44b93e"]}],"mendeley":{"formattedCitation":"&lt;sup&gt;196&lt;/sup&gt;","plainTextFormattedCitation":"196","previouslyFormattedCitation":"&lt;sup&gt;196&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196</w:t>
      </w:r>
      <w:r w:rsidRPr="0082680A">
        <w:rPr>
          <w:lang w:val="en-GB"/>
        </w:rPr>
        <w:fldChar w:fldCharType="end"/>
      </w:r>
      <w:r w:rsidRPr="0082680A">
        <w:rPr>
          <w:lang w:val="en-GB"/>
        </w:rPr>
        <w:t xml:space="preserve">. The specific relationship between these aggregations and an immune response is unclear, however one hypothesis suggests the immune response could be activated as the result of removal of cellular detritus, such as misfolded proteins </w:t>
      </w:r>
      <w:r w:rsidRPr="0082680A">
        <w:rPr>
          <w:lang w:val="en-GB"/>
        </w:rPr>
        <w:fldChar w:fldCharType="begin" w:fldLock="1"/>
      </w:r>
      <w:r w:rsidR="000507BA">
        <w:rPr>
          <w:lang w:val="en-GB"/>
        </w:rPr>
        <w:instrText>ADDIN CSL_CITATION {"citationItems":[{"id":"ITEM-1","itemData":{"DOI":"10.1002/mus.10191","ISSN":"0148-639X","author":[{"dropping-particle":"","family":"McGeer","given":"P. L.","non-dropping-particle":"","parse-names":false,"suffix":""},{"dropping-particle":"","family":"McGeer","given":"E. G.","non-dropping-particle":"","parse-names":false,"suffix":""}],"container-title":"Muscle &amp; Nerve","id":"ITEM-1","issue":"4","issued":{"date-parts":[["2002","10","1"]]},"page":"459-470","publisher":"Wiley-Blackwell","title":"Inflammatory processes in amyotrophic lateral sclerosis","type":"article-journal","volume":"26"},"uris":["http://www.mendeley.com/documents/?uuid=b259ca19-31cd-34d7-9408-d7f89d4066e2"]}],"mendeley":{"formattedCitation":"&lt;sup&gt;197&lt;/sup&gt;","plainTextFormattedCitation":"197","previouslyFormattedCitation":"&lt;sup&gt;197&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197</w:t>
      </w:r>
      <w:r w:rsidRPr="0082680A">
        <w:rPr>
          <w:lang w:val="en-GB"/>
        </w:rPr>
        <w:fldChar w:fldCharType="end"/>
      </w:r>
      <w:r w:rsidRPr="0082680A">
        <w:rPr>
          <w:lang w:val="en-GB"/>
        </w:rPr>
        <w:t xml:space="preserve">. The presence of enrichment for proteasomal pathways is unsurprising, also due to its well-documented role in the degradation of TDP-43 protein aggregation </w:t>
      </w:r>
      <w:r w:rsidRPr="0082680A">
        <w:rPr>
          <w:lang w:val="en-GB"/>
        </w:rPr>
        <w:fldChar w:fldCharType="begin" w:fldLock="1"/>
      </w:r>
      <w:r w:rsidR="000507BA">
        <w:rPr>
          <w:lang w:val="en-GB"/>
        </w:rPr>
        <w:instrText>ADDIN CSL_CITATION {"citationItems":[{"id":"ITEM-1","itemData":{"DOI":"10.1016/j.neulet.2009.11.055","ISSN":"03043940","PMID":"19944744","abstract":"TAR DNA-binding protein-43 (TDP-43) is a nuclear protein functioning in the regulation of transcription and mRNA splicing. TDP-43 is accumulated in ubiquitinated inclusions in frontotemporal lobar degeneration with ubiquitin-positive inclusions (FTLD-U) and amyotrophic lateral sclerosis (ALS) diseased brains. However, the pathways involved in the clearance of TDP-43 and its pathogenic form (TDP-25), a truncated form of TDP-43, are still not elucidated. In this study, we demonstrated that the protein levels of TDP-43 and TDP-25 were increased in cells treated with a proteasome inhibitor, MG132, or an autophagy inhibitor, 3-MA, whereas, they were decreased in cells treated with an enhancer of autophagy, trehalose. Furthermore, more protein level changes of TDP-25 than TDP-43 were observed in cells treated with above inhibitors or enhancer. Thus, our data suggest that TDP-43 and TDP-25 are degraded by both proteasome and autophagy with TDP-25 being more regulated.","author":[{"dropping-particle":"","family":"Wang","given":"Xiaoju","non-dropping-particle":"","parse-names":false,"suffix":""},{"dropping-particle":"","family":"Fan","given":"Huadong","non-dropping-particle":"","parse-names":false,"suffix":""},{"dropping-particle":"","family":"Ying","given":"Zheng","non-dropping-particle":"","parse-names":false,"suffix":""},{"dropping-particle":"","family":"Li","given":"Bin","non-dropping-particle":"","parse-names":false,"suffix":""},{"dropping-particle":"","family":"Wang","given":"Hongfeng","non-dropping-particle":"","parse-names":false,"suffix":""},{"dropping-particle":"","family":"Wang","given":"Guanghui","non-dropping-particle":"","parse-names":false,"suffix":""}],"container-title":"Neuroscience Letters","id":"ITEM-1","issue":"1","issued":{"date-parts":[["2010","1","18"]]},"page":"112-116","title":"Degradation of TDP-43 and its pathogenic form by autophagy and the ubiquitin-proteasome system","type":"article-journal","volume":"469"},"uris":["http://www.mendeley.com/documents/?uuid=7c886ad0-d32e-3693-882a-f8cab7067070"]}],"mendeley":{"formattedCitation":"&lt;sup&gt;198&lt;/sup&gt;","plainTextFormattedCitation":"198","previouslyFormattedCitation":"&lt;sup&gt;198&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198</w:t>
      </w:r>
      <w:r w:rsidRPr="0082680A">
        <w:rPr>
          <w:lang w:val="en-GB"/>
        </w:rPr>
        <w:fldChar w:fldCharType="end"/>
      </w:r>
      <w:r w:rsidRPr="0082680A">
        <w:rPr>
          <w:lang w:val="en-GB"/>
        </w:rPr>
        <w:t>. Overall, at a functional level the common coexpression network module reflected biology core to the processes we know are related to TDP-43 dysfunction.</w:t>
      </w:r>
    </w:p>
    <w:p w14:paraId="396A1D8C" w14:textId="36FC5ED3" w:rsidR="00396E1F" w:rsidRPr="0082680A" w:rsidRDefault="00396E1F" w:rsidP="00396E1F">
      <w:pPr>
        <w:rPr>
          <w:lang w:val="en-GB"/>
        </w:rPr>
      </w:pPr>
    </w:p>
    <w:p w14:paraId="5C216391" w14:textId="72E8D5C1" w:rsidR="00EB41E2" w:rsidRPr="0082680A" w:rsidRDefault="00396E1F" w:rsidP="00396E1F">
      <w:pPr>
        <w:rPr>
          <w:lang w:val="en-GB"/>
        </w:rPr>
      </w:pPr>
      <w:r w:rsidRPr="0082680A">
        <w:rPr>
          <w:lang w:val="en-GB"/>
        </w:rPr>
        <w:t>Although the module did not contain any reported GWAS variants associated by proxy with TDP-43 dysfunction, it did enrich for</w:t>
      </w:r>
      <w:r w:rsidR="00EB41E2" w:rsidRPr="0082680A">
        <w:rPr>
          <w:lang w:val="en-GB"/>
        </w:rPr>
        <w:t xml:space="preserve"> genes already documented to cause TDP-43 dysfunction in neurodegeneration</w:t>
      </w:r>
      <w:r w:rsidRPr="0082680A">
        <w:rPr>
          <w:lang w:val="en-GB"/>
        </w:rPr>
        <w:t>. Confident that our network contain</w:t>
      </w:r>
      <w:r w:rsidR="00FB32A9" w:rsidRPr="0082680A">
        <w:rPr>
          <w:lang w:val="en-GB"/>
        </w:rPr>
        <w:t>ed</w:t>
      </w:r>
      <w:r w:rsidRPr="0082680A">
        <w:rPr>
          <w:lang w:val="en-GB"/>
        </w:rPr>
        <w:t xml:space="preserve"> known risk genes, and therefore may contain novel upstream drivers, we applied a prioritisation protocol to identify the most likely candidates. Through collaboration, we conducted </w:t>
      </w:r>
      <w:r w:rsidRPr="0082680A">
        <w:rPr>
          <w:i/>
          <w:lang w:val="en-GB"/>
        </w:rPr>
        <w:t>in vitro</w:t>
      </w:r>
      <w:r w:rsidRPr="0082680A">
        <w:rPr>
          <w:lang w:val="en-GB"/>
        </w:rPr>
        <w:t xml:space="preserve"> analysis of our top 3 candidate</w:t>
      </w:r>
      <w:r w:rsidR="00B958C5" w:rsidRPr="0082680A">
        <w:rPr>
          <w:lang w:val="en-GB"/>
        </w:rPr>
        <w:t xml:space="preserve"> </w:t>
      </w:r>
      <w:r w:rsidR="00EB41E2" w:rsidRPr="0082680A">
        <w:rPr>
          <w:lang w:val="en-GB"/>
        </w:rPr>
        <w:t>gene</w:t>
      </w:r>
      <w:r w:rsidRPr="0082680A">
        <w:rPr>
          <w:lang w:val="en-GB"/>
        </w:rPr>
        <w:t>s in a neuronal iPSC model</w:t>
      </w:r>
      <w:r w:rsidR="00EB41E2" w:rsidRPr="0082680A">
        <w:rPr>
          <w:lang w:val="en-GB"/>
        </w:rPr>
        <w:t>,</w:t>
      </w:r>
      <w:r w:rsidRPr="0082680A">
        <w:rPr>
          <w:lang w:val="en-GB"/>
        </w:rPr>
        <w:t xml:space="preserve"> eventually implicating the gene</w:t>
      </w:r>
      <w:r w:rsidR="00EB41E2" w:rsidRPr="0082680A">
        <w:rPr>
          <w:lang w:val="en-GB"/>
        </w:rPr>
        <w:t xml:space="preserve"> </w:t>
      </w:r>
      <w:r w:rsidR="00EB41E2" w:rsidRPr="0082680A">
        <w:rPr>
          <w:i/>
          <w:lang w:val="en-GB"/>
        </w:rPr>
        <w:t>YBX1</w:t>
      </w:r>
      <w:r w:rsidRPr="0082680A">
        <w:rPr>
          <w:lang w:val="en-GB"/>
        </w:rPr>
        <w:t xml:space="preserve"> – a </w:t>
      </w:r>
      <w:r w:rsidR="00EB41E2" w:rsidRPr="0082680A">
        <w:rPr>
          <w:lang w:val="en-GB"/>
        </w:rPr>
        <w:t xml:space="preserve">significant potential upstream driver of </w:t>
      </w:r>
      <w:r w:rsidRPr="0082680A">
        <w:rPr>
          <w:lang w:val="en-GB"/>
        </w:rPr>
        <w:t>TDP-43 nuclear exportation</w:t>
      </w:r>
      <w:r w:rsidR="00EB41E2" w:rsidRPr="0082680A">
        <w:rPr>
          <w:lang w:val="en-GB"/>
        </w:rPr>
        <w:t xml:space="preserve">. Subject to characterisation, we have also identified another gene, </w:t>
      </w:r>
      <w:r w:rsidR="00EB41E2" w:rsidRPr="0082680A">
        <w:rPr>
          <w:i/>
          <w:lang w:val="en-GB"/>
        </w:rPr>
        <w:t>DDX1</w:t>
      </w:r>
      <w:r w:rsidR="00EB41E2" w:rsidRPr="0082680A">
        <w:rPr>
          <w:lang w:val="en-GB"/>
        </w:rPr>
        <w:t>, which cause</w:t>
      </w:r>
      <w:r w:rsidRPr="0082680A">
        <w:rPr>
          <w:lang w:val="en-GB"/>
        </w:rPr>
        <w:t>d</w:t>
      </w:r>
      <w:r w:rsidR="00EB41E2" w:rsidRPr="0082680A">
        <w:rPr>
          <w:lang w:val="en-GB"/>
        </w:rPr>
        <w:t xml:space="preserve"> marked cell deat</w:t>
      </w:r>
      <w:r w:rsidRPr="0082680A">
        <w:rPr>
          <w:lang w:val="en-GB"/>
        </w:rPr>
        <w:t>h</w:t>
      </w:r>
      <w:r w:rsidR="00EB41E2" w:rsidRPr="0082680A">
        <w:rPr>
          <w:lang w:val="en-GB"/>
        </w:rPr>
        <w:t>.</w:t>
      </w:r>
      <w:r w:rsidR="00855AF8">
        <w:rPr>
          <w:lang w:val="en-GB"/>
        </w:rPr>
        <w:t xml:space="preserve"> Although both genes have been associated with TDP-43 through their shared activity, no investigation has – until now – considered either of these genes to be upstream drivers of TDP-43’s dysregulation or subsequent neuronal death.</w:t>
      </w:r>
    </w:p>
    <w:p w14:paraId="7AC3A23F" w14:textId="452CD925" w:rsidR="003275E6" w:rsidRPr="0082680A" w:rsidRDefault="003275E6" w:rsidP="003275E6">
      <w:pPr>
        <w:rPr>
          <w:lang w:val="en-GB"/>
        </w:rPr>
      </w:pPr>
    </w:p>
    <w:p w14:paraId="65D6B3A8" w14:textId="23B9F472" w:rsidR="00567B92" w:rsidRPr="0082680A" w:rsidRDefault="003275E6" w:rsidP="003275E6">
      <w:pPr>
        <w:rPr>
          <w:lang w:val="en-GB"/>
        </w:rPr>
      </w:pPr>
      <w:r w:rsidRPr="0082680A">
        <w:rPr>
          <w:lang w:val="en-GB"/>
        </w:rPr>
        <w:t xml:space="preserve">A number of challenges were met during the development process, and these have been summarised in each section. In the first stage of development, commonly differentially expressed genes were identified using an unconventional expression-direction approach. Despite the marked relaxation of statistical thresholds, we believe this approach was able to identify a biologically relevant expression signal that would otherwise have been lost. </w:t>
      </w:r>
      <w:r w:rsidRPr="0082680A">
        <w:rPr>
          <w:lang w:val="en-GB"/>
        </w:rPr>
        <w:lastRenderedPageBreak/>
        <w:t xml:space="preserve">As the strength of this signal was relatively weak, protein-interaction data was used to identify the wider functional space of the common DEGs’ interactome. Enrichment for TDP-43-associated genes increased significantly, and the network enriched for a number of RNA processing pathways. The size of the protein interaction network however highlighted the vulnerability of large input sets for functional enrichment; the likelihood of enrichment in any pathway will increase as the </w:t>
      </w:r>
      <w:r w:rsidR="005F184F" w:rsidRPr="0082680A">
        <w:rPr>
          <w:lang w:val="en-GB"/>
        </w:rPr>
        <w:t>length of the input gene or protein list</w:t>
      </w:r>
      <w:r w:rsidRPr="0082680A">
        <w:rPr>
          <w:lang w:val="en-GB"/>
        </w:rPr>
        <w:t xml:space="preserve"> increases. Subsequently, reducing the size of the network was necessary, and posed a good opportunity to identify a tightly coexpressed functional module. Re-building the protein interaction network as a coexpression network resulted in the loss of a significant proportion of genes/proteins, however the causal platform annotation differences could not be avoided. Common edge detection resulted in identification of a coexpression module common to five of the six expression datasets, which was ‘pruned’ to exclude commonalities with non-TDP-43-neurodegeneration, as well as controls. The network contained a number of previously identified neurodegeneration-risk </w:t>
      </w:r>
      <w:proofErr w:type="gramStart"/>
      <w:r w:rsidRPr="0082680A">
        <w:rPr>
          <w:lang w:val="en-GB"/>
        </w:rPr>
        <w:t>genes, and</w:t>
      </w:r>
      <w:proofErr w:type="gramEnd"/>
      <w:r w:rsidRPr="0082680A">
        <w:rPr>
          <w:lang w:val="en-GB"/>
        </w:rPr>
        <w:t xml:space="preserve"> enriched significantly for immune processes and proteasomal degradation. Immunity and neurodegeneration have long been associated, and TDP-43 dysfunction has specifically been associated with NF-kappaB initiation, microglial activation, and has been shown to result from inflammatory mechanisms </w:t>
      </w:r>
      <w:r w:rsidRPr="0082680A">
        <w:rPr>
          <w:lang w:val="en-GB"/>
        </w:rPr>
        <w:fldChar w:fldCharType="begin" w:fldLock="1"/>
      </w:r>
      <w:r w:rsidR="000507BA">
        <w:rPr>
          <w:lang w:val="en-GB"/>
        </w:rPr>
        <w:instrText>ADDIN CSL_CITATION {"citationItems":[{"id":"ITEM-1","itemData":{"DOI":"10.1084/jem.20111313","ISSN":"1540-9538","PMID":"22084410","abstract":"TDP-43 (TAR DNA-binding protein 43) inclusions are a hallmark of amyotrophic lateral sclerosis (ALS). In this study, we report that TDP-43 and nuclear factor κB (NF-κB) p65 messenger RNA and protein expression is higher in spinal cords in ALS patients than healthy individuals. TDP-43 interacts with and colocalizes with p65 in glial and neuronal cells from ALS patients and mice expressing wild-type and mutant TDP-43 transgenes but not in cells from healthy individuals or nontransgenic mice. TDP-43 acted as a co-activator of p65, and glial cells expressing higher amounts of TDP-43 produced more proinflammatory cytokines and neurotoxic mediators after stimulation with lipopolysaccharide or reactive oxygen species. TDP-43 overexpression in neurons also increased their vulnerability to toxic mediators. Treatment of TDP-43 mice with Withaferin A, an inhibitor of NF-κB activity, reduced denervation in the neuromuscular junction and ALS disease symptoms. We propose that TDP-43 deregulation contributes to ALS pathogenesis in part by enhancing NF-κB activation and that NF-κB may constitute a therapeutic target for the disease.","author":[{"dropping-particle":"","family":"Swarup","given":"Vivek","non-dropping-particle":"","parse-names":false,"suffix":""},{"dropping-particle":"","family":"Phaneuf","given":"Daniel","non-dropping-particle":"","parse-names":false,"suffix":""},{"dropping-particle":"","family":"Dupré","given":"Nicolas","non-dropping-particle":"","parse-names":false,"suffix":""},{"dropping-particle":"","family":"Petri","given":"Susanne","non-dropping-particle":"","parse-names":false,"suffix":""},{"dropping-particle":"","family":"Strong","given":"Michael","non-dropping-particle":"","parse-names":false,"suffix":""},{"dropping-particle":"","family":"Kriz","given":"Jasna","non-dropping-particle":"","parse-names":false,"suffix":""},{"dropping-particle":"","family":"Julien","given":"Jean-Pierre","non-dropping-particle":"","parse-names":false,"suffix":""}],"container-title":"The Journal of experimental medicine","id":"ITEM-1","issue":"12","issued":{"date-parts":[["2011","11","21"]]},"page":"2429-47","publisher":"The Rockefeller University Press","title":"Deregulation of TDP-43 in amyotrophic lateral sclerosis triggers nuclear factor κB-mediated pathogenic pathways.","type":"article-journal","volume":"208"},"uris":["http://www.mendeley.com/documents/?uuid=2e0c9825-8faf-3a52-b661-f0732dfe1e93"]},{"id":"ITEM-2","itemData":{"DOI":"10.1096/fj.201601163R","ISSN":"0892-6638","abstract":"Dysregulated microglial responses are central in neurodegenerative proteinopathies, including amyotrophic lateral sclerosis (ALS) and frontotemporal lobar disease (FTLD). Pathologic TDP-43, which is typically found in intracellular inclusions, is a misfolding protein with emerging roles in ALS and FTLD. Recently, TDP-43 species have been found in extracellular fluids of patients; however, the overall implications of TDP-43–mediated signaling linked to neuroinflammation are poorly understood. Our work—the first, to our knowledge, to focus on innate immunity responses to TDP-43 aggregates—shows that such species are internalized by microglia and cause abnormal mobilization of endogenous TDP-43. Exposure to TDP-43 aggregates elicited not only IL-1β, but also NLRP3-dependent and noncanonical IL-18 processing. Moreover, we report a link between TDP-43 and neuronal loss via the apoptosis-independent emerging roles of caspase-3 in neurotoxic inflammation. Our results further support the view of noncell autonomou...","author":[{"dropping-particle":"","family":"Leal-Lasarte","given":"María M.","non-dropping-particle":"","parse-names":false,"suffix":""},{"dropping-particle":"","family":"Franco","given":"Jaime M.","non-dropping-particle":"","parse-names":false,"suffix":""},{"dropping-particle":"","family":"Labrador-Garrido","given":"Adahir","non-dropping-particle":"","parse-names":false,"suffix":""},{"dropping-particle":"","family":"Pozo","given":"David","non-dropping-particle":"","parse-names":false,"suffix":""},{"dropping-particle":"","family":"Roodveldt","given":"Cintia","non-dropping-particle":"","parse-names":false,"suffix":""}],"container-title":"The FASEB Journal","id":"ITEM-2","issue":"7","issued":{"date-parts":[["2017","7","23"]]},"page":"2797-2816","publisher":"Federation of American Societies for Experimental BiologyBethesda, MD, USA","title":"Extracellular TDP-43 aggregates target MAPK/MAK/MRK overlapping kinase (MOK) and trigger caspase-3/IL-18 signaling in microglia","type":"article-journal","volume":"31"},"uris":["http://www.mendeley.com/documents/?uuid=11714e0b-7e36-34bf-9503-99ff60e0e4b7"]},{"id":"ITEM-3","itemData":{"DOI":"10.1371/journal.pone.0140248","ISBN":"10.1371/journal.pone.0140248","ISSN":"1932-6203","PMID":"26444430","abstract":"TAR DNA-binding protein 43 (TDP-43) is a major component in aggregates of ubiquitinated proteins in amyotrophic lateral sclerosis (ALS) and frontotemporal lobar degeneration (FTLD). Here we report that lipopolysaccharide (LPS)-induced inflammation can promote TDP-43 mislocalization and aggregation. In culture, microglia and astrocytes exhibited TDP-43 mislocalization after exposure to LPS. Likewise, treatment of the motoneuron-like NSC-34 cells with TNF-alpha (TNF-α) increased the cytoplasmic levels of TDP-43. In addition, the chronic intraperitoneal injection of LPS at a dose of 1mg/kg in TDP-43(A315T) transgenic mice exacerbated the pathological TDP-43 accumulation in the cytoplasm of spinal motor neurons and it enhanced the levels of TDP-43 aggregation. These results suggest that inflammation may contribute to development or exacerbation of TDP-43 proteinopathies in neurodegenerative disorders.","author":[{"dropping-particle":"","family":"Correia","given":"Ana Sofia","non-dropping-particle":"","parse-names":false,"suffix":""},{"dropping-particle":"","family":"Patel","given":"Priyanka","non-dropping-particle":"","parse-names":false,"suffix":""},{"dropping-particle":"","family":"Dutta","given":"Kallol","non-dropping-particle":"","parse-names":false,"suffix":""},{"dropping-particle":"","family":"Julien","given":"Jean-Pierre","non-dropping-particle":"","parse-names":false,"suffix":""}],"container-title":"PloS one","editor":[{"dropping-particle":"","family":"Xia","given":"Xu Gang","non-dropping-particle":"","parse-names":false,"suffix":""}],"id":"ITEM-3","issue":"10","issued":{"date-parts":[["2015","10","7"]]},"page":"e0140248","publisher":"Public Library of Science","title":"Inflammation Induces TDP-43 Mislocalization and Aggregation.","type":"article-journal","volume":"10"},"uris":["http://www.mendeley.com/documents/?uuid=e474f2c0-3ea5-423a-bc94-2db401ac5feb"]}],"mendeley":{"formattedCitation":"&lt;sup&gt;199–201&lt;/sup&gt;","plainTextFormattedCitation":"199–201","previouslyFormattedCitation":"&lt;sup&gt;199–201&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199–201</w:t>
      </w:r>
      <w:r w:rsidRPr="0082680A">
        <w:rPr>
          <w:lang w:val="en-GB"/>
        </w:rPr>
        <w:fldChar w:fldCharType="end"/>
      </w:r>
      <w:r w:rsidRPr="0082680A">
        <w:rPr>
          <w:lang w:val="en-GB"/>
        </w:rPr>
        <w:t xml:space="preserve">. Proteasomal degradation is inherently linked to TDP-43 dysfunction, as the role of the proteasome is to degrade abnormal proteins </w:t>
      </w:r>
      <w:r w:rsidRPr="0082680A">
        <w:rPr>
          <w:lang w:val="en-GB"/>
        </w:rPr>
        <w:fldChar w:fldCharType="begin" w:fldLock="1"/>
      </w:r>
      <w:r w:rsidR="000507BA">
        <w:rPr>
          <w:lang w:val="en-GB"/>
        </w:rPr>
        <w:instrText>ADDIN CSL_CITATION {"citationItems":[{"id":"ITEM-1","itemData":{"DOI":"10.1096/fj.201700292RR","ISSN":"0892-6638","PMID":"28842427","abstract":"Amyotrophic lateral sclerosis and frontotemporal lobar degeneration with ubiquitin-positive inclusions are neurodegenerative disorders that share the cytosolic deposition of TDP-43 (TAR DNA-binding protein 43) in the CNS. TDP-43 is well known as being actively degraded by both the proteasome and macroautophagy. The well-documented decrease in the efficiency of these clearance systems in aging and neurodegeneration, as well as the genetic evidence that many of the familial forms of TDP-43 proteinopathies involve genes that are associated with them, suggest that a failure of these protein degradation systems is a major factor that contributes to the onset of TDP-43-associated disorders. Here, we inserted preformed human TDP-43 aggregates in the cytosol of murine NSC34 and N2a cells in diffuse form and observed their degradation under conditions in which exogenous TDP-43 is not expressed and endogenous nuclear TDP-43 is not recruited, thereby allowing a time zero to be established in TDP-43 degradation and to observe its disposal kinetically and analytically. TDP-43 degradation was observed in the absence and presence of selective inhibitors and small interfering RNAs against the proteasome and autophagy. We found that cytosolic diffuse aggregates of TDP-43 can be distinguished in 3 different classes on the basis of their vulnerability to degradation, which contributed to the definition-with previous reports-of a total of 6 distinct classes of misfolded TDP-43 species that range from soluble monomer to undegradable macroaggregates. We also found that the proteasome and macroautophagy-degradable pools of TDP-43 are fully distinguishable, rather than in equilibrium between them on the time scale required for degradation, and that a significant crosstalk exists between the 2 degradation processes.-Cascella, R., Fani, G., Capitini, C., Rusmini, P., Poletti, A., Cecchi, C., Chiti, F. Quantitative assessment of the degradation of aggregated TDP-43 mediated by the ubiquitin proteasome system and macroautophagy.","author":[{"dropping-particle":"","family":"Cascella","given":"Roberta","non-dropping-particle":"","parse-names":false,"suffix":""},{"dropping-particle":"","family":"Fani","given":"Giulia","non-dropping-particle":"","parse-names":false,"suffix":""},{"dropping-particle":"","family":"Capitini","given":"Claudia","non-dropping-particle":"","parse-names":false,"suffix":""},{"dropping-particle":"","family":"Rusmini","given":"Paola","non-dropping-particle":"","parse-names":false,"suffix":""},{"dropping-particle":"","family":"Poletti","given":"Angelo","non-dropping-particle":"","parse-names":false,"suffix":""},{"dropping-particle":"","family":"Cecchi","given":"Cristina","non-dropping-particle":"","parse-names":false,"suffix":""},{"dropping-particle":"","family":"Chiti","given":"Fabrizio","non-dropping-particle":"","parse-names":false,"suffix":""}],"container-title":"The FASEB Journal","id":"ITEM-1","issue":"12","issued":{"date-parts":[["2017","12"]]},"page":"5609-5624","title":"Quantitative assessment of the degradation of aggregated TDP-43 mediated by the ubiquitin proteasome system and macroautophagy","type":"article-journal","volume":"31"},"uris":["http://www.mendeley.com/documents/?uuid=09da4a4f-f570-312c-bd24-d101c4944711"]},{"id":"ITEM-2","itemData":{"DOI":"10.1242/jcs.140087","ISSN":"1477-9137","PMID":"24424030","abstract":"TAR DNA-binding protein (TDP-43, also known as TARDBP) is the major pathological protein in amyotrophic lateral sclerosis (ALS) and frontotemporal dementia (FTD). Large TDP-43 aggregates that are decorated with degradation adaptor proteins are seen in the cytoplasm of remaining neurons in ALS and FTD patients post mortem. TDP-43 accumulation and ALS-linked mutations within degradation pathways implicate failed TDP-43 clearance as a primary disease mechanism. Here, we report the differing roles of the ubiquitin proteasome system (UPS) and autophagy in the clearance of TDP-43. We have investigated the effects of inhibitors of the UPS and autophagy on the degradation, localisation and mobility of soluble and insoluble TDP-43. We find that soluble TDP-43 is degraded primarily by the UPS, whereas the clearance of aggregated TDP-43 requires autophagy. Cellular macroaggregates, which recapitulate many of the pathological features of the aggregates in patients, are reversible when both the UPS and autophagy are functional. Their clearance involves the autophagic removal of oligomeric TDP-43. We speculate that, in addition to an age-related decline in pathway activity, a second hit in either the UPS or the autophagy pathway drives the accumulation of TDP-43 in ALS and FTD. Therapies for clearing excess TDP-43 should therefore target a combination of these pathways.","author":[{"dropping-particle":"","family":"Scotter","given":"Emma L","non-dropping-particle":"","parse-names":false,"suffix":""},{"dropping-particle":"","family":"Vance","given":"Caroline","non-dropping-particle":"","parse-names":false,"suffix":""},{"dropping-particle":"","family":"Nishimura","given":"Agnes L","non-dropping-particle":"","parse-names":false,"suffix":""},{"dropping-particle":"","family":"Lee","given":"Youn-Bok","non-dropping-particle":"","parse-names":false,"suffix":""},{"dropping-particle":"","family":"Chen","given":"Han-Jou","non-dropping-particle":"","parse-names":false,"suffix":""},{"dropping-particle":"","family":"Urwin","given":"Hazel","non-dropping-particle":"","parse-names":false,"suffix":""},{"dropping-particle":"","family":"Sardone","given":"Valentina","non-dropping-particle":"","parse-names":false,"suffix":""},{"dropping-particle":"","family":"Mitchell","given":"Jacqueline C","non-dropping-particle":"","parse-names":false,"suffix":""},{"dropping-particle":"","family":"Rogelj","given":"Boris","non-dropping-particle":"","parse-names":false,"suffix":""},{"dropping-particle":"","family":"Rubinsztein","given":"David C","non-dropping-particle":"","parse-names":false,"suffix":""},{"dropping-particle":"","family":"Shaw","given":"Christopher E","non-dropping-particle":"","parse-names":false,"suffix":""}],"container-title":"Journal of cell science","id":"ITEM-2","issue":"Pt 6","issued":{"date-parts":[["2014","3","15"]]},"page":"1263-78","publisher":"Company of Biologists","title":"Differential roles of the ubiquitin proteasome system and autophagy in the clearance of soluble and aggregated TDP-43 species.","type":"article-journal","volume":"127"},"uris":["http://www.mendeley.com/documents/?uuid=7c1af44c-fccf-3329-956b-f2e921eb7655"]},{"id":"ITEM-3","itemData":{"DOI":"10.1016/j.neulet.2009.11.055","ISSN":"03043940","PMID":"19944744","abstract":"TAR DNA-binding protein-43 (TDP-43) is a nuclear protein functioning in the regulation of transcription and mRNA splicing. TDP-43 is accumulated in ubiquitinated inclusions in frontotemporal lobar degeneration with ubiquitin-positive inclusions (FTLD-U) and amyotrophic lateral sclerosis (ALS) diseased brains. However, the pathways involved in the clearance of TDP-43 and its pathogenic form (TDP-25), a truncated form of TDP-43, are still not elucidated. In this study, we demonstrated that the protein levels of TDP-43 and TDP-25 were increased in cells treated with a proteasome inhibitor, MG132, or an autophagy inhibitor, 3-MA, whereas, they were decreased in cells treated with an enhancer of autophagy, trehalose. Furthermore, more protein level changes of TDP-25 than TDP-43 were observed in cells treated with above inhibitors or enhancer. Thus, our data suggest that TDP-43 and TDP-25 are degraded by both proteasome and autophagy with TDP-25 being more regulated.","author":[{"dropping-particle":"","family":"Wang","given":"Xiaoju","non-dropping-particle":"","parse-names":false,"suffix":""},{"dropping-particle":"","family":"Fan","given":"Huadong","non-dropping-particle":"","parse-names":false,"suffix":""},{"dropping-particle":"","family":"Ying","given":"Zheng","non-dropping-particle":"","parse-names":false,"suffix":""},{"dropping-particle":"","family":"Li","given":"Bin","non-dropping-particle":"","parse-names":false,"suffix":""},{"dropping-particle":"","family":"Wang","given":"Hongfeng","non-dropping-particle":"","parse-names":false,"suffix":""},{"dropping-particle":"","family":"Wang","given":"Guanghui","non-dropping-particle":"","parse-names":false,"suffix":""}],"container-title":"Neuroscience Letters","id":"ITEM-3","issue":"1","issued":{"date-parts":[["2010","1","18"]]},"page":"112-116","title":"Degradation of TDP-43 and its pathogenic form by autophagy and the ubiquitin-proteasome system","type":"article-journal","volume":"469"},"uris":["http://www.mendeley.com/documents/?uuid=7c886ad0-d32e-3693-882a-f8cab7067070"]},{"id":"ITEM-4","itemData":{"DOI":"10.1002/jnr.22243","ISSN":"03604012","author":[{"dropping-particle":"","family":"Urushitani","given":"Makoto","non-dropping-particle":"","parse-names":false,"suffix":""},{"dropping-particle":"","family":"Sato","given":"Takashi","non-dropping-particle":"","parse-names":false,"suffix":""},{"dropping-particle":"","family":"Bamba","given":"Hitoshi","non-dropping-particle":"","parse-names":false,"suffix":""},{"dropping-particle":"","family":"Hisa","given":"Yasuo","non-dropping-particle":"","parse-names":false,"suffix":""},{"dropping-particle":"","family":"Tooyama","given":"Ikuo","non-dropping-particle":"","parse-names":false,"suffix":""}],"container-title":"Journal of Neuroscience Research","id":"ITEM-4","issue":"4","issued":{"date-parts":[["2009","3","1"]]},"page":"NA-NA","publisher":"Wiley-Blackwell","title":"Synergistic effect between proteasome and autophagosome in the clearance of polyubiquitinated TDP-43","type":"article-journal","volume":"88"},"uris":["http://www.mendeley.com/documents/?uuid=729217b4-a1fb-3cb7-b16d-8e270fdb531a"]}],"mendeley":{"formattedCitation":"&lt;sup&gt;198,202–204&lt;/sup&gt;","plainTextFormattedCitation":"198,202–204","previouslyFormattedCitation":"&lt;sup&gt;198,202–204&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198,202–204</w:t>
      </w:r>
      <w:r w:rsidRPr="0082680A">
        <w:rPr>
          <w:lang w:val="en-GB"/>
        </w:rPr>
        <w:fldChar w:fldCharType="end"/>
      </w:r>
      <w:r w:rsidRPr="0082680A">
        <w:rPr>
          <w:lang w:val="en-GB"/>
        </w:rPr>
        <w:t xml:space="preserve">. </w:t>
      </w:r>
      <w:r w:rsidR="005F184F" w:rsidRPr="0082680A">
        <w:rPr>
          <w:lang w:val="en-GB"/>
        </w:rPr>
        <w:t>There was a constant lack of enrichment for pathology-tracking genes, however we cannot be sure if this represents an issue with the signature, or the benchmarking list itself. Overall, this highlights the vulnerabilities of experimenter-selected gene lists, and the potential inconsistencies with the input data. Subsequently, gene lists chosen for a benchmarking role must possess significant confidence before they are used to assess the results of experiments such as these.</w:t>
      </w:r>
    </w:p>
    <w:p w14:paraId="2713D6B4" w14:textId="77777777" w:rsidR="00567B92" w:rsidRPr="0082680A" w:rsidRDefault="00567B92" w:rsidP="003275E6">
      <w:pPr>
        <w:rPr>
          <w:lang w:val="en-GB"/>
        </w:rPr>
      </w:pPr>
    </w:p>
    <w:p w14:paraId="7F802A34" w14:textId="18725C19" w:rsidR="003275E6" w:rsidRPr="0082680A" w:rsidRDefault="00793EF9" w:rsidP="003275E6">
      <w:pPr>
        <w:rPr>
          <w:lang w:val="en-GB"/>
        </w:rPr>
      </w:pPr>
      <w:r w:rsidRPr="0082680A">
        <w:rPr>
          <w:lang w:val="en-GB"/>
        </w:rPr>
        <w:t xml:space="preserve">Finding genetic associations between the network module and diseases associated with TDP-43 </w:t>
      </w:r>
      <w:r w:rsidR="004F7462" w:rsidRPr="0082680A">
        <w:rPr>
          <w:lang w:val="en-GB"/>
        </w:rPr>
        <w:t>dysfunction</w:t>
      </w:r>
      <w:r w:rsidRPr="0082680A">
        <w:rPr>
          <w:lang w:val="en-GB"/>
        </w:rPr>
        <w:t xml:space="preserve"> </w:t>
      </w:r>
      <w:r w:rsidR="00C73C11" w:rsidRPr="0082680A">
        <w:rPr>
          <w:lang w:val="en-GB"/>
        </w:rPr>
        <w:t xml:space="preserve">would have provided strong evidence of that the TDP-43 signature module represents a source of upstream regulators. </w:t>
      </w:r>
      <w:r w:rsidR="004F7462" w:rsidRPr="0082680A">
        <w:rPr>
          <w:lang w:val="en-GB"/>
        </w:rPr>
        <w:t>Unfortunately</w:t>
      </w:r>
      <w:r w:rsidR="00C73C11" w:rsidRPr="0082680A">
        <w:rPr>
          <w:lang w:val="en-GB"/>
        </w:rPr>
        <w:t xml:space="preserve">, enrichment analysis </w:t>
      </w:r>
      <w:r w:rsidRPr="0082680A">
        <w:rPr>
          <w:lang w:val="en-GB"/>
        </w:rPr>
        <w:t>did not yield any significant enrichme</w:t>
      </w:r>
      <w:r w:rsidR="004F7462" w:rsidRPr="0082680A">
        <w:rPr>
          <w:lang w:val="en-GB"/>
        </w:rPr>
        <w:t>nt of GWAS genes for conditions associated with TDP-43 dysfunction.</w:t>
      </w:r>
      <w:r w:rsidR="00BB23B1" w:rsidRPr="0082680A">
        <w:rPr>
          <w:lang w:val="en-GB"/>
        </w:rPr>
        <w:t xml:space="preserve"> </w:t>
      </w:r>
      <w:r w:rsidR="005F184F" w:rsidRPr="0082680A">
        <w:rPr>
          <w:lang w:val="en-GB"/>
        </w:rPr>
        <w:t xml:space="preserve">Such a result may have two possible explanations; </w:t>
      </w:r>
      <w:r w:rsidR="0050523A" w:rsidRPr="0082680A">
        <w:rPr>
          <w:lang w:val="en-GB"/>
        </w:rPr>
        <w:t>firstly,</w:t>
      </w:r>
      <w:r w:rsidR="005F184F" w:rsidRPr="0082680A">
        <w:rPr>
          <w:lang w:val="en-GB"/>
        </w:rPr>
        <w:t xml:space="preserve"> the signature </w:t>
      </w:r>
      <w:r w:rsidR="0050523A" w:rsidRPr="0082680A">
        <w:rPr>
          <w:lang w:val="en-GB"/>
        </w:rPr>
        <w:t xml:space="preserve">simply </w:t>
      </w:r>
      <w:r w:rsidR="005F184F" w:rsidRPr="0082680A">
        <w:rPr>
          <w:lang w:val="en-GB"/>
        </w:rPr>
        <w:t>does not possess a particularly strong genetic association</w:t>
      </w:r>
      <w:r w:rsidR="0050523A" w:rsidRPr="0082680A">
        <w:rPr>
          <w:lang w:val="en-GB"/>
        </w:rPr>
        <w:t>; t</w:t>
      </w:r>
      <w:r w:rsidR="005F184F" w:rsidRPr="0082680A">
        <w:rPr>
          <w:lang w:val="en-GB"/>
        </w:rPr>
        <w:t xml:space="preserve">his does not mean that it cannot represent upstream drivers of a phenotype, just that the form of influence we are detecting is not a genetic one. Another explanation could </w:t>
      </w:r>
      <w:r w:rsidR="008A5B0F" w:rsidRPr="0082680A">
        <w:rPr>
          <w:lang w:val="en-GB"/>
        </w:rPr>
        <w:t>relate to</w:t>
      </w:r>
      <w:r w:rsidR="005F184F" w:rsidRPr="0082680A">
        <w:rPr>
          <w:lang w:val="en-GB"/>
        </w:rPr>
        <w:t xml:space="preserve"> the GWAS data itself; as the four conditions we selected are particularly rare, there are</w:t>
      </w:r>
      <w:r w:rsidR="008A5B0F" w:rsidRPr="0082680A">
        <w:rPr>
          <w:lang w:val="en-GB"/>
        </w:rPr>
        <w:t xml:space="preserve"> understandably</w:t>
      </w:r>
      <w:r w:rsidR="005F184F" w:rsidRPr="0082680A">
        <w:rPr>
          <w:lang w:val="en-GB"/>
        </w:rPr>
        <w:t xml:space="preserve"> </w:t>
      </w:r>
      <w:r w:rsidR="008A5B0F" w:rsidRPr="0082680A">
        <w:rPr>
          <w:lang w:val="en-GB"/>
        </w:rPr>
        <w:t xml:space="preserve">fewer large-scale studies than more common conditions. As the signature itself contains two known genetic risk genes for ALS, we cannot rule out that there may be more which we have not been able to identify. </w:t>
      </w:r>
      <w:r w:rsidR="00252840" w:rsidRPr="0082680A">
        <w:rPr>
          <w:lang w:val="en-GB"/>
        </w:rPr>
        <w:t xml:space="preserve">As we could not find any association </w:t>
      </w:r>
      <w:r w:rsidR="00252840" w:rsidRPr="0082680A">
        <w:rPr>
          <w:lang w:val="en-GB"/>
        </w:rPr>
        <w:lastRenderedPageBreak/>
        <w:t>with GWAS genes,</w:t>
      </w:r>
      <w:r w:rsidR="008A5B0F" w:rsidRPr="0082680A">
        <w:rPr>
          <w:lang w:val="en-GB"/>
        </w:rPr>
        <w:t xml:space="preserve"> we attempted to </w:t>
      </w:r>
      <w:r w:rsidR="00252840" w:rsidRPr="0082680A">
        <w:rPr>
          <w:lang w:val="en-GB"/>
        </w:rPr>
        <w:t xml:space="preserve">utilise whole genome sequencing data to identify these potential novel genetic associations. Although we identified a number of potential LoF mutations in a subset of our signature genes, </w:t>
      </w:r>
      <w:r w:rsidR="009E2239" w:rsidRPr="0082680A">
        <w:rPr>
          <w:lang w:val="en-GB"/>
        </w:rPr>
        <w:t>our</w:t>
      </w:r>
      <w:r w:rsidR="00252840" w:rsidRPr="0082680A">
        <w:rPr>
          <w:lang w:val="en-GB"/>
        </w:rPr>
        <w:t xml:space="preserve"> </w:t>
      </w:r>
      <w:r w:rsidR="007F2389" w:rsidRPr="0082680A">
        <w:rPr>
          <w:lang w:val="en-GB"/>
        </w:rPr>
        <w:t>approach</w:t>
      </w:r>
      <w:r w:rsidR="00252840" w:rsidRPr="0082680A">
        <w:rPr>
          <w:lang w:val="en-GB"/>
        </w:rPr>
        <w:t xml:space="preserve"> alone is not</w:t>
      </w:r>
      <w:r w:rsidR="007F2389" w:rsidRPr="0082680A">
        <w:rPr>
          <w:lang w:val="en-GB"/>
        </w:rPr>
        <w:t xml:space="preserve"> reliable</w:t>
      </w:r>
      <w:r w:rsidR="00252840" w:rsidRPr="0082680A">
        <w:rPr>
          <w:lang w:val="en-GB"/>
        </w:rPr>
        <w:t xml:space="preserve"> enough to implicate a genetic association with ALS</w:t>
      </w:r>
      <w:r w:rsidR="007F2389" w:rsidRPr="0082680A">
        <w:rPr>
          <w:lang w:val="en-GB"/>
        </w:rPr>
        <w:t xml:space="preserve">, hence its used in the prioritisation process in tandem with many other sources of </w:t>
      </w:r>
      <w:r w:rsidR="009E2239" w:rsidRPr="0082680A">
        <w:rPr>
          <w:lang w:val="en-GB"/>
        </w:rPr>
        <w:t xml:space="preserve">supporting </w:t>
      </w:r>
      <w:r w:rsidR="007F2389" w:rsidRPr="0082680A">
        <w:rPr>
          <w:lang w:val="en-GB"/>
        </w:rPr>
        <w:t>information</w:t>
      </w:r>
      <w:r w:rsidR="00252840" w:rsidRPr="0082680A">
        <w:rPr>
          <w:lang w:val="en-GB"/>
        </w:rPr>
        <w:t xml:space="preserve">. </w:t>
      </w:r>
      <w:r w:rsidR="009E2239" w:rsidRPr="0082680A">
        <w:rPr>
          <w:lang w:val="en-GB"/>
        </w:rPr>
        <w:t xml:space="preserve">With further work and input from those more experienced with this type of data, we could potentially identify such associations, however this was not possible within the scope of this project. </w:t>
      </w:r>
    </w:p>
    <w:p w14:paraId="72E00C57" w14:textId="77777777" w:rsidR="003275E6" w:rsidRPr="0082680A" w:rsidRDefault="003275E6" w:rsidP="003275E6">
      <w:pPr>
        <w:rPr>
          <w:lang w:val="en-GB"/>
        </w:rPr>
      </w:pPr>
    </w:p>
    <w:p w14:paraId="184664C3" w14:textId="19DCB7F2" w:rsidR="003275E6" w:rsidRPr="0082680A" w:rsidRDefault="009E2239" w:rsidP="003275E6">
      <w:pPr>
        <w:rPr>
          <w:lang w:val="en-GB"/>
        </w:rPr>
      </w:pPr>
      <w:r w:rsidRPr="0082680A">
        <w:rPr>
          <w:lang w:val="en-GB"/>
        </w:rPr>
        <w:t>Finally, since a</w:t>
      </w:r>
      <w:r w:rsidR="003275E6" w:rsidRPr="0082680A">
        <w:rPr>
          <w:lang w:val="en-GB"/>
        </w:rPr>
        <w:t xml:space="preserve">ssociation with TDP-43 in the literature is not </w:t>
      </w:r>
      <w:r w:rsidR="00BB23B1" w:rsidRPr="0082680A">
        <w:rPr>
          <w:lang w:val="en-GB"/>
        </w:rPr>
        <w:t>sufficient</w:t>
      </w:r>
      <w:r w:rsidR="003275E6" w:rsidRPr="0082680A">
        <w:rPr>
          <w:lang w:val="en-GB"/>
        </w:rPr>
        <w:t xml:space="preserve"> to validate this methodology, we engaged in a collaboration with the Woolf Lab at Boston Children’s Hospital, USA. </w:t>
      </w:r>
      <w:r w:rsidR="00900D66" w:rsidRPr="0082680A">
        <w:rPr>
          <w:lang w:val="en-GB"/>
        </w:rPr>
        <w:t>Our</w:t>
      </w:r>
      <w:r w:rsidR="003275E6" w:rsidRPr="0082680A">
        <w:rPr>
          <w:lang w:val="en-GB"/>
        </w:rPr>
        <w:t xml:space="preserve"> collaboration ultimately revealed two genes, </w:t>
      </w:r>
      <w:r w:rsidR="003275E6" w:rsidRPr="0082680A">
        <w:rPr>
          <w:i/>
          <w:lang w:val="en-GB"/>
        </w:rPr>
        <w:t>YBX1</w:t>
      </w:r>
      <w:r w:rsidR="003275E6" w:rsidRPr="0082680A">
        <w:rPr>
          <w:lang w:val="en-GB"/>
        </w:rPr>
        <w:t xml:space="preserve"> and </w:t>
      </w:r>
      <w:r w:rsidR="003275E6" w:rsidRPr="0082680A">
        <w:rPr>
          <w:i/>
          <w:lang w:val="en-GB"/>
        </w:rPr>
        <w:t>DDX1</w:t>
      </w:r>
      <w:r w:rsidR="003275E6" w:rsidRPr="0082680A">
        <w:rPr>
          <w:lang w:val="en-GB"/>
        </w:rPr>
        <w:t xml:space="preserve">, that we believe have the strong potential to be novel upstream drivers of TDP-43 dysfunction and neuronal death, respectively. </w:t>
      </w:r>
      <w:r w:rsidRPr="0082680A">
        <w:rPr>
          <w:lang w:val="en-GB"/>
        </w:rPr>
        <w:t>It is important to note these results are preliminary, and c</w:t>
      </w:r>
      <w:r w:rsidR="003275E6" w:rsidRPr="0082680A">
        <w:rPr>
          <w:lang w:val="en-GB"/>
        </w:rPr>
        <w:t xml:space="preserve">onfirmation is subject to replication experiments whose timelines were not within the scope of this </w:t>
      </w:r>
      <w:r w:rsidRPr="0082680A">
        <w:rPr>
          <w:lang w:val="en-GB"/>
        </w:rPr>
        <w:t>report</w:t>
      </w:r>
      <w:r w:rsidR="003275E6" w:rsidRPr="0082680A">
        <w:rPr>
          <w:lang w:val="en-GB"/>
        </w:rPr>
        <w:t>.</w:t>
      </w:r>
    </w:p>
    <w:p w14:paraId="5F9449C1" w14:textId="77777777" w:rsidR="003275E6" w:rsidRPr="0082680A" w:rsidRDefault="003275E6" w:rsidP="003275E6">
      <w:pPr>
        <w:rPr>
          <w:lang w:val="en-GB"/>
        </w:rPr>
      </w:pPr>
    </w:p>
    <w:p w14:paraId="40C441BD" w14:textId="12FCCC50" w:rsidR="00FB32A9" w:rsidRPr="0082680A" w:rsidRDefault="009E2239" w:rsidP="00FB32A9">
      <w:pPr>
        <w:rPr>
          <w:lang w:val="en-GB"/>
        </w:rPr>
      </w:pPr>
      <w:r w:rsidRPr="0082680A">
        <w:rPr>
          <w:lang w:val="en-GB"/>
        </w:rPr>
        <w:t xml:space="preserve">Aside from </w:t>
      </w:r>
      <w:r w:rsidRPr="0082680A">
        <w:rPr>
          <w:i/>
          <w:lang w:val="en-GB"/>
        </w:rPr>
        <w:t xml:space="preserve">in vitro </w:t>
      </w:r>
      <w:r w:rsidRPr="0082680A">
        <w:rPr>
          <w:lang w:val="en-GB"/>
        </w:rPr>
        <w:t xml:space="preserve">replication analyses, there are a number of steps required to be taken from this point forward. </w:t>
      </w:r>
      <w:r w:rsidR="003275E6" w:rsidRPr="0082680A">
        <w:rPr>
          <w:lang w:val="en-GB"/>
        </w:rPr>
        <w:t>Despite the succ</w:t>
      </w:r>
      <w:r w:rsidR="00384698" w:rsidRPr="0082680A">
        <w:rPr>
          <w:lang w:val="en-GB"/>
        </w:rPr>
        <w:t xml:space="preserve">ess of </w:t>
      </w:r>
      <w:r w:rsidRPr="0082680A">
        <w:rPr>
          <w:lang w:val="en-GB"/>
        </w:rPr>
        <w:t>our TDP-43 signature</w:t>
      </w:r>
      <w:r w:rsidR="00384698" w:rsidRPr="0082680A">
        <w:rPr>
          <w:lang w:val="en-GB"/>
        </w:rPr>
        <w:t xml:space="preserve">, it is possible </w:t>
      </w:r>
      <w:r w:rsidR="003275E6" w:rsidRPr="0082680A">
        <w:rPr>
          <w:lang w:val="en-GB"/>
        </w:rPr>
        <w:t>that the method we have developed is overfitted to the datasets upon which it was built. To ensure our methodological pipeline is not ‘TDP-43-specific’, we will need to replicate this methodology on at least two further phenotypes, ideally from quite disparate conditions.</w:t>
      </w:r>
      <w:r w:rsidRPr="0082680A">
        <w:rPr>
          <w:lang w:val="en-GB"/>
        </w:rPr>
        <w:t xml:space="preserve"> If these secondary and tertiary applications of the pipeline produce equally successful results, we can be confident that our pipeline can be reliably applied to any number of phenotypes. </w:t>
      </w:r>
      <w:r w:rsidR="00FB32A9" w:rsidRPr="0082680A">
        <w:rPr>
          <w:lang w:val="en-GB"/>
        </w:rPr>
        <w:t xml:space="preserve">To be able to apply the methodology to other cases, we have produced a sequence of steps which can be followed regardless of the test phenotype (Figure </w:t>
      </w:r>
      <w:r w:rsidR="001200FB" w:rsidRPr="0082680A">
        <w:rPr>
          <w:lang w:val="en-GB"/>
        </w:rPr>
        <w:t>11</w:t>
      </w:r>
      <w:r w:rsidR="00FB32A9" w:rsidRPr="0082680A">
        <w:rPr>
          <w:lang w:val="en-GB"/>
        </w:rPr>
        <w:t>);</w:t>
      </w:r>
    </w:p>
    <w:p w14:paraId="441AC754" w14:textId="77777777" w:rsidR="00FB32A9" w:rsidRPr="0082680A" w:rsidRDefault="00FB32A9" w:rsidP="00FB32A9">
      <w:pPr>
        <w:pStyle w:val="ListParagraph"/>
        <w:numPr>
          <w:ilvl w:val="0"/>
          <w:numId w:val="8"/>
        </w:numPr>
        <w:rPr>
          <w:lang w:val="en-GB"/>
        </w:rPr>
      </w:pPr>
      <w:r w:rsidRPr="0082680A">
        <w:rPr>
          <w:lang w:val="en-GB"/>
        </w:rPr>
        <w:t>Data is collected according to the following criteria: datasets must only contain samples directly from human patients, samples must be extracted from a tissue directly affected by the phenotype of interest, the datasets must contain a minimum number of three controls and three patients, accepted datasets could be both microarray and RNA-</w:t>
      </w:r>
      <w:proofErr w:type="gramStart"/>
      <w:r w:rsidRPr="0082680A">
        <w:rPr>
          <w:lang w:val="en-GB"/>
        </w:rPr>
        <w:t>Seq, but</w:t>
      </w:r>
      <w:proofErr w:type="gramEnd"/>
      <w:r w:rsidRPr="0082680A">
        <w:rPr>
          <w:lang w:val="en-GB"/>
        </w:rPr>
        <w:t xml:space="preserve"> must be from Affymetrix and Illumina platforms.</w:t>
      </w:r>
    </w:p>
    <w:p w14:paraId="525DA8EC" w14:textId="77777777" w:rsidR="00FB32A9" w:rsidRPr="0082680A" w:rsidRDefault="00FB32A9" w:rsidP="00FB32A9">
      <w:pPr>
        <w:pStyle w:val="ListParagraph"/>
        <w:numPr>
          <w:ilvl w:val="0"/>
          <w:numId w:val="8"/>
        </w:numPr>
        <w:rPr>
          <w:lang w:val="en-GB"/>
        </w:rPr>
      </w:pPr>
      <w:r w:rsidRPr="0082680A">
        <w:rPr>
          <w:lang w:val="en-GB"/>
        </w:rPr>
        <w:t>Data is submitted to quality control to assure data quality and remove outliers.</w:t>
      </w:r>
    </w:p>
    <w:p w14:paraId="6E26438B" w14:textId="77777777" w:rsidR="00FB32A9" w:rsidRPr="0082680A" w:rsidRDefault="00FB32A9" w:rsidP="00FB32A9">
      <w:pPr>
        <w:pStyle w:val="ListParagraph"/>
        <w:numPr>
          <w:ilvl w:val="0"/>
          <w:numId w:val="8"/>
        </w:numPr>
        <w:rPr>
          <w:lang w:val="en-GB"/>
        </w:rPr>
      </w:pPr>
      <w:r w:rsidRPr="0082680A">
        <w:rPr>
          <w:lang w:val="en-GB"/>
        </w:rPr>
        <w:t>Case-control gene expression analysis is conducted using LIMMA (microarray) or DESeq2 (RNA-Seq) on each individual dataset. Genes are selected based on consensus direction of expression. Overlap with condition-generic signatures and unaffected tissue signatures are removed.</w:t>
      </w:r>
    </w:p>
    <w:p w14:paraId="4CFA1538" w14:textId="77777777" w:rsidR="00FB32A9" w:rsidRPr="0082680A" w:rsidRDefault="00FB32A9" w:rsidP="00FB32A9">
      <w:pPr>
        <w:pStyle w:val="ListParagraph"/>
        <w:numPr>
          <w:ilvl w:val="0"/>
          <w:numId w:val="8"/>
        </w:numPr>
        <w:rPr>
          <w:lang w:val="en-GB"/>
        </w:rPr>
      </w:pPr>
      <w:r w:rsidRPr="0082680A">
        <w:rPr>
          <w:lang w:val="en-GB"/>
        </w:rPr>
        <w:lastRenderedPageBreak/>
        <w:t xml:space="preserve">Genes are used to seed a protein-protein interaction network generated from </w:t>
      </w:r>
      <w:proofErr w:type="spellStart"/>
      <w:r w:rsidRPr="0082680A">
        <w:rPr>
          <w:lang w:val="en-GB"/>
        </w:rPr>
        <w:t>Irefindex</w:t>
      </w:r>
      <w:proofErr w:type="spellEnd"/>
      <w:r w:rsidRPr="0082680A">
        <w:rPr>
          <w:lang w:val="en-GB"/>
        </w:rPr>
        <w:t xml:space="preserve"> 14 data. Included proteins must share at least one interaction with a DEG’s protein.</w:t>
      </w:r>
    </w:p>
    <w:p w14:paraId="310CEA93" w14:textId="77777777" w:rsidR="00FB32A9" w:rsidRPr="0082680A" w:rsidRDefault="00FB32A9" w:rsidP="00FB32A9">
      <w:pPr>
        <w:pStyle w:val="ListParagraph"/>
        <w:numPr>
          <w:ilvl w:val="0"/>
          <w:numId w:val="8"/>
        </w:numPr>
        <w:rPr>
          <w:lang w:val="en-GB"/>
        </w:rPr>
      </w:pPr>
      <w:r w:rsidRPr="0082680A">
        <w:rPr>
          <w:lang w:val="en-GB"/>
        </w:rPr>
        <w:t xml:space="preserve">The PPI network members are used to build a coexpression matrix in each dataset. These datasets are analysed for appropriate distribution. Those included are compared to identify conserved edges that share the same correlation direction above a certain threshold. </w:t>
      </w:r>
    </w:p>
    <w:p w14:paraId="578FCC16" w14:textId="77777777" w:rsidR="00FB32A9" w:rsidRPr="0082680A" w:rsidRDefault="00FB32A9" w:rsidP="00FB32A9">
      <w:pPr>
        <w:pStyle w:val="ListParagraph"/>
        <w:numPr>
          <w:ilvl w:val="0"/>
          <w:numId w:val="8"/>
        </w:numPr>
        <w:rPr>
          <w:lang w:val="en-GB"/>
        </w:rPr>
      </w:pPr>
      <w:r w:rsidRPr="0082680A">
        <w:rPr>
          <w:lang w:val="en-GB"/>
        </w:rPr>
        <w:t>The largest connected component is selected, and coexpression edge overlap with condition-generic signatures and unaffected tissue signatures is removed.</w:t>
      </w:r>
    </w:p>
    <w:p w14:paraId="42955B28" w14:textId="77777777" w:rsidR="00FB32A9" w:rsidRPr="0082680A" w:rsidRDefault="00FB32A9" w:rsidP="00FB32A9">
      <w:pPr>
        <w:pStyle w:val="ListParagraph"/>
        <w:numPr>
          <w:ilvl w:val="0"/>
          <w:numId w:val="8"/>
        </w:numPr>
        <w:rPr>
          <w:lang w:val="en-GB"/>
        </w:rPr>
      </w:pPr>
      <w:r w:rsidRPr="0082680A">
        <w:rPr>
          <w:lang w:val="en-GB"/>
        </w:rPr>
        <w:t xml:space="preserve">The members of the network undergo prioritisation to identify likely candidates for </w:t>
      </w:r>
      <w:r w:rsidRPr="0082680A">
        <w:rPr>
          <w:i/>
          <w:lang w:val="en-GB"/>
        </w:rPr>
        <w:t>in vitro/vivo</w:t>
      </w:r>
      <w:r w:rsidRPr="0082680A">
        <w:rPr>
          <w:lang w:val="en-GB"/>
        </w:rPr>
        <w:t xml:space="preserve"> validation, calling upon genetic, topological, regulatory, consensus and phenotype-specific sources of information. </w:t>
      </w:r>
    </w:p>
    <w:p w14:paraId="76D6EE56" w14:textId="77777777" w:rsidR="00FB32A9" w:rsidRPr="0082680A" w:rsidRDefault="00FB32A9" w:rsidP="00FB32A9">
      <w:pPr>
        <w:pStyle w:val="ListParagraph"/>
        <w:numPr>
          <w:ilvl w:val="0"/>
          <w:numId w:val="8"/>
        </w:numPr>
        <w:rPr>
          <w:i/>
          <w:lang w:val="en-GB"/>
        </w:rPr>
      </w:pPr>
      <w:r w:rsidRPr="0082680A">
        <w:rPr>
          <w:lang w:val="en-GB"/>
        </w:rPr>
        <w:t xml:space="preserve">The selected targets’ effect on the common phenotype is assessed </w:t>
      </w:r>
      <w:r w:rsidRPr="0082680A">
        <w:rPr>
          <w:i/>
          <w:lang w:val="en-GB"/>
        </w:rPr>
        <w:t>in vitro/vivo.</w:t>
      </w:r>
    </w:p>
    <w:p w14:paraId="4D7947CC" w14:textId="77777777" w:rsidR="00FB32A9" w:rsidRPr="0082680A" w:rsidRDefault="00FB32A9" w:rsidP="003275E6">
      <w:pPr>
        <w:rPr>
          <w:lang w:val="en-GB"/>
        </w:rPr>
      </w:pPr>
    </w:p>
    <w:p w14:paraId="64933C60" w14:textId="77777777" w:rsidR="003275E6" w:rsidRPr="0082680A" w:rsidRDefault="003275E6" w:rsidP="003275E6">
      <w:pPr>
        <w:rPr>
          <w:lang w:val="en-GB"/>
        </w:rPr>
      </w:pPr>
    </w:p>
    <w:p w14:paraId="6123A1E6" w14:textId="6E44FDAD" w:rsidR="00D54199" w:rsidRPr="0082680A" w:rsidRDefault="00D54199" w:rsidP="00D54199">
      <w:pPr>
        <w:rPr>
          <w:i/>
          <w:lang w:val="en-GB"/>
        </w:rPr>
      </w:pPr>
      <w:r w:rsidRPr="0082680A">
        <w:rPr>
          <w:i/>
          <w:lang w:val="en-GB"/>
        </w:rPr>
        <w:br w:type="page"/>
      </w:r>
    </w:p>
    <w:p w14:paraId="3787E582" w14:textId="77777777" w:rsidR="00EE06E2" w:rsidRPr="0082680A" w:rsidRDefault="00D54199" w:rsidP="00EE06E2">
      <w:pPr>
        <w:keepNext/>
        <w:rPr>
          <w:lang w:val="en-GB"/>
        </w:rPr>
      </w:pPr>
      <w:r w:rsidRPr="0082680A">
        <w:rPr>
          <w:noProof/>
          <w:lang w:val="en-GB"/>
        </w:rPr>
        <w:lastRenderedPageBreak/>
        <w:drawing>
          <wp:inline distT="0" distB="0" distL="0" distR="0" wp14:anchorId="31F560E5" wp14:editId="094FFF9D">
            <wp:extent cx="5097120" cy="6412375"/>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02.pdf"/>
                    <pic:cNvPicPr/>
                  </pic:nvPicPr>
                  <pic:blipFill rotWithShape="1">
                    <a:blip r:embed="rId91">
                      <a:extLst>
                        <a:ext uri="{28A0092B-C50C-407E-A947-70E740481C1C}">
                          <a14:useLocalDpi xmlns:a14="http://schemas.microsoft.com/office/drawing/2010/main" val="0"/>
                        </a:ext>
                      </a:extLst>
                    </a:blip>
                    <a:srcRect t="3639" b="8079"/>
                    <a:stretch/>
                  </pic:blipFill>
                  <pic:spPr bwMode="auto">
                    <a:xfrm>
                      <a:off x="0" y="0"/>
                      <a:ext cx="5100765" cy="6416961"/>
                    </a:xfrm>
                    <a:prstGeom prst="rect">
                      <a:avLst/>
                    </a:prstGeom>
                    <a:ln>
                      <a:noFill/>
                    </a:ln>
                    <a:extLst>
                      <a:ext uri="{53640926-AAD7-44D8-BBD7-CCE9431645EC}">
                        <a14:shadowObscured xmlns:a14="http://schemas.microsoft.com/office/drawing/2010/main"/>
                      </a:ext>
                    </a:extLst>
                  </pic:spPr>
                </pic:pic>
              </a:graphicData>
            </a:graphic>
          </wp:inline>
        </w:drawing>
      </w:r>
    </w:p>
    <w:p w14:paraId="737C791A" w14:textId="0AD24DE6" w:rsidR="00EE06E2" w:rsidRPr="0082680A" w:rsidRDefault="00EE06E2" w:rsidP="00EE06E2">
      <w:pPr>
        <w:pStyle w:val="Caption"/>
        <w:rPr>
          <w:lang w:val="en-GB"/>
        </w:rPr>
      </w:pPr>
      <w:bookmarkStart w:id="205" w:name="_Toc528263176"/>
      <w:bookmarkStart w:id="206" w:name="_Toc3226006"/>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10</w:t>
      </w:r>
      <w:r w:rsidR="00666C92" w:rsidRPr="0082680A">
        <w:rPr>
          <w:noProof/>
          <w:lang w:val="en-GB"/>
        </w:rPr>
        <w:fldChar w:fldCharType="end"/>
      </w:r>
      <w:r w:rsidRPr="0082680A">
        <w:rPr>
          <w:lang w:val="en-GB"/>
        </w:rPr>
        <w:t xml:space="preserve">: </w:t>
      </w:r>
      <w:bookmarkEnd w:id="205"/>
      <w:r w:rsidR="003275E6" w:rsidRPr="0082680A">
        <w:rPr>
          <w:b w:val="0"/>
          <w:lang w:val="en-GB"/>
        </w:rPr>
        <w:t>A flow diagram indicating the steps to be completed within our signature building methodology, and the ‘</w:t>
      </w:r>
      <w:proofErr w:type="spellStart"/>
      <w:r w:rsidR="003275E6" w:rsidRPr="0082680A">
        <w:rPr>
          <w:b w:val="0"/>
          <w:lang w:val="en-GB"/>
        </w:rPr>
        <w:t>omes</w:t>
      </w:r>
      <w:proofErr w:type="spellEnd"/>
      <w:r w:rsidR="003275E6" w:rsidRPr="0082680A">
        <w:rPr>
          <w:b w:val="0"/>
          <w:lang w:val="en-GB"/>
        </w:rPr>
        <w:t xml:space="preserve"> in which these steps are conducted. Dotted arrows indicate the steps in which either statistical assessment, or assessment of relationship to the phenotype (via enrichment) is to be conducted.</w:t>
      </w:r>
      <w:bookmarkEnd w:id="206"/>
      <w:r w:rsidR="003275E6" w:rsidRPr="0082680A">
        <w:rPr>
          <w:b w:val="0"/>
          <w:lang w:val="en-GB"/>
        </w:rPr>
        <w:t xml:space="preserve"> </w:t>
      </w:r>
    </w:p>
    <w:p w14:paraId="61C0D9B4" w14:textId="32A59B6D" w:rsidR="00EB41E2" w:rsidRPr="0082680A" w:rsidRDefault="00D54199" w:rsidP="00D54199">
      <w:pPr>
        <w:rPr>
          <w:lang w:val="en-GB"/>
        </w:rPr>
      </w:pPr>
      <w:r w:rsidRPr="0082680A">
        <w:rPr>
          <w:lang w:val="en-GB"/>
        </w:rPr>
        <w:br w:type="page"/>
      </w:r>
    </w:p>
    <w:p w14:paraId="70AE2A4A" w14:textId="0AB23903" w:rsidR="000D27A7" w:rsidRPr="0082680A" w:rsidRDefault="000D27A7" w:rsidP="00A876E6">
      <w:pPr>
        <w:pStyle w:val="Heading1"/>
        <w:ind w:left="0"/>
        <w:rPr>
          <w:lang w:val="en-GB"/>
        </w:rPr>
      </w:pPr>
      <w:bookmarkStart w:id="207" w:name="_Toc3211383"/>
      <w:r w:rsidRPr="0082680A">
        <w:rPr>
          <w:lang w:val="en-GB"/>
        </w:rPr>
        <w:lastRenderedPageBreak/>
        <w:t>Chapter 3: Application to Sporadic and LRRK2 Parkinson’s Disease</w:t>
      </w:r>
      <w:bookmarkEnd w:id="207"/>
    </w:p>
    <w:p w14:paraId="64995018" w14:textId="77777777" w:rsidR="000D27A7" w:rsidRPr="00842FD0" w:rsidRDefault="000D27A7" w:rsidP="00842FD0">
      <w:pPr>
        <w:pStyle w:val="Heading2"/>
      </w:pPr>
      <w:bookmarkStart w:id="208" w:name="_mxpz4vfys49e" w:colFirst="0" w:colLast="0"/>
      <w:bookmarkStart w:id="209" w:name="_Toc3211384"/>
      <w:bookmarkEnd w:id="208"/>
      <w:r w:rsidRPr="00842FD0">
        <w:t>Introduction</w:t>
      </w:r>
      <w:bookmarkEnd w:id="209"/>
    </w:p>
    <w:p w14:paraId="68A28242" w14:textId="251CD9F4" w:rsidR="000D27A7" w:rsidRPr="0082680A" w:rsidRDefault="000D27A7" w:rsidP="000D27A7">
      <w:pPr>
        <w:rPr>
          <w:lang w:val="en-GB"/>
        </w:rPr>
      </w:pPr>
      <w:r w:rsidRPr="0082680A">
        <w:rPr>
          <w:lang w:val="en-GB"/>
        </w:rPr>
        <w:t xml:space="preserve">To establish that our methodological pipeline is not overfitted and is translatable to other diseases and phenotypes, we have chosen a second phenotype to assess. This phenotype is also associated with a neurodegenerative condition, Parkinson’s disease, however the common phenotype is not a </w:t>
      </w:r>
      <w:r w:rsidR="00131D06" w:rsidRPr="0082680A">
        <w:rPr>
          <w:lang w:val="en-GB"/>
        </w:rPr>
        <w:t>pathological</w:t>
      </w:r>
      <w:r w:rsidRPr="0082680A">
        <w:rPr>
          <w:lang w:val="en-GB"/>
        </w:rPr>
        <w:t xml:space="preserve"> phenotype like protein aggregation, but </w:t>
      </w:r>
      <w:proofErr w:type="gramStart"/>
      <w:r w:rsidRPr="0082680A">
        <w:rPr>
          <w:lang w:val="en-GB"/>
        </w:rPr>
        <w:t>a</w:t>
      </w:r>
      <w:proofErr w:type="gramEnd"/>
      <w:r w:rsidRPr="0082680A">
        <w:rPr>
          <w:lang w:val="en-GB"/>
        </w:rPr>
        <w:t xml:space="preserve"> </w:t>
      </w:r>
      <w:r w:rsidR="00131D06" w:rsidRPr="0082680A">
        <w:rPr>
          <w:lang w:val="en-GB"/>
        </w:rPr>
        <w:t xml:space="preserve">alternatively a </w:t>
      </w:r>
      <w:r w:rsidRPr="0082680A">
        <w:rPr>
          <w:lang w:val="en-GB"/>
        </w:rPr>
        <w:t>commonality in presentation</w:t>
      </w:r>
      <w:r w:rsidR="00495357">
        <w:rPr>
          <w:lang w:val="en-GB"/>
        </w:rPr>
        <w:t xml:space="preserve"> – the common clinical phenotype of sporadic and LRRK2 Parkinson’s disease</w:t>
      </w:r>
      <w:r w:rsidRPr="0082680A">
        <w:rPr>
          <w:lang w:val="en-GB"/>
        </w:rPr>
        <w:t xml:space="preserve">. </w:t>
      </w:r>
      <w:r w:rsidR="00495357" w:rsidRPr="0082680A">
        <w:rPr>
          <w:color w:val="000000" w:themeColor="text1"/>
          <w:lang w:val="en-GB"/>
        </w:rPr>
        <w:t>Though similar in nature to our TDP-43 application due to the location of the disease and the shared mechanism of neurodegeneration, this application pushe</w:t>
      </w:r>
      <w:r w:rsidR="00495357">
        <w:rPr>
          <w:color w:val="000000" w:themeColor="text1"/>
          <w:lang w:val="en-GB"/>
        </w:rPr>
        <w:t>s</w:t>
      </w:r>
      <w:r w:rsidR="00495357" w:rsidRPr="0082680A">
        <w:rPr>
          <w:color w:val="000000" w:themeColor="text1"/>
          <w:lang w:val="en-GB"/>
        </w:rPr>
        <w:t xml:space="preserve"> the methodology further into the realms of phenotypes that are much harder to quantify. The benefits of TDP-43 dysfunction as an application was that it was easily quantifiable, and its association with certain genes easier to identify. In this application, the physical representations of the disease </w:t>
      </w:r>
      <w:r w:rsidR="00495357">
        <w:rPr>
          <w:color w:val="000000" w:themeColor="text1"/>
          <w:lang w:val="en-GB"/>
        </w:rPr>
        <w:t>are</w:t>
      </w:r>
      <w:r w:rsidR="00495357" w:rsidRPr="0082680A">
        <w:rPr>
          <w:color w:val="000000" w:themeColor="text1"/>
          <w:lang w:val="en-GB"/>
        </w:rPr>
        <w:t xml:space="preserve"> much harder –</w:t>
      </w:r>
      <w:r w:rsidR="00495357" w:rsidRPr="0082680A">
        <w:rPr>
          <w:lang w:val="en-GB"/>
        </w:rPr>
        <w:t xml:space="preserve"> </w:t>
      </w:r>
      <w:r w:rsidR="00495357">
        <w:rPr>
          <w:lang w:val="en-GB"/>
        </w:rPr>
        <w:t>clinical phenotypes</w:t>
      </w:r>
      <w:r w:rsidR="00495357" w:rsidRPr="0082680A">
        <w:rPr>
          <w:lang w:val="en-GB"/>
        </w:rPr>
        <w:t xml:space="preserve"> </w:t>
      </w:r>
      <w:r w:rsidR="00495357">
        <w:rPr>
          <w:lang w:val="en-GB"/>
        </w:rPr>
        <w:t>may</w:t>
      </w:r>
      <w:r w:rsidR="00495357" w:rsidRPr="0082680A">
        <w:rPr>
          <w:lang w:val="en-GB"/>
        </w:rPr>
        <w:t xml:space="preserve"> be measured in an organism such as a cell or a mouse, but do not possess distinct genetic associations that could be used for benchmarking during the study.</w:t>
      </w:r>
      <w:r w:rsidR="00495357">
        <w:rPr>
          <w:lang w:val="en-GB"/>
        </w:rPr>
        <w:t xml:space="preserve"> </w:t>
      </w:r>
      <w:r w:rsidR="00CF3181">
        <w:rPr>
          <w:lang w:val="en-GB"/>
        </w:rPr>
        <w:t xml:space="preserve">Subsequently, analysis of such a complex phenotype allows us to push the boundaries of what this methodological pipeline is capable of. </w:t>
      </w:r>
    </w:p>
    <w:p w14:paraId="3D6BFA24" w14:textId="77777777" w:rsidR="000D27A7" w:rsidRPr="00691215" w:rsidRDefault="000D27A7" w:rsidP="00691215">
      <w:pPr>
        <w:pStyle w:val="Heading3"/>
      </w:pPr>
      <w:bookmarkStart w:id="210" w:name="_5g818u8pwns0" w:colFirst="0" w:colLast="0"/>
      <w:bookmarkStart w:id="211" w:name="_Toc3211385"/>
      <w:bookmarkEnd w:id="210"/>
      <w:r w:rsidRPr="00691215">
        <w:t>Parkinson’s Disease Overview</w:t>
      </w:r>
      <w:bookmarkEnd w:id="211"/>
    </w:p>
    <w:p w14:paraId="7267FA96" w14:textId="7D5F61B6" w:rsidR="000D27A7" w:rsidRPr="0082680A" w:rsidRDefault="000D27A7" w:rsidP="000D27A7">
      <w:pPr>
        <w:rPr>
          <w:lang w:val="en-GB"/>
        </w:rPr>
      </w:pPr>
      <w:r w:rsidRPr="0082680A">
        <w:rPr>
          <w:lang w:val="en-GB"/>
        </w:rPr>
        <w:t xml:space="preserve">Parkinson’s Disease (PD) is a progressive neurodegenerative disease affecting both motor and cognitive abilities. It is named for English doctor James Parkinson who described the condition in his 1817 publication entitled “An Essay on the Shaking Palsy” </w:t>
      </w:r>
      <w:r w:rsidR="006E3284" w:rsidRPr="0082680A">
        <w:rPr>
          <w:lang w:val="en-GB"/>
        </w:rPr>
        <w:fldChar w:fldCharType="begin" w:fldLock="1"/>
      </w:r>
      <w:r w:rsidR="000507BA">
        <w:rPr>
          <w:lang w:val="en-GB"/>
        </w:rPr>
        <w:instrText>ADDIN CSL_CITATION {"citationItems":[{"id":"ITEM-1","itemData":{"DOI":"10.1176/jnp.14.2.223","ISSN":"0895-0172","PMID":"11983801","author":[{"dropping-particle":"","family":"Parkinson","given":"James","non-dropping-particle":"","parse-names":false,"suffix":""}],"container-title":"The Journal of Neuropsychiatry and Clinical Neurosciences","id":"ITEM-1","issue":"2","issued":{"date-parts":[["0","5"]]},"page":"223-236","title":"An Essay on the Shaking Palsy","type":"article-journal","volume":"14"},"uris":["http://www.mendeley.com/documents/?uuid=482e28d2-911f-3188-b338-efa5d982a520"]}],"mendeley":{"formattedCitation":"&lt;sup&gt;205&lt;/sup&gt;","plainTextFormattedCitation":"205","previouslyFormattedCitation":"&lt;sup&gt;205&lt;/sup&gt;"},"properties":{"noteIndex":0},"schema":"https://github.com/citation-style-language/schema/raw/master/csl-citation.json"}</w:instrText>
      </w:r>
      <w:r w:rsidR="006E3284" w:rsidRPr="0082680A">
        <w:rPr>
          <w:lang w:val="en-GB"/>
        </w:rPr>
        <w:fldChar w:fldCharType="separate"/>
      </w:r>
      <w:r w:rsidR="00426B19" w:rsidRPr="00426B19">
        <w:rPr>
          <w:noProof/>
          <w:vertAlign w:val="superscript"/>
          <w:lang w:val="en-GB"/>
        </w:rPr>
        <w:t>205</w:t>
      </w:r>
      <w:r w:rsidR="006E3284" w:rsidRPr="0082680A">
        <w:rPr>
          <w:lang w:val="en-GB"/>
        </w:rPr>
        <w:fldChar w:fldCharType="end"/>
      </w:r>
      <w:r w:rsidRPr="0082680A">
        <w:rPr>
          <w:lang w:val="en-GB"/>
        </w:rPr>
        <w:t xml:space="preserve">. After Alzheimer’s Disease, PD is the most common neurodegenerative condition in the UK, affecting nearly 150,000 individuals in 2018 </w:t>
      </w:r>
      <w:r w:rsidR="0047675D" w:rsidRPr="0082680A">
        <w:rPr>
          <w:lang w:val="en-GB"/>
        </w:rPr>
        <w:fldChar w:fldCharType="begin" w:fldLock="1"/>
      </w:r>
      <w:r w:rsidR="000507BA">
        <w:rPr>
          <w:lang w:val="en-GB"/>
        </w:rPr>
        <w:instrText>ADDIN CSL_CITATION {"citationItems":[{"id":"ITEM-1","itemData":{"author":[{"dropping-particle":"","family":"Parkinson's UK","given":"","non-dropping-particle":"","parse-names":false,"suffix":""}],"id":"ITEM-1","issued":{"date-parts":[["2018"]]},"publisher-place":"London","title":"The incidence and prevalence of Parkinson’s in the UK","type":"report"},"uris":["http://www.mendeley.com/documents/?uuid=710f07fd-3b64-3917-b125-7fe460ab92c5"]}],"mendeley":{"formattedCitation":"&lt;sup&gt;206&lt;/sup&gt;","plainTextFormattedCitation":"206","previouslyFormattedCitation":"&lt;sup&gt;206&lt;/sup&gt;"},"properties":{"noteIndex":0},"schema":"https://github.com/citation-style-language/schema/raw/master/csl-citation.json"}</w:instrText>
      </w:r>
      <w:r w:rsidR="0047675D" w:rsidRPr="0082680A">
        <w:rPr>
          <w:lang w:val="en-GB"/>
        </w:rPr>
        <w:fldChar w:fldCharType="separate"/>
      </w:r>
      <w:r w:rsidR="00426B19" w:rsidRPr="00426B19">
        <w:rPr>
          <w:noProof/>
          <w:vertAlign w:val="superscript"/>
          <w:lang w:val="en-GB"/>
        </w:rPr>
        <w:t>206</w:t>
      </w:r>
      <w:r w:rsidR="0047675D" w:rsidRPr="0082680A">
        <w:rPr>
          <w:lang w:val="en-GB"/>
        </w:rPr>
        <w:fldChar w:fldCharType="end"/>
      </w:r>
      <w:r w:rsidRPr="0082680A">
        <w:rPr>
          <w:lang w:val="en-GB"/>
        </w:rPr>
        <w:t xml:space="preserve">. Common symptoms of PD include akinesia, bradykinesia, resting tremor and postural instability. Other symptoms may include loss of sense of smell (anosmia), nerve pain, difficulties swallowing (dysphagia) and insomnia. In some cases, PD patients also develop dementia. The neuronal degeneration experienced in PD is not in itself fatal, however its effect on motor and cognition leave patients vulnerable to secondary events such as pneumonia, bronchitis and heart disease. Patients are also at a much higher risk of falls, which can themselves be fatal. Treatment options for PD include physical, pharmaceutical, and surgical interventions. Physical therapy, such as yoga, pilates and tai chi, have been shown to improve balance and flexibility </w:t>
      </w:r>
      <w:r w:rsidR="0047675D" w:rsidRPr="0082680A">
        <w:rPr>
          <w:lang w:val="en-GB"/>
        </w:rPr>
        <w:fldChar w:fldCharType="begin" w:fldLock="1"/>
      </w:r>
      <w:r w:rsidR="000507BA">
        <w:rPr>
          <w:lang w:val="en-GB"/>
        </w:rPr>
        <w:instrText>ADDIN CSL_CITATION {"citationItems":[{"id":"ITEM-1","itemData":{"DOI":"10.1016/J.APMR.2004.08.008","ISSN":"0003-9993","abstract":"Ellis T, de Goede CJ, Feldman RG, Wolters EC, Kwakkel G, Wagenaar RC. Efficacy of a physical therapy program in patients with Parkinson’s disease: a randomized controlled trial. Arch Phys Med Rehabil 2005;86:626-32. \n\nOBJECTIVE\nTo investigate the effects of a physical therapy (PT) program in groups of people with Parkinson’s disease (PD). \n\nDESIGN\nRandomized controlled trial with a crossover design. \n\nSETTING\nTwo outpatient rehabilitation clinics in Boston and Amsterdam, respectively. \n\nPARTICIPANTS\nSixty-eight subjects diagnosed with typical, idiopathic PD, Hoehn and Yahr stage II or III, and stable medication use. \n\nINTERVENTION\nGroup A received PT and medication therapy (MT) for the first 6 weeks, followed by MT only for the second 6 weeks. Group B received only MT for the first 6 weeks and PT and MT for the second 6 weeks. \n\nMAIN OUTCOME MEASURES\nThe Sickness Impact Profile (SIP-68), the mobility portion of the SIP-68, the Unified Parkinson’s Disease Rating Scale (UPDRS), and comfortable walking speed (CWS) at baseline, 6-week, 12-week, and 3-month follow-up. \n\nRESULTS\nAt 6 weeks, differences between groups were significant for the SIP mobility (P=.015; effect size [ES]=.55), for CWS (P=.012; ES=.49), for the activities of daily living (ADL) section of the UPDRS (P=.014; ES=.45), and for the total UPDRS (P=.007; ES=.56). The total SIP and the mentation and motor sections of the UPDRS did not differ significantly between groups. Significant differences were found at 3 months compared with baseline for CWS, the UPDRS ADL, and total scores. \n\nCONCLUSIONS\nPeople with PD derive benefits in the short term from PT group treatment, in addition to their MT, for quality of life related to mobility, CWS, and ADLs; long-term benefits were found in CWS, UPDRS ADL, and total scores but varied between groups.","author":[{"dropping-particle":"","family":"Ellis","given":"Terry","non-dropping-particle":"","parse-names":false,"suffix":""},{"dropping-particle":"","family":"Goede","given":"Cees J.","non-dropping-particle":"de","parse-names":false,"suffix":""},{"dropping-particle":"","family":"Feldman","given":"Robert G.","non-dropping-particle":"","parse-names":false,"suffix":""},{"dropping-particle":"","family":"Wolters","given":"Erik C.","non-dropping-particle":"","parse-names":false,"suffix":""},{"dropping-particle":"","family":"Kwakkel","given":"Gert","non-dropping-particle":"","parse-names":false,"suffix":""},{"dropping-particle":"","family":"Wagenaar","given":"Robert C.","non-dropping-particle":"","parse-names":false,"suffix":""}],"container-title":"Archives of Physical Medicine and Rehabilitation","id":"ITEM-1","issue":"4","issued":{"date-parts":[["2005","4","1"]]},"page":"626-632","publisher":"W.B. Saunders","title":"Efficacy of a physical therapy program in patients with Parkinson’s disease: A randomized controlled trial","type":"article-journal","volume":"86"},"uris":["http://www.mendeley.com/documents/?uuid=3805d904-7843-484f-8b28-74536166eda1"]},{"id":"ITEM-2","itemData":{"DOI":"10.4103/0973-6131.146070","ISSN":"0973-6131","PMID":"25558138","abstract":"BACKGROUND Exercise can be beneficial for cardiopulmonary, musculoskeletal or neurological systems, and other factors including mood, and may be beneficial in reducing fall risks, dementia and variables associated with quality of life (QOL). Parkinson's disease (PD) produces progressive motor and cognitive deterioration that may leave those inflicted unable to participate in standard exercise programs. Alternative forms of exercise such as yoga may be successful in improving physical function, QOL and physiological variables for overall well-being. AIM This randomized controlled pilot study investigated the effectiveness of yoga intervention on physiological and health-related QOL measures in people with PD. METHODS AND MATERIALS Thirteen people with stage 1-2 PD were randomized to either a yoga (n = 8) or a control group (n = 5). The yoga group participated in twice-weekly yoga sessions for 12 weeks. Participants were tested at baseline, and at 6 and 12 weeks using the Unified Parkinson's Disease Rating Scale (UPDRS), clinical measures of health-related QOL and physiological measures. RESULTS Significant improvement in UPDRS scores (P = .006), diastolic blood pressure (P = 0.036) and average forced vital capacity (P = 0.03) was noted in the yoga group over time. Changes between groups were also noted in two SF-36 subscales. Positive trends of improvement were noted in depression scores (P = 0.056), body weight (P = 0.056) and forced expiratory volume (P = 0.059). Yoga participants reported more positive symptom changes including immediate tremor reduction. CONCLUSIONS The results suggest that yoga may improve aspects of QOL and physiological functions in stages 1-2 PD. Future larger studies are needed to confirm and extend our findings of the effects of yoga in PD.","author":[{"dropping-particle":"","family":"Sharma","given":"Neena K","non-dropping-particle":"","parse-names":false,"suffix":""},{"dropping-particle":"","family":"Robbins","given":"Kristin","non-dropping-particle":"","parse-names":false,"suffix":""},{"dropping-particle":"","family":"Wagner","given":"Kathleen","non-dropping-particle":"","parse-names":false,"suffix":""},{"dropping-particle":"","family":"Colgrove","given":"Yvonne M","non-dropping-particle":"","parse-names":false,"suffix":""}],"container-title":"International journal of yoga","id":"ITEM-2","issue":"1","issued":{"date-parts":[["2015","1"]]},"page":"74-9","publisher":"Wolters Kluwer -- Medknow Publications","title":"A randomized controlled pilot study of the therapeutic effects of yoga in people with Parkinson's disease.","type":"article-journal","volume":"8"},"uris":["http://www.mendeley.com/documents/?uuid=a4438aab-afee-3033-b63c-65db2fb7c1ba"]},{"id":"ITEM-3","itemData":{"DOI":"10.4236/apd.2013.22011","abstract":"Pilates therapy improves core muscle function and axial stability but its effects on balance in idiopathic Parkinson's disease (IPD) have not been evaluated. The objective of this study was to evaluate the effects of a Pilates exercise program on postural stability and balance confidence in people with IPD. Ten IPD patients (Hoehn &amp; Yahr Stage 1-3) with a history of falls or near-falls had the following assessments before and after completion of a 6-week supervised Pilates exercise program: Activities-Specific Balance Confidence Scale (ABC); Berg Balance Scale (BBS); Schwab and England Scale (SES); Unified Parkinson's Disease Rating Scale (UPDRS); pull-test; timed-up-and-go (TUG); 5-metre walk; static and dynamic posturography. There were significant improvements in BBS score, 5-metre walk time and TUG after the training program, as well as improvement trends in some posturo-graphic measures. Participants also reported improved balance confidence with Activities of Daily Living (ADLs). Our findings suggest that Pilates therapy can be beneficial in IPD and warrants further evaluation in a larger study.","author":[{"dropping-particle":"","family":"Johnson","given":"Liam","non-dropping-particle":"","parse-names":false,"suffix":""},{"dropping-particle":"","family":"Putrino","given":"David","non-dropping-particle":"","parse-names":false,"suffix":""},{"dropping-particle":"","family":"James","given":"Ian","non-dropping-particle":"","parse-names":false,"suffix":""},{"dropping-particle":"","family":"Rodrigues","given":"Julian","non-dropping-particle":"","parse-names":false,"suffix":""},{"dropping-particle":"","family":"Stell","given":"Rick","non-dropping-particle":"","parse-names":false,"suffix":""},{"dropping-particle":"","family":"Thickbroom","given":"Gary","non-dropping-particle":"","parse-names":false,"suffix":""},{"dropping-particle":"","family":"Mastaglia","given":"Frank L","non-dropping-particle":"","parse-names":false,"suffix":""}],"id":"ITEM-3","issue":"2","issued":{"date-parts":[["2013"]]},"page":"58-61","title":"The effects of a supervised Pilates training program on balance in Parkinson's disease","type":"article-journal","volume":"2"},"uris":["http://www.mendeley.com/documents/?uuid=399d2b4c-9068-43b3-a38b-c4cf85b906dd"]},{"id":"ITEM-4","itemData":{"DOI":"10.1056/NEJMoa1107911","ISSN":"0028-4793","abstract":"Background Patients with Parkinson's disease have substantially impaired balance, leading to diminished functional ability and an increased risk of falling. Although exercise is routinely encouraged by health care providers, few programs have been proven effective. Methods We conducted a randomized, controlled trial to determine whether a tailored tai chi program could improve postural control in patients with idiopathic Parkinson's disease. We randomly assigned 195 patients with stage 1 to 4 disease on the Hoehn and Yahr staging scale (which ranges from 1 to 5, with higher stages indicating more severe disease) to one of three groups: tai chi, resistance training, or stretching. The patients participated in 60-minute exercise sessions twice weekly for 24 weeks. The primary outcomes were changes from baseline in the limits-of-stability test (maximum excursion and directional control; range, 0 to 100%). Secondary outcomes included measures of gait and strength, scores on functional-reach and timed up-and-g...","author":[{"dropping-particle":"","family":"Li","given":"Fuzhong","non-dropping-particle":"","parse-names":false,"suffix":""},{"dropping-particle":"","family":"Harmer","given":"Peter","non-dropping-particle":"","parse-names":false,"suffix":""},{"dropping-particle":"","family":"Fitzgerald","given":"Kathleen","non-dropping-particle":"","parse-names":false,"suffix":""},{"dropping-particle":"","family":"Eckstrom","given":"Elizabeth","non-dropping-particle":"","parse-names":false,"suffix":""},{"dropping-particle":"","family":"Stock","given":"Ronald","non-dropping-particle":"","parse-names":false,"suffix":""},{"dropping-particle":"","family":"Galver","given":"Johnny","non-dropping-particle":"","parse-names":false,"suffix":""},{"dropping-particle":"","family":"Maddalozzo","given":"Gianni","non-dropping-particle":"","parse-names":false,"suffix":""},{"dropping-particle":"","family":"Batya","given":"Sara S.","non-dropping-particle":"","parse-names":false,"suffix":""}],"container-title":"New England Journal of Medicine","id":"ITEM-4","issue":"6","issued":{"date-parts":[["2012","2","9"]]},"page":"511-519","publisher":" Massachusetts Medical Society ","title":"Tai Chi and Postural Stability in Patients with Parkinson's Disease","type":"article-journal","volume":"366"},"uris":["http://www.mendeley.com/documents/?uuid=72d74ad7-36ad-43b5-8440-47b69a7766e5"]}],"mendeley":{"formattedCitation":"&lt;sup&gt;207–210&lt;/sup&gt;","plainTextFormattedCitation":"207–210","previouslyFormattedCitation":"&lt;sup&gt;207–210&lt;/sup&gt;"},"properties":{"noteIndex":0},"schema":"https://github.com/citation-style-language/schema/raw/master/csl-citation.json"}</w:instrText>
      </w:r>
      <w:r w:rsidR="0047675D" w:rsidRPr="0082680A">
        <w:rPr>
          <w:lang w:val="en-GB"/>
        </w:rPr>
        <w:fldChar w:fldCharType="separate"/>
      </w:r>
      <w:r w:rsidR="00426B19" w:rsidRPr="00426B19">
        <w:rPr>
          <w:noProof/>
          <w:vertAlign w:val="superscript"/>
          <w:lang w:val="en-GB"/>
        </w:rPr>
        <w:t>207–210</w:t>
      </w:r>
      <w:r w:rsidR="0047675D" w:rsidRPr="0082680A">
        <w:rPr>
          <w:lang w:val="en-GB"/>
        </w:rPr>
        <w:fldChar w:fldCharType="end"/>
      </w:r>
      <w:r w:rsidRPr="0082680A">
        <w:rPr>
          <w:lang w:val="en-GB"/>
        </w:rPr>
        <w:t xml:space="preserve">. Drugs available for PD patients function through </w:t>
      </w:r>
      <w:r w:rsidRPr="0082680A">
        <w:rPr>
          <w:lang w:val="en-GB"/>
        </w:rPr>
        <w:lastRenderedPageBreak/>
        <w:t xml:space="preserve">increasing dopamine levels in the brain, either as dopamine agonists which replace dopamine, or monoamine oxidase B (MAO-B) inhibitors which prevent the breakdown of dopamine. In the most extreme cases, where other treatments have failed, PD patients may have an electrode implanted into the subthalamic nucleus of the brain, to regulate motor outputs causing dyskinesias </w:t>
      </w:r>
      <w:r w:rsidR="0047675D" w:rsidRPr="0082680A">
        <w:rPr>
          <w:lang w:val="en-GB"/>
        </w:rPr>
        <w:fldChar w:fldCharType="begin" w:fldLock="1"/>
      </w:r>
      <w:r w:rsidR="000507BA">
        <w:rPr>
          <w:lang w:val="en-GB"/>
        </w:rPr>
        <w:instrText>ADDIN CSL_CITATION {"citationItems":[{"id":"ITEM-1","itemData":{"DOI":"10.1001/jama.2008.929","ISSN":"0098-7484","PMID":"19126811","abstract":"CONTEXT Deep brain stimulation is an accepted treatment for advanced Parkinson disease (PD), although there are few randomized trials comparing treatments, and most studies exclude older patients. OBJECTIVE To compare 6-month outcomes for patients with PD who received deep brain stimulation or best medical therapy. DESIGN, SETTING, AND PATIENTS Randomized controlled trial of patients who received either deep brain stimulation or best medical therapy, stratified by study site and patient age (&lt; 70 years vs &gt; or = 70 years) at 7 Veterans Affairs and 6 university hospitals between May 2002 and October 2005. A total of 255 patients with PD (Hoehn and Yahr stage &gt; or = 2 while not taking medications) were enrolled; 25% were aged 70 years or older. The final 6-month follow-up visit occurred in May 2006. INTERVENTION Bilateral deep brain stimulation of the subthalamic nucleus (n = 60) or globus pallidus (n = 61). Patients receiving best medical therapy (n = 134) were actively managed by movement disorder neurologists. MAIN OUTCOME MEASURES The primary outcome was time spent in the \"on\" state (good motor control with unimpeded motor function) without troubling dyskinesia, using motor diaries. Other outcomes included motor function, quality of life, neurocognitive function, and adverse events. RESULTS Patients who received deep brain stimulation gained a mean of 4.6 h/d of on time without troubling dyskinesia compared with 0 h/d for patients who received best medical therapy (between group mean difference, 4.5 h/d [95% CI, 3.7-5.4 h/d]; P &lt; .001). Motor function improved significantly (P &lt; .001) with deep brain stimulation vs best medical therapy, such that 71% of deep brain stimulation patients and 32% of best medical therapy patients experienced clinically meaningful motor function improvements (&gt; or = 5 points). Compared with the best medical therapy group, the deep brain stimulation group experienced significant improvements in the summary measure of quality of life and on 7 of 8 PD quality-of-life scores (P &lt; .001). Neurocognitive testing revealed small decrements in some areas of information processing for patients receiving deep brain stimulation vs best medical therapy. At least 1 serious adverse event occurred in 49 deep brain stimulation patients and 15 best medical therapy patients (P &lt; .001), including 39 adverse events related to the surgical procedure and 1 death secondary to cerebral hemorrhage. CONCLUSION In this randomized controlled trial of pa…","author":[{"dropping-particle":"","family":"Weaver","given":"Frances M.","non-dropping-particle":"","parse-names":false,"suffix":""},{"dropping-particle":"","family":"Follett","given":"Kenneth","non-dropping-particle":"","parse-names":false,"suffix":""},{"dropping-particle":"","family":"Stern","given":"Matthew","non-dropping-particle":"","parse-names":false,"suffix":""},{"dropping-particle":"","family":"Hur","given":"Kwan","non-dropping-particle":"","parse-names":false,"suffix":""},{"dropping-particle":"","family":"Harris","given":"Crystal","non-dropping-particle":"","parse-names":false,"suffix":""},{"dropping-particle":"","family":"Marks","given":"William J","non-dropping-particle":"","parse-names":false,"suffix":""},{"dropping-particle":"","family":"Rothlind","given":"Johannes","non-dropping-particle":"","parse-names":false,"suffix":""},{"dropping-particle":"","family":"Sagher","given":"Oren","non-dropping-particle":"","parse-names":false,"suffix":""},{"dropping-particle":"","family":"Reda","given":"Domenic","non-dropping-particle":"","parse-names":false,"suffix":""},{"dropping-particle":"","family":"Moy","given":"Claudia S","non-dropping-particle":"","parse-names":false,"suffix":""},{"dropping-particle":"","family":"Pahwa","given":"Rajesh","non-dropping-particle":"","parse-names":false,"suffix":""},{"dropping-particle":"","family":"Burchiel","given":"Kim","non-dropping-particle":"","parse-names":false,"suffix":""},{"dropping-particle":"","family":"Hogarth","given":"Penelope","non-dropping-particle":"","parse-names":false,"suffix":""},{"dropping-particle":"","family":"Lai","given":"Eugene C","non-dropping-particle":"","parse-names":false,"suffix":""},{"dropping-particle":"","family":"Duda","given":"John E","non-dropping-particle":"","parse-names":false,"suffix":""},{"dropping-particle":"","family":"Holloway","given":"Kathryn","non-dropping-particle":"","parse-names":false,"suffix":""},{"dropping-particle":"","family":"Samii","given":"Ali","non-dropping-particle":"","parse-names":false,"suffix":""},{"dropping-particle":"","family":"Horn","given":"Stacy","non-dropping-particle":"","parse-names":false,"suffix":""},{"dropping-particle":"","family":"Bronstein","given":"Jeff","non-dropping-particle":"","parse-names":false,"suffix":""},{"dropping-particle":"","family":"Stoner","given":"Gatana","non-dropping-particle":"","parse-names":false,"suffix":""},{"dropping-particle":"","family":"Heemskerk","given":"Jill","non-dropping-particle":"","parse-names":false,"suffix":""},{"dropping-particle":"","family":"Huang","given":"Grant D","non-dropping-particle":"","parse-names":false,"suffix":""},{"dropping-particle":"","family":"CSP 468 Study Group","given":"","non-dropping-particle":"","parse-names":false,"suffix":""}],"container-title":"JAMA","id":"ITEM-1","issue":"1","issued":{"date-parts":[["2009","1","7"]]},"page":"63","title":"Bilateral Deep Brain Stimulation vs Best Medical Therapy for Patients With Advanced Parkinson Disease: A Randomized Controlled Trial","type":"article-journal","volume":"301"},"uris":["http://www.mendeley.com/documents/?uuid=21344acf-5e3c-3c36-9a99-43dc783e5b51"]},{"id":"ITEM-2","itemData":{"DOI":"10.1056/NEJMoa060281","ISSN":"0028-4793","PMID":"16943402","abstract":"BACKGROUND Neurostimulation of the subthalamic nucleus reduces levodopa-related motor complications in advanced Parkinson's disease. We compared this treatment plus medication with medical management. METHODS In this randomized-pairs trial, we enrolled 156 patients with advanced Parkinson's disease and severe motor symptoms. The primary end points were the changes from baseline to six months in the quality of life, as assessed by the Parkinson's Disease Questionnaire (PDQ-39), and the severity of symptoms without medication, according to the Unified Parkinson's Disease Rating Scale, part III (UPDRS-III). RESULTS Pairwise comparisons showed that neurostimulation, as compared with medication alone, caused greater improvements from baseline to six months in the PDQ-39 (50 of 78 pairs, P=0.02) and the UPDRS-III (55 of 78, P&lt;0.001), with mean improvements of 9.5 and 19.6 points, respectively. Neurostimulation resulted in improvements of 24 to 38 percent in the PDQ-39 subscales for mobility, activities of daily living, emotional well-being, stigma, and bodily discomfort. Serious adverse events were more common with neurostimulation than with medication alone (13 percent vs. 4 percent, P&lt;0.04) and included a fatal intracerebral hemorrhage. The overall frequency of adverse events was higher in the medication group (64 percent vs. 50 percent, P=0.08). CONCLUSIONS In this six-month study of patients under 75 years of age with severe motor complications of Parkinson's disease, neurostimulation of the subthalamic nucleus was more effective than medical management alone. (ClinicalTrials.gov number, NCT00196911 [ClinicalTrials.gov].).","author":[{"dropping-particle":"","family":"Deuschl","given":"Günther","non-dropping-particle":"","parse-names":false,"suffix":""},{"dropping-particle":"","family":"Schade-Brittinger","given":"Carmen","non-dropping-particle":"","parse-names":false,"suffix":""},{"dropping-particle":"","family":"Krack","given":"Paul","non-dropping-particle":"","parse-names":false,"suffix":""},{"dropping-particle":"","family":"Volkmann","given":"Jens","non-dropping-particle":"","parse-names":false,"suffix":""},{"dropping-particle":"","family":"Schäfer","given":"Helmut","non-dropping-particle":"","parse-names":false,"suffix":""},{"dropping-particle":"","family":"Bötzel","given":"Kai","non-dropping-particle":"","parse-names":false,"suffix":""},{"dropping-particle":"","family":"Daniels","given":"Christine","non-dropping-particle":"","parse-names":false,"suffix":""},{"dropping-particle":"","family":"Deutschländer","given":"Angela","non-dropping-particle":"","parse-names":false,"suffix":""},{"dropping-particle":"","family":"Dillmann","given":"Ulrich","non-dropping-particle":"","parse-names":false,"suffix":""},{"dropping-particle":"","family":"Eisner","given":"Wilhelm","non-dropping-particle":"","parse-names":false,"suffix":""},{"dropping-particle":"","family":"Gruber","given":"Doreen","non-dropping-particle":"","parse-names":false,"suffix":""},{"dropping-particle":"","family":"Hamel","given":"Wolfgang","non-dropping-particle":"","parse-names":false,"suffix":""},{"dropping-particle":"","family":"Herzog","given":"Jan","non-dropping-particle":"","parse-names":false,"suffix":""},{"dropping-particle":"","family":"Hilker","given":"Rüdiger","non-dropping-particle":"","parse-names":false,"suffix":""},{"dropping-particle":"","family":"Klebe","given":"Stephan","non-dropping-particle":"","parse-names":false,"suffix":""},{"dropping-particle":"","family":"Kloß","given":"Manja","non-dropping-particle":"","parse-names":false,"suffix":""},{"dropping-particle":"","family":"Koy","given":"Jan","non-dropping-particle":"","parse-names":false,"suffix":""},{"dropping-particle":"","family":"Krause","given":"Martin","non-dropping-particle":"","parse-names":false,"suffix":""},{"dropping-particle":"","family":"Kupsch","given":"Andreas","non-dropping-particle":"","parse-names":false,"suffix":""},{"dropping-particle":"","family":"Lorenz","given":"Delia","non-dropping-particle":"","parse-names":false,"suffix":""},{"dropping-particle":"","family":"Lorenzl","given":"Stefan","non-dropping-particle":"","parse-names":false,"suffix":""},{"dropping-particle":"","family":"Mehdorn","given":"H. Maximilian","non-dropping-particle":"","parse-names":false,"suffix":""},{"dropping-particle":"","family":"Moringlane","given":"Jean Richard","non-dropping-particle":"","parse-names":false,"suffix":""},{"dropping-particle":"","family":"Oertel","given":"Wolfgang","non-dropping-particle":"","parse-names":false,"suffix":""},{"dropping-particle":"","family":"Pinsker","given":"Marcus O.","non-dropping-particle":"","parse-names":false,"suffix":""},{"dropping-particle":"","family":"Reichmann","given":"Heinz","non-dropping-particle":"","parse-names":false,"suffix":""},{"dropping-particle":"","family":"Reuß","given":"Alexander","non-dropping-particle":"","parse-names":false,"suffix":""},{"dropping-particle":"","family":"Schneider","given":"Gerd-Helge","non-dropping-particle":"","parse-names":false,"suffix":""},{"dropping-particle":"","family":"Schnitzler","given":"Alfons","non-dropping-particle":"","parse-names":false,"suffix":""},{"dropping-particle":"","family":"Steude","given":"Ulrich","non-dropping-particle":"","parse-names":false,"suffix":""},{"dropping-particle":"","family":"Sturm","given":"Volker","non-dropping-particle":"","parse-names":false,"suffix":""},{"dropping-particle":"","family":"Timmermann","given":"Lars","non-dropping-particle":"","parse-names":false,"suffix":""},{"dropping-particle":"","family":"Tronnier","given":"Volker","non-dropping-particle":"","parse-names":false,"suffix":""},{"dropping-particle":"","family":"Trottenberg","given":"Thomas","non-dropping-particle":"","parse-names":false,"suffix":""},{"dropping-particle":"","family":"Wojtecki","given":"Lars","non-dropping-particle":"","parse-names":false,"suffix":""},{"dropping-particle":"","family":"Wolf","given":"Elisabeth","non-dropping-particle":"","parse-names":false,"suffix":""},{"dropping-particle":"","family":"Poewe","given":"Werner","non-dropping-particle":"","parse-names":false,"suffix":""},{"dropping-particle":"","family":"Voges","given":"Jürgen","non-dropping-particle":"","parse-names":false,"suffix":""},{"dropping-particle":"","family":"German Parkinson Study Group, Neurostimulation Section","given":"","non-dropping-particle":"","parse-names":false,"suffix":""}],"container-title":"New England Journal of Medicine","id":"ITEM-2","issue":"9","issued":{"date-parts":[["2006","8","31"]]},"page":"896-908","title":"A Randomized Trial of Deep-Brain Stimulation for Parkinson's Disease","type":"article-journal","volume":"355"},"uris":["http://www.mendeley.com/documents/?uuid=4518c2c4-3ef3-3410-ae9a-3e81fe07b0ff"]}],"mendeley":{"formattedCitation":"&lt;sup&gt;211,212&lt;/sup&gt;","plainTextFormattedCitation":"211,212","previouslyFormattedCitation":"&lt;sup&gt;211,212&lt;/sup&gt;"},"properties":{"noteIndex":0},"schema":"https://github.com/citation-style-language/schema/raw/master/csl-citation.json"}</w:instrText>
      </w:r>
      <w:r w:rsidR="0047675D" w:rsidRPr="0082680A">
        <w:rPr>
          <w:lang w:val="en-GB"/>
        </w:rPr>
        <w:fldChar w:fldCharType="separate"/>
      </w:r>
      <w:r w:rsidR="00426B19" w:rsidRPr="00426B19">
        <w:rPr>
          <w:noProof/>
          <w:vertAlign w:val="superscript"/>
          <w:lang w:val="en-GB"/>
        </w:rPr>
        <w:t>211,212</w:t>
      </w:r>
      <w:r w:rsidR="0047675D" w:rsidRPr="0082680A">
        <w:rPr>
          <w:lang w:val="en-GB"/>
        </w:rPr>
        <w:fldChar w:fldCharType="end"/>
      </w:r>
      <w:r w:rsidRPr="0082680A">
        <w:rPr>
          <w:lang w:val="en-GB"/>
        </w:rPr>
        <w:t>. A curative treatment for PD does not yet exist.</w:t>
      </w:r>
    </w:p>
    <w:p w14:paraId="1A053F96" w14:textId="77777777" w:rsidR="000D27A7" w:rsidRPr="00691215" w:rsidRDefault="000D27A7" w:rsidP="00691215">
      <w:pPr>
        <w:pStyle w:val="Heading3"/>
      </w:pPr>
      <w:bookmarkStart w:id="212" w:name="_d452bq8ia0f7" w:colFirst="0" w:colLast="0"/>
      <w:bookmarkStart w:id="213" w:name="_Toc3211386"/>
      <w:bookmarkEnd w:id="212"/>
      <w:r w:rsidRPr="00691215">
        <w:t>Pathophysiology</w:t>
      </w:r>
      <w:bookmarkEnd w:id="213"/>
    </w:p>
    <w:p w14:paraId="566510F8" w14:textId="5ED50765" w:rsidR="000D27A7" w:rsidRPr="0082680A" w:rsidRDefault="000D27A7" w:rsidP="000D27A7">
      <w:pPr>
        <w:rPr>
          <w:lang w:val="en-GB"/>
        </w:rPr>
      </w:pPr>
      <w:r w:rsidRPr="0082680A">
        <w:rPr>
          <w:lang w:val="en-GB"/>
        </w:rPr>
        <w:t>PD is predominantly characterised by the death of dopaminergic neurons in the ventral tier of the substantia nigra pars compacta (</w:t>
      </w:r>
      <w:proofErr w:type="spellStart"/>
      <w:r w:rsidRPr="0082680A">
        <w:rPr>
          <w:lang w:val="en-GB"/>
        </w:rPr>
        <w:t>SNpc</w:t>
      </w:r>
      <w:proofErr w:type="spellEnd"/>
      <w:r w:rsidRPr="0082680A">
        <w:rPr>
          <w:lang w:val="en-GB"/>
        </w:rPr>
        <w:t xml:space="preserve">) </w:t>
      </w:r>
      <w:r w:rsidR="009C089C" w:rsidRPr="0082680A">
        <w:rPr>
          <w:lang w:val="en-GB"/>
        </w:rPr>
        <w:fldChar w:fldCharType="begin" w:fldLock="1"/>
      </w:r>
      <w:r w:rsidR="000507BA">
        <w:rPr>
          <w:lang w:val="en-GB"/>
        </w:rPr>
        <w:instrText>ADDIN CSL_CITATION {"citationItems":[{"id":"ITEM-1","itemData":{"DOI":"10.1080/09540260020002497","ISSN":"1369-1627","abstract":"Parkinson's disease (PD) has classically been considered a disease of motor dysfunction, but it also includes psychiatric symptoms.To better understand the symptoms and signs that accompany PD, the interrelationships of deep brain structures and cortical areas involved with this neurodegenerative disease must be investigated. Current models of basal ganglia/cortical physiology attempt to integrate motor and nonmotor physiology and describe the pathophysiology attributable to PD.The cortical areas comprising basal ganglia/cortical loops include frontal structures involved in motor program as well as more prefrontal structures likely subserving non-motor functions such as cognition. The etiology of PD is not clear, but studies have implicated oxidative stress from exogenous stressors or endogenous neurotoxins. A large number of PD patients have been found to exhibit mitochondrial dysfunction. Lewy bodies are seen within dopaminergic and other neuronal populations affected in PD, and they stain positive for ubiquitin and alpha-synuclein.The small percentage of familial PD has often been found to coincide with dominantly inherited mutations in the gene for alpha-synuclein, or with the recessive gene mutation for parkin, which is involved in the ubiquitination pathway. Selected neuronal populations are affected in PD, and the neurodegeneration may include dopaminergic neurons outside the substantia nigra pars compacta, as well and non-dopaminergic neurons.The loss of these neuronal populations within the basal ganglia-frontal circuits can have a profound effect upon the motor and neurobehavioral symptoms in PD. L-dopa remains the most effective pharmacologic therapy for PD, however as the disease progresses, the drug loses its efficacy and troublesome side-effects often occur.The renewal of surgical interventions for PD has increased the insight into the pathophysiology of PD, and surgical lesions have shown that motor and cognitive fronto-subcortical circuits are seemingly segregated in patients with PD. Investigation into these circuits helps provides models underlying motor and cognitive pathophysiology of PD.","author":[{"dropping-particle":"","family":"Mandir","given":"Allen S","non-dropping-particle":"","parse-names":false,"suffix":""},{"dropping-particle":"","family":"Vaughan","given":"Christina","non-dropping-particle":"","parse-names":false,"suffix":""}],"container-title":"International Review of Psychiatry","id":"ITEM-1","issue":"4","issued":{"date-parts":[["2000"]]},"page":"270-280","title":"Pathophysiology of Parkinson's disease","type":"article-journal","volume":"12"},"uris":["http://www.mendeley.com/documents/?uuid=2b778858-e0b9-486f-9b03-5834a15994f8"]}],"mendeley":{"formattedCitation":"&lt;sup&gt;213&lt;/sup&gt;","plainTextFormattedCitation":"213","previouslyFormattedCitation":"&lt;sup&gt;213&lt;/sup&gt;"},"properties":{"noteIndex":0},"schema":"https://github.com/citation-style-language/schema/raw/master/csl-citation.json"}</w:instrText>
      </w:r>
      <w:r w:rsidR="009C089C" w:rsidRPr="0082680A">
        <w:rPr>
          <w:lang w:val="en-GB"/>
        </w:rPr>
        <w:fldChar w:fldCharType="separate"/>
      </w:r>
      <w:r w:rsidR="00426B19" w:rsidRPr="00426B19">
        <w:rPr>
          <w:noProof/>
          <w:vertAlign w:val="superscript"/>
          <w:lang w:val="en-GB"/>
        </w:rPr>
        <w:t>213</w:t>
      </w:r>
      <w:r w:rsidR="009C089C" w:rsidRPr="0082680A">
        <w:rPr>
          <w:lang w:val="en-GB"/>
        </w:rPr>
        <w:fldChar w:fldCharType="end"/>
      </w:r>
      <w:r w:rsidRPr="0082680A">
        <w:rPr>
          <w:lang w:val="en-GB"/>
        </w:rPr>
        <w:t xml:space="preserve">. Reviews on </w:t>
      </w:r>
      <w:proofErr w:type="spellStart"/>
      <w:r w:rsidRPr="0082680A">
        <w:rPr>
          <w:lang w:val="en-GB"/>
        </w:rPr>
        <w:t>SNpc</w:t>
      </w:r>
      <w:proofErr w:type="spellEnd"/>
      <w:r w:rsidRPr="0082680A">
        <w:rPr>
          <w:lang w:val="en-GB"/>
        </w:rPr>
        <w:t xml:space="preserve"> degeneration suggest that by the time of symptom onset, 50-60% of a patient’s neurons will already be lost </w:t>
      </w:r>
      <w:r w:rsidR="00967917" w:rsidRPr="0082680A">
        <w:rPr>
          <w:lang w:val="en-GB"/>
        </w:rPr>
        <w:fldChar w:fldCharType="begin" w:fldLock="1"/>
      </w:r>
      <w:r w:rsidR="000507BA">
        <w:rPr>
          <w:lang w:val="en-GB"/>
        </w:rPr>
        <w:instrText>ADDIN CSL_CITATION {"citationItems":[{"id":"ITEM-1","itemData":{"DOI":"10.1002/ana.20226","ISSN":"0364-5134","author":[{"dropping-particle":"","family":"Ross","given":"G. Webster","non-dropping-particle":"","parse-names":false,"suffix":""},{"dropping-particle":"","family":"Petrovitch","given":"Helen","non-dropping-particle":"","parse-names":false,"suffix":""},{"dropping-particle":"","family":"Abbott","given":"Robert D.","non-dropping-particle":"","parse-names":false,"suffix":""},{"dropping-particle":"","family":"Nelson","given":"James","non-dropping-particle":"","parse-names":false,"suffix":""},{"dropping-particle":"","family":"Markesbery","given":"William","non-dropping-particle":"","parse-names":false,"suffix":""},{"dropping-particle":"","family":"Davis","given":"Daron","non-dropping-particle":"","parse-names":false,"suffix":""},{"dropping-particle":"","family":"Hardman","given":"John","non-dropping-particle":"","parse-names":false,"suffix":""},{"dropping-particle":"","family":"Launer","given":"Lenore","non-dropping-particle":"","parse-names":false,"suffix":""},{"dropping-particle":"","family":"Masaki","given":"Kamal","non-dropping-particle":"","parse-names":false,"suffix":""},{"dropping-particle":"","family":"Tanner","given":"Caroline M.","non-dropping-particle":"","parse-names":false,"suffix":""},{"dropping-particle":"","family":"White","given":"Lon R.","non-dropping-particle":"","parse-names":false,"suffix":""}],"container-title":"Annals of Neurology","id":"ITEM-1","issue":"4","issued":{"date-parts":[["2004","10","1"]]},"page":"532-539","publisher":"Wiley-Blackwell","title":"Parkinsonian signs and substantia nigra neuron density in decendents elders without PD","type":"article-journal","volume":"56"},"uris":["http://www.mendeley.com/documents/?uuid=7a639b56-ad7a-4889-8226-50b724a9f50f"]}],"mendeley":{"formattedCitation":"&lt;sup&gt;214&lt;/sup&gt;","plainTextFormattedCitation":"214","previouslyFormattedCitation":"&lt;sup&gt;214&lt;/sup&gt;"},"properties":{"noteIndex":0},"schema":"https://github.com/citation-style-language/schema/raw/master/csl-citation.json"}</w:instrText>
      </w:r>
      <w:r w:rsidR="00967917" w:rsidRPr="0082680A">
        <w:rPr>
          <w:lang w:val="en-GB"/>
        </w:rPr>
        <w:fldChar w:fldCharType="separate"/>
      </w:r>
      <w:r w:rsidR="00426B19" w:rsidRPr="00426B19">
        <w:rPr>
          <w:noProof/>
          <w:vertAlign w:val="superscript"/>
          <w:lang w:val="en-GB"/>
        </w:rPr>
        <w:t>214</w:t>
      </w:r>
      <w:r w:rsidR="00967917" w:rsidRPr="0082680A">
        <w:rPr>
          <w:lang w:val="en-GB"/>
        </w:rPr>
        <w:fldChar w:fldCharType="end"/>
      </w:r>
      <w:r w:rsidR="00967917" w:rsidRPr="0082680A">
        <w:rPr>
          <w:lang w:val="en-GB"/>
        </w:rPr>
        <w:t xml:space="preserve">. </w:t>
      </w:r>
      <w:r w:rsidRPr="0082680A">
        <w:rPr>
          <w:lang w:val="en-GB"/>
        </w:rPr>
        <w:t xml:space="preserve">The ventral tier generates dopaminergic signals which are directed at the putamen, whose function is to modulate motor skills, hence the motor deficits experienced in PD </w:t>
      </w:r>
      <w:r w:rsidR="00967917" w:rsidRPr="0082680A">
        <w:rPr>
          <w:lang w:val="en-GB"/>
        </w:rPr>
        <w:fldChar w:fldCharType="begin" w:fldLock="1"/>
      </w:r>
      <w:r w:rsidR="000507BA">
        <w:rPr>
          <w:lang w:val="en-GB"/>
        </w:rPr>
        <w:instrText>ADDIN CSL_CITATION {"citationItems":[{"id":"ITEM-1","itemData":{"DOI":"10.1080/09540260020002497","ISSN":"1369-1627","abstract":"Parkinson's disease (PD) has classically been considered a disease of motor dysfunction, but it also includes psychiatric symptoms.To better understand the symptoms and signs that accompany PD, the interrelationships of deep brain structures and cortical areas involved with this neurodegenerative disease must be investigated. Current models of basal ganglia/cortical physiology attempt to integrate motor and nonmotor physiology and describe the pathophysiology attributable to PD.The cortical areas comprising basal ganglia/cortical loops include frontal structures involved in motor program as well as more prefrontal structures likely subserving non-motor functions such as cognition. The etiology of PD is not clear, but studies have implicated oxidative stress from exogenous stressors or endogenous neurotoxins. A large number of PD patients have been found to exhibit mitochondrial dysfunction. Lewy bodies are seen within dopaminergic and other neuronal populations affected in PD, and they stain positive for ubiquitin and alpha-synuclein.The small percentage of familial PD has often been found to coincide with dominantly inherited mutations in the gene for alpha-synuclein, or with the recessive gene mutation for parkin, which is involved in the ubiquitination pathway. Selected neuronal populations are affected in PD, and the neurodegeneration may include dopaminergic neurons outside the substantia nigra pars compacta, as well and non-dopaminergic neurons.The loss of these neuronal populations within the basal ganglia-frontal circuits can have a profound effect upon the motor and neurobehavioral symptoms in PD. L-dopa remains the most effective pharmacologic therapy for PD, however as the disease progresses, the drug loses its efficacy and troublesome side-effects often occur.The renewal of surgical interventions for PD has increased the insight into the pathophysiology of PD, and surgical lesions have shown that motor and cognitive fronto-subcortical circuits are seemingly segregated in patients with PD. Investigation into these circuits helps provides models underlying motor and cognitive pathophysiology of PD.","author":[{"dropping-particle":"","family":"Mandir","given":"Allen S","non-dropping-particle":"","parse-names":false,"suffix":""},{"dropping-particle":"","family":"Vaughan","given":"Christina","non-dropping-particle":"","parse-names":false,"suffix":""}],"container-title":"International Review of Psychiatry","id":"ITEM-1","issue":"4","issued":{"date-parts":[["2000"]]},"page":"270-280","title":"Pathophysiology of Parkinson's disease","type":"article-journal","volume":"12"},"uris":["http://www.mendeley.com/documents/?uuid=2b778858-e0b9-486f-9b03-5834a15994f8"]}],"mendeley":{"formattedCitation":"&lt;sup&gt;213&lt;/sup&gt;","plainTextFormattedCitation":"213","previouslyFormattedCitation":"&lt;sup&gt;213&lt;/sup&gt;"},"properties":{"noteIndex":0},"schema":"https://github.com/citation-style-language/schema/raw/master/csl-citation.json"}</w:instrText>
      </w:r>
      <w:r w:rsidR="00967917" w:rsidRPr="0082680A">
        <w:rPr>
          <w:lang w:val="en-GB"/>
        </w:rPr>
        <w:fldChar w:fldCharType="separate"/>
      </w:r>
      <w:r w:rsidR="00426B19" w:rsidRPr="00426B19">
        <w:rPr>
          <w:noProof/>
          <w:vertAlign w:val="superscript"/>
          <w:lang w:val="en-GB"/>
        </w:rPr>
        <w:t>213</w:t>
      </w:r>
      <w:r w:rsidR="00967917" w:rsidRPr="0082680A">
        <w:rPr>
          <w:lang w:val="en-GB"/>
        </w:rPr>
        <w:fldChar w:fldCharType="end"/>
      </w:r>
      <w:r w:rsidRPr="0082680A">
        <w:rPr>
          <w:lang w:val="en-GB"/>
        </w:rPr>
        <w:t xml:space="preserve">. To a lesser extent, neuronal death also occurs in the ventral tegmental area, locus coeruleus, vagal nuclei, and nucleus basalis of Meynert </w:t>
      </w:r>
      <w:r w:rsidR="00967917" w:rsidRPr="0082680A">
        <w:rPr>
          <w:lang w:val="en-GB"/>
        </w:rPr>
        <w:fldChar w:fldCharType="begin" w:fldLock="1"/>
      </w:r>
      <w:r w:rsidR="000507BA">
        <w:rPr>
          <w:lang w:val="en-GB"/>
        </w:rPr>
        <w:instrText>ADDIN CSL_CITATION {"citationItems":[{"id":"ITEM-1","itemData":{"DOI":"10.1212/WNL.35.8.1215","ISSN":"0028-3878","PMID":"4022359","abstract":"Decreased numbers of pigmented neurons of the dopaminergic nigrostriatal system are the most striking pathology in the brains of individuals with Parkinson's disease (PD), but it is clear that neurons in the locus ceruleus, vagal nuclei, and nucleus basalis of Meynert are also affected in this disease. Because neurochemical evidence suggested that the mesolimbic dopaminergic system originating in the ventral tegmental area (VTA) may also be involved, the present study was designed to evaluate the mesolimbic dopamine system in PD by counting pigmented neurons in the VTA contralateral to therapeutic lesions placed in the basal ganglia or thalamus. In PD, VTA neurons were depleted to 36 to 55% of control values. Moreover, the VTA showed excessive free pigment, a marker for death of pigmented neurons. These changes may be important in disorders of movement or mentation occurring in PD.","author":[{"dropping-particle":"","family":"Uhl","given":"G R","non-dropping-particle":"","parse-names":false,"suffix":""},{"dropping-particle":"","family":"Hedreen","given":"J C","non-dropping-particle":"","parse-names":false,"suffix":""},{"dropping-particle":"","family":"Price","given":"D L","non-dropping-particle":"","parse-names":false,"suffix":""}],"container-title":"Neurology","id":"ITEM-1","issue":"8","issued":{"date-parts":[["1985","8","1"]]},"page":"1215-8","publisher":"Wolters Kluwer Health, Inc. on behalf of the American Academy of Neurology","title":"Parkinson's disease: loss of neurons from the ventral tegmental area contralateral to therapeutic surgical lesions.","type":"article-journal","volume":"35"},"uris":["http://www.mendeley.com/documents/?uuid=ec898c5e-76d3-316a-8f68-fea5a383756e"]},{"id":"ITEM-2","itemData":{"DOI":"10.1001/archneur.60.3.337","ISSN":"0003-9942","abstract":"&lt;h3&gt;Context&lt;/h3&gt;&lt;p&gt;Alzheimer disease (AD) and Parkinson disease (PD) are associated with neuronal degeneration in major subcortical nuclei, but few studies have examined the neuronal degeneration in these nuclei concurrently.&lt;/p&gt;&lt;h3&gt;Objective&lt;/h3&gt;&lt;p&gt;To identify clinical and pathological correlates of neuronal loss in the nucleus basalis (NB), locus coeruleus (LC), and substantia nigra pars compacta (SN) in AD and PD.&lt;/p&gt;&lt;h3&gt;Design&lt;/h3&gt;&lt;p&gt;The study sample comprised 86 cases with pathologically confirmed AD, 19 cases with PD, and 13 healthy elderly control subjects. The number of nucleolated neurons was counted in representative sections of the NB, LC, and SN. Effect sizes (ES) were computed to determine the standardized difference in cell counts relative to healthy controls.&lt;/p&gt;&lt;h3&gt;Results&lt;/h3&gt;&lt;p&gt;Cases of AD showed the greatest neuronal loss in the LC (ES = 3.16) followed by the NB (ES = 1.10), but variable loss in the SN (ES = 0.16). Cases of PD also showed the greatest neuronal loss in the LC (ES = 6.47), followed by the SN (ES = 2.58) and the NB (ES = 0.85). Significant correlations were found between the number of neurons in the NB and LC in PD (&lt;i&gt;r&lt;/i&gt;= 0.54,&lt;i&gt;P&lt;/i&gt;&amp;lt;.05), as well as AD (&lt;i&gt;r&lt;/i&gt;= 0.24,&lt;i&gt;P&lt;/i&gt;&amp;lt;.05). The duration of illness correlated with greater neuronal loss in the LC and NB in AD, and greater neuronal loss in the SN in PD.&lt;/p&gt;&lt;h3&gt;Conclusions&lt;/h3&gt;&lt;p&gt;For both AD and PD the greatest neuronal loss was found in the LC. In AD, neuronal loss was most severe and best correlated with the duration of illness in the LC, rather than in NB as traditionally expected. Correlations between neuronal loss in the LC and NB (but not SN) in both PD and AD suggest that the former 2 nuclei may share common pathogenetic susceptibilities. Given the prominent loss of neurons in the LC, detection and treatment of noradrenergic deficiencies warrant attention in both AD and PD.&lt;/p&gt;","author":[{"dropping-particle":"","family":"Zarow","given":"Chris","non-dropping-particle":"","parse-names":false,"suffix":""},{"dropping-particle":"","family":"Lyness","given":"Scott A.","non-dropping-particle":"","parse-names":false,"suffix":""},{"dropping-particle":"","family":"Mortimer","given":"James A.","non-dropping-particle":"","parse-names":false,"suffix":""},{"dropping-particle":"","family":"Chui","given":"Helena C.","non-dropping-particle":"","parse-names":false,"suffix":""}],"container-title":"Archives of Neurology","id":"ITEM-2","issue":"3","issued":{"date-parts":[["2003","3","1"]]},"page":"337","publisher":"American Medical Association","title":"Neuronal Loss Is Greater in the Locus Coeruleus Than Nucleus Basalis and Substantia Nigra in Alzheimer and Parkinson Diseases","type":"article-journal","volume":"60"},"uris":["http://www.mendeley.com/documents/?uuid=a6b95de5-61c2-3151-b465-25ab00681c4f"]},{"id":"ITEM-3","itemData":{"DOI":"10.1002/ana.410150503","ISSN":"0364-5134","PMID":"6732189","abstract":"A representative region of the nucleus basalis of Meynert was investigated in 11 patients with idiopathic Parkinson's disease and compared with the identical region in 13 age-matched control subjects. Simultaneously, the cerebral cortex and the nucleus basalis in the patients with Parkinson's disease were examined for senile plaques and Alzheimer's neurofibrillary tangles. The nucleus basalis was significantly depleted of its large neurons in Parkinson's disease (p less than 0.001 versus controls; Student t tests), but in the majority of cases the neuron loss was not associated with Alzheimer's disease.","author":[{"dropping-particle":"","family":"Nakano","given":"Imaharu","non-dropping-particle":"","parse-names":false,"suffix":""},{"dropping-particle":"","family":"Hirano","given":"Asao","non-dropping-particle":"","parse-names":false,"suffix":""}],"container-title":"Annals of Neurology","id":"ITEM-3","issue":"5","issued":{"date-parts":[["1984","5"]]},"page":"415-418","title":"Parkinson's disease: Neuron loss in the nucleus basalis without concomitant Alzheimer's disease","type":"article-journal","volume":"15"},"uris":["http://www.mendeley.com/documents/?uuid=4ac0646d-3e15-42e4-a08a-4433d15a9f5a"]},{"id":"ITEM-4","itemData":{"DOI":"10.1093/brain/awy072","ISSN":"0006-8950","author":[{"dropping-particle":"","family":"Schulz","given":"Jonathan","non-dropping-particle":"","parse-names":false,"suffix":""},{"dropping-particle":"","family":"Pagano","given":"Gennaro","non-dropping-particle":"","parse-names":false,"suffix":""},{"dropping-particle":"","family":"Fernández Bonfante","given":"Juan Alberto","non-dropping-particle":"","parse-names":false,"suffix":""},{"dropping-particle":"","family":"Wilson","given":"Heather","non-dropping-particle":"","parse-names":false,"suffix":""},{"dropping-particle":"","family":"Politis","given":"Marios","non-dropping-particle":"","parse-names":false,"suffix":""}],"container-title":"Brain","id":"ITEM-4","issue":"5","issued":{"date-parts":[["2018","5","1"]]},"page":"1501-1516","publisher":"Oxford University Press","title":"Nucleus basalis of Meynert degeneration precedes and predicts cognitive impairment in Parkinson’s disease","type":"article-journal","volume":"141"},"uris":["http://www.mendeley.com/documents/?uuid=55f57ed8-54bf-4a84-9731-f5194ddfff19"]},{"id":"ITEM-5","itemData":{"DOI":"10.3389/fnins.2016.00269","ISSN":"1662-4548","PMID":"27375426","abstract":"Neurodegenerative diseases constitute a heterogeneous group of age-related disorders that are characterized by a slow but irreversible deterioration of brain functions. Evidence accumulated over more than two decades has implicated calcium-related homeostatic mechanisms, giving rise to the Ca(2+) hypothesis of brain aging and, ultimately, cell death. Gamma-aminobutyric acid (GABA) is the main inhibitory neurotransmitter within the central (CNS), peripheral and enteric nervous systems. It appears to be involved in a wide variety of physiological functions within and outside the nervous system, that are maintained through a complex interaction between GABA and calcium-dependent neurotransmission and cellular metabolic functions. Within CNS the Ca(2+)/GABA mechanism stabilizes neuronal activity both at cellular and systemic levels. Decline in the Ca(2+)/GABA control initiates several cascading processes leading to both weakened protective barriers (in particular the blood-brain barrier) and accumulations of intracellular deposits of calcium and Lewy bodies. Linking such a vital mechanism of synaptic transmission with metabolism (both at cellular and tissue level) by means of a common reciprocal Ca(2+)/GABA inhibition results in a fragile balance, which is prone to destabilization and auto-destruction. The GABA decline etiology proposed here appears to apply to all human neurodegenerative processes initiated by abnormal intracellular calcium levels. Therefore, the original description of Parkinson's disease (PD) as due to the selective damage of dopaminergic neurons in the mesencephalon should be updated into the concept of a severe multisystemic neurodegenerative disorder of the nervous system, whose clinical symptoms reflect the localization and progression of the most advanced GABA pathology. A future and more complete therapeutic approach to PD should be aimed first at slowing (or stopping) the progression of Ca(2+)/GABA functional decline.","author":[{"dropping-particle":"","family":"Błaszczyk","given":"Janusz W","non-dropping-particle":"","parse-names":false,"suffix":""}],"container-title":"Frontiers in neuroscience","id":"ITEM-5","issued":{"date-parts":[["2016"]]},"page":"269","publisher":"Frontiers Media SA","title":"Parkinson's Disease and Neurodegeneration: GABA-Collapse Hypothesis.","type":"article-journal","volume":"10"},"uris":["http://www.mendeley.com/documents/?uuid=322a2257-b2dc-3459-96ca-c7d9617b4626"]}],"mendeley":{"formattedCitation":"&lt;sup&gt;215–219&lt;/sup&gt;","plainTextFormattedCitation":"215–219","previouslyFormattedCitation":"&lt;sup&gt;215–219&lt;/sup&gt;"},"properties":{"noteIndex":0},"schema":"https://github.com/citation-style-language/schema/raw/master/csl-citation.json"}</w:instrText>
      </w:r>
      <w:r w:rsidR="00967917" w:rsidRPr="0082680A">
        <w:rPr>
          <w:lang w:val="en-GB"/>
        </w:rPr>
        <w:fldChar w:fldCharType="separate"/>
      </w:r>
      <w:r w:rsidR="00426B19" w:rsidRPr="00426B19">
        <w:rPr>
          <w:noProof/>
          <w:vertAlign w:val="superscript"/>
          <w:lang w:val="en-GB"/>
        </w:rPr>
        <w:t>215–219</w:t>
      </w:r>
      <w:r w:rsidR="00967917" w:rsidRPr="0082680A">
        <w:rPr>
          <w:lang w:val="en-GB"/>
        </w:rPr>
        <w:fldChar w:fldCharType="end"/>
      </w:r>
      <w:r w:rsidRPr="0082680A">
        <w:rPr>
          <w:lang w:val="en-GB"/>
        </w:rPr>
        <w:t xml:space="preserve">. Astrocytes, a type of glial cell with multiple important supporting roles for protecting the healthy function of neurons, become dysfunctional as the result of PD mutations </w:t>
      </w:r>
      <w:r w:rsidR="00967917" w:rsidRPr="0082680A">
        <w:rPr>
          <w:lang w:val="en-GB"/>
        </w:rPr>
        <w:fldChar w:fldCharType="begin" w:fldLock="1"/>
      </w:r>
      <w:r w:rsidR="000507BA">
        <w:rPr>
          <w:lang w:val="en-GB"/>
        </w:rPr>
        <w:instrText>ADDIN CSL_CITATION {"citationItems":[{"id":"ITEM-1","itemData":{"DOI":"10.1002/glia.22475","ISSN":"1098-1136","PMID":"23440919","abstract":"PINK1 (PTEN induced putative kinase 1), a familial Parkinson's disease (PD)-related gene, is expressed in astrocytes, but little is known about its role in this cell type. Here, we found that astrocytes cultured from PINK1-knockout (KO) mice exhibit defective proliferative responses to epidermal growth factor (EGF) and fetal bovine serum. In PINK1-KO astrocytes, basal and EGF-induced p38 activation (phosphorylation) were increased whereas EGF receptor (EGFR) expression and AKT activation were decreased. p38 inhibition (SB203580) or knockdown with small interfering RNA (siRNA) rescued EGFR expression and AKT activation in PINK1-KO astrocytes. Proliferation defects in PINK1-KO astrocytes appeared to be linked to mitochondrial defects, manifesting as decreased mitochondrial mass and membrane potential, increased intracellular reactive oxygen species level, decreased glucose-uptake capacity, and decreased ATP production. Mitochondrial toxin (oligomycin) and a glucose-uptake inhibitor (phloretin) mimicked the PINK1-deficiency phenotype, decreasing astrocyte proliferation, EGFR expression and AKT activation, and increasing p38 activation. In addition, the proliferation defect in PINK1-KO astrocytes resulted in a delay in the wound healing process. Taken together, these results suggest that PINK1 deficiency causes astrocytes dysfunction, which may contribute to the development of PD due to delayed astrocytes-mediated repair of microenvironment in the brain.","author":[{"dropping-particle":"","family":"Choi","given":"Insup","non-dropping-particle":"","parse-names":false,"suffix":""},{"dropping-particle":"","family":"Kim","given":"Jun","non-dropping-particle":"","parse-names":false,"suffix":""},{"dropping-particle":"","family":"Jeong","given":"Hey-Kyeong","non-dropping-particle":"","parse-names":false,"suffix":""},{"dropping-particle":"","family":"Kim","given":"Beomsue","non-dropping-particle":"","parse-names":false,"suffix":""},{"dropping-particle":"","family":"Jou","given":"Ilo","non-dropping-particle":"","parse-names":false,"suffix":""},{"dropping-particle":"","family":"Park","given":"Sang Myun","non-dropping-particle":"","parse-names":false,"suffix":""},{"dropping-particle":"","family":"Chen","given":"Linan","non-dropping-particle":"","parse-names":false,"suffix":""},{"dropping-particle":"","family":"Kang","given":"Un-Jung","non-dropping-particle":"","parse-names":false,"suffix":""},{"dropping-particle":"","family":"Zhuang","given":"Xiaoxi","non-dropping-particle":"","parse-names":false,"suffix":""},{"dropping-particle":"","family":"Joe","given":"Eun-Hye","non-dropping-particle":"","parse-names":false,"suffix":""}],"container-title":"Glia","id":"ITEM-1","issue":"5","issued":{"date-parts":[["2013","5"]]},"page":"800-12","publisher":"Wiley-Blackwell","title":"PINK1 deficiency attenuates astrocyte proliferation through mitochondrial dysfunction, reduced AKT and increased p38 MAPK activation, and downregulation of EGFR.","type":"article-journal","volume":"61"},"uris":["http://www.mendeley.com/documents/?uuid=fdd607a4-16fa-37d7-8971-1616aa197c03"]},{"id":"ITEM-2","itemData":{"DOI":"10.1038/ncomms9255","ISSN":"2041-1723","PMID":"26365310","abstract":"In response to brain injury, microglia rapidly extend processes that isolate lesion sites and protect the brain from further injury. Here we report that microglia carrying a pathogenic mutation in the Parkinson's disease (PD)-associated gene, G2019S-LRRK2 (GS-Tg microglia), show retarded ADP-induced motility and delayed isolation of injury, compared with non-Tg microglia. Conversely, LRRK2 knockdown microglia are highly motile compared with control cells. In our functional assays, LRRK2 binds to focal adhesion kinase (FAK) and phosphorylates its Thr-X-Arg/Lys (TXR/K) motif(s), eventually attenuating FAK activity marked by decreased pY397 phosphorylation (pY397). GS-LRRK2 decreases the levels of pY397 in the brain, microglia and HEK cells. In addition, treatment with an inhibitor of LRRK2 kinase restores pY397 levels, decreased pTXR levels and rescued motility of GS-Tg microglia. These results collectively suggest that G2019S mutation of LRRK2 may contribute to the development of PD by inhibiting microglial response to brain injury.","author":[{"dropping-particle":"","family":"Choi","given":"Insup","non-dropping-particle":"","parse-names":false,"suffix":""},{"dropping-particle":"","family":"Kim","given":"Beomsue","non-dropping-particle":"","parse-names":false,"suffix":""},{"dropping-particle":"","family":"Byun","given":"Ji-Won","non-dropping-particle":"","parse-names":false,"suffix":""},{"dropping-particle":"","family":"Baik","given":"Sung Hoon","non-dropping-particle":"","parse-names":false,"suffix":""},{"dropping-particle":"","family":"Huh","given":"Yun Hyun","non-dropping-particle":"","parse-names":false,"suffix":""},{"dropping-particle":"","family":"Kim","given":"Jong-Hyeon","non-dropping-particle":"","parse-names":false,"suffix":""},{"dropping-particle":"","family":"Mook-Jung","given":"Inhee","non-dropping-particle":"","parse-names":false,"suffix":""},{"dropping-particle":"","family":"Song","given":"Woo Keun","non-dropping-particle":"","parse-names":false,"suffix":""},{"dropping-particle":"","family":"Shin","given":"Joo-Ho","non-dropping-particle":"","parse-names":false,"suffix":""},{"dropping-particle":"","family":"Seo","given":"Hyemyung","non-dropping-particle":"","parse-names":false,"suffix":""},{"dropping-particle":"","family":"Suh","given":"Young Ho","non-dropping-particle":"","parse-names":false,"suffix":""},{"dropping-particle":"","family":"Jou","given":"Ilo","non-dropping-particle":"","parse-names":false,"suffix":""},{"dropping-particle":"","family":"Park","given":"Sang Myun","non-dropping-particle":"","parse-names":false,"suffix":""},{"dropping-particle":"","family":"Kang","given":"Ho Chul","non-dropping-particle":"","parse-names":false,"suffix":""},{"dropping-particle":"","family":"Joe","given":"Eun-Hye","non-dropping-particle":"","parse-names":false,"suffix":""}],"container-title":"Nature Communications","id":"ITEM-2","issue":"1","issued":{"date-parts":[["2015","12","14"]]},"page":"8255","title":"LRRK2 G2019S mutation attenuates microglial motility by inhibiting focal adhesion kinase","type":"article-journal","volume":"6"},"uris":["http://www.mendeley.com/documents/?uuid=cf6082c5-84c5-3c9a-9e6a-1cf0a217f1fa"]}],"mendeley":{"formattedCitation":"&lt;sup&gt;220,221&lt;/sup&gt;","plainTextFormattedCitation":"220,221","previouslyFormattedCitation":"&lt;sup&gt;220,221&lt;/sup&gt;"},"properties":{"noteIndex":0},"schema":"https://github.com/citation-style-language/schema/raw/master/csl-citation.json"}</w:instrText>
      </w:r>
      <w:r w:rsidR="00967917" w:rsidRPr="0082680A">
        <w:rPr>
          <w:lang w:val="en-GB"/>
        </w:rPr>
        <w:fldChar w:fldCharType="separate"/>
      </w:r>
      <w:r w:rsidR="00426B19" w:rsidRPr="00426B19">
        <w:rPr>
          <w:noProof/>
          <w:vertAlign w:val="superscript"/>
          <w:lang w:val="en-GB"/>
        </w:rPr>
        <w:t>220,221</w:t>
      </w:r>
      <w:r w:rsidR="00967917" w:rsidRPr="0082680A">
        <w:rPr>
          <w:lang w:val="en-GB"/>
        </w:rPr>
        <w:fldChar w:fldCharType="end"/>
      </w:r>
      <w:r w:rsidRPr="0082680A">
        <w:rPr>
          <w:lang w:val="en-GB"/>
        </w:rPr>
        <w:t xml:space="preserve">. Conversely microglia - another glial cell involved in the brain's immune and inflammatory response - become activated in PD, and may actually contribute to neuronal death </w:t>
      </w:r>
      <w:r w:rsidR="00967917" w:rsidRPr="0082680A">
        <w:rPr>
          <w:lang w:val="en-GB"/>
        </w:rPr>
        <w:fldChar w:fldCharType="begin" w:fldLock="1"/>
      </w:r>
      <w:r w:rsidR="000507BA">
        <w:rPr>
          <w:lang w:val="en-GB"/>
        </w:rPr>
        <w:instrText>ADDIN CSL_CITATION {"citationItems":[{"id":"ITEM-1","itemData":{"ISSN":"1529-2401","PMID":"11880505","abstract":"1-methyl-4-phenyl-1,2,3,6-tetrahydropyridine (MPTP) damages the nigrostriatal dopaminergic pathway as seen in Parkinson's disease (PD), a common neurodegenerative disorder with no effective protective treatment. Consistent with a role of glial cells in PD neurodegeneration, here we show that minocycline, an approved tetracycline derivative that inhibits microglial activation independently of its antimicrobial properties, mitigates both the demise of nigrostriatal dopaminergic neurons and the formation of nitrotyrosine produced by MPTP. In addition, we show that minocycline not only prevents MPTP-induced activation of microglia but also the formation of mature interleukin-1beta and the activation of NADPH-oxidase and inducible nitric oxide synthase (iNOS), three key microglial-derived cytotoxic mediators. Previously, we demonstrated that ablation of iNOS attenuates MPTP-induced neurotoxicity. Now, we demonstrate that iNOS is not the only microglial-related culprit implicated in MPTP-induced toxicity because mutant iNOS-deficient mice treated with minocycline are more resistant to this neurotoxin than iNOS-deficient mice not treated with minocycline. This study demonstrates that microglial-related inflammatory events play a significant role in the MPTP neurotoxic process and suggests that minocycline may be a valuable neuroprotective agent for the treatment of PD.","author":[{"dropping-particle":"","family":"Wu","given":"D C","non-dropping-particle":"","parse-names":false,"suffix":""},{"dropping-particle":"","family":"Jackson-Lewis","given":"Vernice","non-dropping-particle":"","parse-names":false,"suffix":""},{"dropping-particle":"","family":"Vila","given":"Miquel","non-dropping-particle":"","parse-names":false,"suffix":""},{"dropping-particle":"","family":"Tieu","given":"Kim","non-dropping-particle":"","parse-names":false,"suffix":""},{"dropping-particle":"","family":"Teismann","given":"Peter","non-dropping-particle":"","parse-names":false,"suffix":""},{"dropping-particle":"","family":"Vadseth","given":"Caryn","non-dropping-particle":"","parse-names":false,"suffix":""},{"dropping-particle":"","family":"Choi","given":"Dong-Kug","non-dropping-particle":"","parse-names":false,"suffix":""},{"dropping-particle":"","family":"Ischiropoulos","given":"Harry","non-dropping-particle":"","parse-names":false,"suffix":""},{"dropping-particle":"","family":"Przedborski","given":"Serge","non-dropping-particle":"","parse-names":false,"suffix":""}],"container-title":"The Journal of neuroscience : the official journal of the Society for Neuroscience","id":"ITEM-1","issue":"5","issued":{"date-parts":[["2002","3","1"]]},"page":"1763-71","title":"Blockade of microglial activation is neuroprotective in the 1-methyl-4-phenyl-1,2,3,6-tetrahydropyridine mouse model of Parkinson disease.","type":"article-journal","volume":"22"},"uris":["http://www.mendeley.com/documents/?uuid=e56ee970-4b3f-3fb6-a8bd-78b9d768d8cd"]}],"mendeley":{"formattedCitation":"&lt;sup&gt;222&lt;/sup&gt;","plainTextFormattedCitation":"222","previouslyFormattedCitation":"&lt;sup&gt;222&lt;/sup&gt;"},"properties":{"noteIndex":0},"schema":"https://github.com/citation-style-language/schema/raw/master/csl-citation.json"}</w:instrText>
      </w:r>
      <w:r w:rsidR="00967917" w:rsidRPr="0082680A">
        <w:rPr>
          <w:lang w:val="en-GB"/>
        </w:rPr>
        <w:fldChar w:fldCharType="separate"/>
      </w:r>
      <w:r w:rsidR="00426B19" w:rsidRPr="00426B19">
        <w:rPr>
          <w:noProof/>
          <w:vertAlign w:val="superscript"/>
          <w:lang w:val="en-GB"/>
        </w:rPr>
        <w:t>222</w:t>
      </w:r>
      <w:r w:rsidR="00967917" w:rsidRPr="0082680A">
        <w:rPr>
          <w:lang w:val="en-GB"/>
        </w:rPr>
        <w:fldChar w:fldCharType="end"/>
      </w:r>
      <w:r w:rsidRPr="0082680A">
        <w:rPr>
          <w:lang w:val="en-GB"/>
        </w:rPr>
        <w:t xml:space="preserve">. It is speculated that dysfunction of these glial cells is linked to an overactive immune response to neuronal death </w:t>
      </w:r>
      <w:r w:rsidR="00967917" w:rsidRPr="0082680A">
        <w:rPr>
          <w:lang w:val="en-GB"/>
        </w:rPr>
        <w:fldChar w:fldCharType="begin" w:fldLock="1"/>
      </w:r>
      <w:r w:rsidR="000507BA">
        <w:rPr>
          <w:lang w:val="en-GB"/>
        </w:rPr>
        <w:instrText>ADDIN CSL_CITATION {"citationItems":[{"id":"ITEM-1","itemData":{"DOI":"10.5607/en.2018.27.2.77","ISSN":"1226-2560","PMID":"29731673","abstract":"Astrocytes and microglia support well-being and well-function of the brain through diverse functions in both intact and injured brain. For example, astrocytes maintain homeostasis of microenvironment of the brain through up-taking ions and neurotransmitters, and provide growth factors and metabolites for neurons, etc. Microglia keep surveying surroundings, and remove abnormal synapses or respond to injury by isolating injury sites and expressing inflammatory cytokines. Therefore, their loss and/or functional alteration may be directly linked to brain diseases. Since Parkinson's disease (PD)-related genes are expressed in astrocytes and microglia, mutations of these genes may alter the functions of these cells, thereby contributing to disease onset and progression. Here, we review the roles of astrocytes and microglia in intact and injured brain, and discuss how PD genes regulate their functions.","author":[{"dropping-particle":"","family":"Joe","given":"Eun-Hye","non-dropping-particle":"","parse-names":false,"suffix":""},{"dropping-particle":"","family":"Choi","given":"Dong-Joo","non-dropping-particle":"","parse-names":false,"suffix":""},{"dropping-particle":"","family":"An","given":"Jiawei","non-dropping-particle":"","parse-names":false,"suffix":""},{"dropping-particle":"","family":"Eun","given":"Jin-Hwa","non-dropping-particle":"","parse-names":false,"suffix":""},{"dropping-particle":"","family":"Jou","given":"Ilo","non-dropping-particle":"","parse-names":false,"suffix":""},{"dropping-particle":"","family":"Park","given":"Sangmyun","non-dropping-particle":"","parse-names":false,"suffix":""}],"container-title":"Experimental neurobiology","id":"ITEM-1","issue":"2","issued":{"date-parts":[["2018","4"]]},"page":"77-87","publisher":"Korean Society for Brain and Neural Science","title":"Astrocytes, Microglia, and Parkinson's Disease.","type":"article-journal","volume":"27"},"uris":["http://www.mendeley.com/documents/?uuid=19a67a38-2448-39e6-9eec-ba8d025c6914"]}],"mendeley":{"formattedCitation":"&lt;sup&gt;223&lt;/sup&gt;","plainTextFormattedCitation":"223","previouslyFormattedCitation":"&lt;sup&gt;223&lt;/sup&gt;"},"properties":{"noteIndex":0},"schema":"https://github.com/citation-style-language/schema/raw/master/csl-citation.json"}</w:instrText>
      </w:r>
      <w:r w:rsidR="00967917" w:rsidRPr="0082680A">
        <w:rPr>
          <w:lang w:val="en-GB"/>
        </w:rPr>
        <w:fldChar w:fldCharType="separate"/>
      </w:r>
      <w:r w:rsidR="00426B19" w:rsidRPr="00426B19">
        <w:rPr>
          <w:noProof/>
          <w:vertAlign w:val="superscript"/>
          <w:lang w:val="en-GB"/>
        </w:rPr>
        <w:t>223</w:t>
      </w:r>
      <w:r w:rsidR="00967917" w:rsidRPr="0082680A">
        <w:rPr>
          <w:lang w:val="en-GB"/>
        </w:rPr>
        <w:fldChar w:fldCharType="end"/>
      </w:r>
      <w:r w:rsidRPr="0082680A">
        <w:rPr>
          <w:lang w:val="en-GB"/>
        </w:rPr>
        <w:t>.</w:t>
      </w:r>
    </w:p>
    <w:p w14:paraId="7E48CBC3" w14:textId="77777777" w:rsidR="000D27A7" w:rsidRPr="0082680A" w:rsidRDefault="000D27A7" w:rsidP="00842FD0">
      <w:pPr>
        <w:pStyle w:val="Heading4"/>
        <w:rPr>
          <w:lang w:val="en-GB"/>
        </w:rPr>
      </w:pPr>
      <w:bookmarkStart w:id="214" w:name="_90t2jv6gk6sx" w:colFirst="0" w:colLast="0"/>
      <w:bookmarkStart w:id="215" w:name="_Toc3211387"/>
      <w:bookmarkEnd w:id="214"/>
      <w:r w:rsidRPr="0082680A">
        <w:rPr>
          <w:lang w:val="en-GB"/>
        </w:rPr>
        <w:t>The Ubiquitin-Proteasome System and Autophagy</w:t>
      </w:r>
      <w:bookmarkEnd w:id="215"/>
    </w:p>
    <w:p w14:paraId="49BDF798" w14:textId="2A5FB5E1" w:rsidR="000D27A7" w:rsidRPr="0082680A" w:rsidRDefault="000D27A7" w:rsidP="000D27A7">
      <w:pPr>
        <w:rPr>
          <w:lang w:val="en-GB"/>
        </w:rPr>
      </w:pPr>
      <w:r w:rsidRPr="0082680A">
        <w:rPr>
          <w:lang w:val="en-GB"/>
        </w:rPr>
        <w:t xml:space="preserve">As well as neurodegeneration, PD is marked by the presence of intracytoplasmic aggregations of misfolded ubiquitin and alpha-synuclein proteins; also known as Lewy Bodies (LB) </w:t>
      </w:r>
      <w:r w:rsidR="00CF78F9" w:rsidRPr="0082680A">
        <w:rPr>
          <w:lang w:val="en-GB"/>
        </w:rPr>
        <w:fldChar w:fldCharType="begin" w:fldLock="1"/>
      </w:r>
      <w:r w:rsidR="000507BA">
        <w:rPr>
          <w:lang w:val="en-GB"/>
        </w:rPr>
        <w:instrText>ADDIN CSL_CITATION {"citationItems":[{"id":"ITEM-1","itemData":{"DOI":"10.1038/42166","ISSN":"0028-0836","abstract":"α-Synuclein in Lewy bodies","author":[{"dropping-particle":"","family":"Spillantini","given":"Maria Grazia","non-dropping-particle":"","parse-names":false,"suffix":""},{"dropping-particle":"","family":"Schmidt","given":"Marie Luise","non-dropping-particle":"","parse-names":false,"suffix":""},{"dropping-particle":"","family":"Lee","given":"Virginia M.-Y.","non-dropping-particle":"","parse-names":false,"suffix":""},{"dropping-particle":"","family":"Trojanowski","given":"John Q.","non-dropping-particle":"","parse-names":false,"suffix":""},{"dropping-particle":"","family":"Jakes","given":"Ross","non-dropping-particle":"","parse-names":false,"suffix":""},{"dropping-particle":"","family":"Goedert","given":"Michel","non-dropping-particle":"","parse-names":false,"suffix":""}],"container-title":"Nature","id":"ITEM-1","issue":"6645","issued":{"date-parts":[["1997","8","28"]]},"page":"839-840","publisher":"Nature Publishing Group","title":"α-Synuclein in Lewy bodies","type":"article-journal","volume":"388"},"uris":["http://www.mendeley.com/documents/?uuid=74176a07-aedd-35b8-a0e2-7e91a902392e"]}],"mendeley":{"formattedCitation":"&lt;sup&gt;224&lt;/sup&gt;","plainTextFormattedCitation":"224","previouslyFormattedCitation":"&lt;sup&gt;224&lt;/sup&gt;"},"properties":{"noteIndex":0},"schema":"https://github.com/citation-style-language/schema/raw/master/csl-citation.json"}</w:instrText>
      </w:r>
      <w:r w:rsidR="00CF78F9" w:rsidRPr="0082680A">
        <w:rPr>
          <w:lang w:val="en-GB"/>
        </w:rPr>
        <w:fldChar w:fldCharType="separate"/>
      </w:r>
      <w:r w:rsidR="00426B19" w:rsidRPr="00426B19">
        <w:rPr>
          <w:noProof/>
          <w:vertAlign w:val="superscript"/>
          <w:lang w:val="en-GB"/>
        </w:rPr>
        <w:t>224</w:t>
      </w:r>
      <w:r w:rsidR="00CF78F9" w:rsidRPr="0082680A">
        <w:rPr>
          <w:lang w:val="en-GB"/>
        </w:rPr>
        <w:fldChar w:fldCharType="end"/>
      </w:r>
      <w:r w:rsidRPr="0082680A">
        <w:rPr>
          <w:lang w:val="en-GB"/>
        </w:rPr>
        <w:t xml:space="preserve">. In disease, alpha-synuclein is phosphorylated, ubiquitinated, and also nitrated, before accumulating in </w:t>
      </w:r>
      <w:r w:rsidR="00A24D9F" w:rsidRPr="0082680A">
        <w:rPr>
          <w:lang w:val="en-GB"/>
        </w:rPr>
        <w:t>Lewy</w:t>
      </w:r>
      <w:r w:rsidRPr="0082680A">
        <w:rPr>
          <w:lang w:val="en-GB"/>
        </w:rPr>
        <w:t xml:space="preserve"> bodies </w:t>
      </w:r>
      <w:r w:rsidR="00CF78F9" w:rsidRPr="0082680A">
        <w:rPr>
          <w:lang w:val="en-GB"/>
        </w:rPr>
        <w:fldChar w:fldCharType="begin" w:fldLock="1"/>
      </w:r>
      <w:r w:rsidR="000507BA">
        <w:rPr>
          <w:lang w:val="en-GB"/>
        </w:rPr>
        <w:instrText>ADDIN CSL_CITATION {"citationItems":[{"id":"ITEM-1","itemData":{"abstract":"Synuclein has been implicated in the pathogenesis of Parkinson's disease, since rare autosomal dominant mutations are associated with early onset of the disease and-synuclein was found to be a major constituent of Lewy bodies. We have analyzed-synuclein expression in transfected cell lines. In pulse-chase experiments-synuclein appeared to be stable over long periods (t1 ⁄2 54 h) and no endoproteolytic processing was observed.-Synuclein was constitutively phosphorylated in human kidney 293 cells as well as in rat pheochromocy-toma PC12 cells. In both cell lines phosphorylation was highly sensitive to phosphatases, since okadaic acid markedly stabilized phosphate incorporation. Phos-phoamino acid analysis revealed that phosphorylation occurred predominantly on serine. Using site-directed mutagenesis we have identified a major phosphoryla-tion site at serine 129 within the C-terminal domain of-synuclein. An additional site, which was phosphoryl-ated less efficiently, was mapped to serine 87. The major phosphorylation site was located within a consensus recognition sequence of casein kinase 1 (CK-1). In vitro experiments and two-dimensional phosphopeptide mapping provided further evidence that serine 129 was phosphorylated by CK-1 and CK-2. Moreover, phosphoryla-tion of serine 129 was reduced in vivo upon inhibition of CK-1 or CK-2. These data demonstrate that-synuclein is constitutively phosphorylated within its C terminus and may indicate that the function of-synuclein is regulated by phosphorylation/dephosphorylation.","author":[{"dropping-particle":"","family":"Okochi","given":"Masayasu","non-dropping-particle":"","parse-names":false,"suffix":""},{"dropping-particle":"","family":"Walter","given":"Jochen","non-dropping-particle":"","parse-names":false,"suffix":""},{"dropping-particle":"","family":"Koyama","given":"Akihiko","non-dropping-particle":"","parse-names":false,"suffix":""},{"dropping-particle":"","family":"Nakajo","given":"Shigeo","non-dropping-particle":"","parse-names":false,"suffix":""},{"dropping-particle":"","family":"Baba","given":"Minami","non-dropping-particle":"","parse-names":false,"suffix":""},{"dropping-particle":"","family":"Iwatsubo","given":"Takeshi","non-dropping-particle":"","parse-names":false,"suffix":""},{"dropping-particle":"","family":"Meijer","given":"Laurent","non-dropping-particle":"","parse-names":false,"suffix":""},{"dropping-particle":"","family":"Kahle","given":"Philipp J","non-dropping-particle":"","parse-names":false,"suffix":""},{"dropping-particle":"","family":"Haass","given":"Christian","non-dropping-particle":"","parse-names":false,"suffix":""}],"id":"ITEM-1","issued":{"date-parts":[["2000"]]},"title":"Constitutive Phosphorylation of the Parkinson's Disease Associated-Synuclein*","type":"report"},"uris":["http://www.mendeley.com/documents/?uuid=930ebc6f-9d13-3e00-9387-83dadf523ead"]},{"id":"ITEM-2","itemData":{"DOI":"10.1021/BI0485528","abstract":"Filamentous α-synuclein depositions are the defining hallmarks of a subset of neurodegenerative diseases including Parkinson's disease (PD), dementia with Lewy bodies, and multiple system atrophy. We previously reported that α-synuclein in those brains are extensively phosphorylated at Ser129 [Fujiwara et al. (2002) Nat. Cell Biol. 4, 160−164] and also partially ubiquitinated [Hasegawa et al. (2002) J. Biol. Chem. 277, 49071−49076]. Here, we investigate ubiquitination of α-synuclein in vitro and in vivo and report the ubiquitination sites and the effects of familial PD-linked mutations, phosphorylation, and fibril formation on ubiquitination. Protein-sequence analysis revealed that Lys21, Lys23, Lys32, and Lys34 within the repeats in the amino-terminal half are liable to ubiquitination in vitro. A site-directed mutagensis study confirmed that these are the major ubiquitination sites. A53T and A30P mutations had no significant effect on ubiquitination. Similarly, phosphorylation of α-synuclein at Ser129 di...","author":[{"dropping-particle":"","family":"Nonaka","given":"Takashi","non-dropping-particle":"","parse-names":false,"suffix":""},{"dropping-particle":"","family":"Takeshi","given":"Iwatsubo","non-dropping-particle":"","parse-names":false,"suffix":""},{"dropping-particle":"","family":"Hasegawa","given":"Masato","non-dropping-particle":"","parse-names":false,"suffix":""}],"container-title":"Biochemistry","id":"ITEM-2","issue":"1","issued":{"date-parts":[["2004"]]},"page":"361-368","publisher":"American Chemical Society","title":"Ubiquitination of α-Synuclein","type":"article-journal","volume":"44"},"uris":["http://www.mendeley.com/documents/?uuid=98d423d1-8b65-33ee-a2f1-5bc5c647f78f"]},{"id":"ITEM-3","itemData":{"DOI":"10.1126/SCIENCE.290.5493.985","ISSN":"0036-8075","PMID":"11062131","abstract":"Aggregated alpha-synuclein proteins form brain lesions that are hallmarks of neurodegenerative synucleinopathies, and oxidative stress has been implicated in the pathogenesis of some of these disorders. Using antibodies to specific nitrated tyrosine residues in alpha-synuclein, we demonstrate extensive and widespread accumulations of nitrated alpha-synuclein in the signature inclusions of Parkinson's disease, dementia with Lewy bodies, the Lewy body variant of Alzheimer's disease, and multiple system atrophy brains. We also show that nitrated alpha-synuclein is present in the major filamentous building blocks of these inclusions, as well as in the insoluble fractions of affected brain regions of synucleinopathies. The selective and specific nitration of alpha-synuclein in these disorders provides evidence to directly link oxidative and nitrative damage to the onset and progression of neurodegenerative synucleinopathies.","author":[{"dropping-particle":"","family":"Giasson","given":"B I","non-dropping-particle":"","parse-names":false,"suffix":""},{"dropping-particle":"","family":"Duda","given":"J E","non-dropping-particle":"","parse-names":false,"suffix":""},{"dropping-particle":"V","family":"Murray","given":"I","non-dropping-particle":"","parse-names":false,"suffix":""},{"dropping-particle":"","family":"Chen","given":"Q","non-dropping-particle":"","parse-names":false,"suffix":""},{"dropping-particle":"","family":"Souza","given":"J M","non-dropping-particle":"","parse-names":false,"suffix":""},{"dropping-particle":"","family":"Hurtig","given":"H I","non-dropping-particle":"","parse-names":false,"suffix":""},{"dropping-particle":"","family":"Ischiropoulos","given":"H","non-dropping-particle":"","parse-names":false,"suffix":""},{"dropping-particle":"","family":"Trojanowski","given":"J Q","non-dropping-particle":"","parse-names":false,"suffix":""},{"dropping-particle":"","family":"Lee","given":"V M","non-dropping-particle":"","parse-names":false,"suffix":""}],"container-title":"Science (New York, N.Y.)","id":"ITEM-3","issue":"5493","issued":{"date-parts":[["2000","11","3"]]},"page":"985-9","publisher":"American Association for the Advancement of Science","title":"Oxidative damage linked to neurodegeneration by selective alpha-synuclein nitration in synucleinopathy lesions.","type":"article-journal","volume":"290"},"uris":["http://www.mendeley.com/documents/?uuid=e321c9ce-4a6c-3760-b5e5-b6a5621a82cd"]}],"mendeley":{"formattedCitation":"&lt;sup&gt;225–227&lt;/sup&gt;","plainTextFormattedCitation":"225–227","previouslyFormattedCitation":"&lt;sup&gt;225–227&lt;/sup&gt;"},"properties":{"noteIndex":0},"schema":"https://github.com/citation-style-language/schema/raw/master/csl-citation.json"}</w:instrText>
      </w:r>
      <w:r w:rsidR="00CF78F9" w:rsidRPr="0082680A">
        <w:rPr>
          <w:lang w:val="en-GB"/>
        </w:rPr>
        <w:fldChar w:fldCharType="separate"/>
      </w:r>
      <w:r w:rsidR="00426B19" w:rsidRPr="00426B19">
        <w:rPr>
          <w:noProof/>
          <w:vertAlign w:val="superscript"/>
          <w:lang w:val="en-GB"/>
        </w:rPr>
        <w:t>225–227</w:t>
      </w:r>
      <w:r w:rsidR="00CF78F9" w:rsidRPr="0082680A">
        <w:rPr>
          <w:lang w:val="en-GB"/>
        </w:rPr>
        <w:fldChar w:fldCharType="end"/>
      </w:r>
      <w:r w:rsidRPr="0082680A">
        <w:rPr>
          <w:lang w:val="en-GB"/>
        </w:rPr>
        <w:t xml:space="preserve">. Such misfolding is tightly linked to impairment of the Ubiquitin-Proteasome System (UPS) and the Autophagy-Lysosome Pathway (ALP) in PD. The UPS and ALP pathways are responsible for clearance of misfolded proteins </w:t>
      </w:r>
      <w:r w:rsidR="009979DC" w:rsidRPr="0082680A">
        <w:rPr>
          <w:lang w:val="en-GB"/>
        </w:rPr>
        <w:fldChar w:fldCharType="begin" w:fldLock="1"/>
      </w:r>
      <w:r w:rsidR="000507BA">
        <w:rPr>
          <w:lang w:val="en-GB"/>
        </w:rPr>
        <w:instrText>ADDIN CSL_CITATION {"citationItems":[{"id":"ITEM-1","itemData":{"DOI":"10.1038/nrm1552","ISSN":"1471-0072","abstract":"Proteolysis: from the lysosome to ubiquitin and the proteasome","author":[{"dropping-particle":"","family":"Ciechanover","given":"Aaron","non-dropping-particle":"","parse-names":false,"suffix":""}],"container-title":"Nature Reviews Molecular Cell Biology","id":"ITEM-1","issue":"1","issued":{"date-parts":[["2005","1","1"]]},"page":"79-87","publisher":"Nature Publishing Group","title":"Proteolysis: from the lysosome to ubiquitin and the proteasome","type":"article-journal","volume":"6"},"uris":["http://www.mendeley.com/documents/?uuid=22a96789-44dd-4e33-9d03-14b6a989c6c1"]}],"mendeley":{"formattedCitation":"&lt;sup&gt;228&lt;/sup&gt;","plainTextFormattedCitation":"228","previouslyFormattedCitation":"&lt;sup&gt;228&lt;/sup&gt;"},"properties":{"noteIndex":0},"schema":"https://github.com/citation-style-language/schema/raw/master/csl-citation.json"}</w:instrText>
      </w:r>
      <w:r w:rsidR="009979DC" w:rsidRPr="0082680A">
        <w:rPr>
          <w:lang w:val="en-GB"/>
        </w:rPr>
        <w:fldChar w:fldCharType="separate"/>
      </w:r>
      <w:r w:rsidR="00426B19" w:rsidRPr="00426B19">
        <w:rPr>
          <w:noProof/>
          <w:vertAlign w:val="superscript"/>
          <w:lang w:val="en-GB"/>
        </w:rPr>
        <w:t>228</w:t>
      </w:r>
      <w:r w:rsidR="009979DC" w:rsidRPr="0082680A">
        <w:rPr>
          <w:lang w:val="en-GB"/>
        </w:rPr>
        <w:fldChar w:fldCharType="end"/>
      </w:r>
      <w:r w:rsidRPr="0082680A">
        <w:rPr>
          <w:lang w:val="en-GB"/>
        </w:rPr>
        <w:t xml:space="preserve">. The UPS functions by tagging proteins with ubiquitin, after which only unfolded proteins can pass through the proteasome protein complex to be degraded </w:t>
      </w:r>
      <w:r w:rsidR="009979DC" w:rsidRPr="0082680A">
        <w:rPr>
          <w:lang w:val="en-GB"/>
        </w:rPr>
        <w:fldChar w:fldCharType="begin" w:fldLock="1"/>
      </w:r>
      <w:r w:rsidR="000507BA">
        <w:rPr>
          <w:lang w:val="en-GB"/>
        </w:rPr>
        <w:instrText>ADDIN CSL_CITATION {"citationItems":[{"id":"ITEM-1","itemData":{"DOI":"10.1016/j.sbi.2014.02.002","ISSN":"1879-033X","PMID":"24632559","abstract":"The proteasome is the main proteolytic machine in the cytosol and nucleus of eukaryotic cells where it degrades hundreds of regulatory proteins, removes damaged proteins, and produces peptides that are presented by MHC complexes. New structures of the proteasome particle show how its subunits are arranged and provide insights into how the proteasome is regulated. Proteins are targeted to the proteasome by tags composed of several ubiquitin moieties. The structure of the tags tunes the order in which proteins are degraded. The proteasome itself edits the ubiquitin tags and drugs that interfere in this process can enhance the clearance of toxic proteins from cells. Finally, the proteasome initiates degradation at unstructured regions within its substrates and this step contributes to substrate selection.","author":[{"dropping-particle":"","family":"Inobe","given":"Tomonao","non-dropping-particle":"","parse-names":false,"suffix":""},{"dropping-particle":"","family":"Matouschek","given":"Andreas","non-dropping-particle":"","parse-names":false,"suffix":""}],"container-title":"Current opinion in structural biology","id":"ITEM-1","issued":{"date-parts":[["2014","2"]]},"page":"156-64","publisher":"NIH Public Access","title":"Paradigms of protein degradation by the proteasome.","type":"article-journal","volume":"24"},"uris":["http://www.mendeley.com/documents/?uuid=b47e6828-f683-3606-af51-6036813aebf8"]}],"mendeley":{"formattedCitation":"&lt;sup&gt;229&lt;/sup&gt;","plainTextFormattedCitation":"229","previouslyFormattedCitation":"&lt;sup&gt;229&lt;/sup&gt;"},"properties":{"noteIndex":0},"schema":"https://github.com/citation-style-language/schema/raw/master/csl-citation.json"}</w:instrText>
      </w:r>
      <w:r w:rsidR="009979DC" w:rsidRPr="0082680A">
        <w:rPr>
          <w:lang w:val="en-GB"/>
        </w:rPr>
        <w:fldChar w:fldCharType="separate"/>
      </w:r>
      <w:r w:rsidR="00426B19" w:rsidRPr="00426B19">
        <w:rPr>
          <w:noProof/>
          <w:vertAlign w:val="superscript"/>
          <w:lang w:val="en-GB"/>
        </w:rPr>
        <w:t>229</w:t>
      </w:r>
      <w:r w:rsidR="009979DC" w:rsidRPr="0082680A">
        <w:rPr>
          <w:lang w:val="en-GB"/>
        </w:rPr>
        <w:fldChar w:fldCharType="end"/>
      </w:r>
      <w:r w:rsidRPr="0082680A">
        <w:rPr>
          <w:lang w:val="en-GB"/>
        </w:rPr>
        <w:t xml:space="preserve">. Many familial mutations have been linked to UPS dysfunction; </w:t>
      </w:r>
      <w:r w:rsidRPr="0082680A">
        <w:rPr>
          <w:i/>
          <w:lang w:val="en-GB"/>
        </w:rPr>
        <w:t>PRKN</w:t>
      </w:r>
      <w:r w:rsidRPr="0082680A">
        <w:rPr>
          <w:lang w:val="en-GB"/>
        </w:rPr>
        <w:t xml:space="preserve">, </w:t>
      </w:r>
      <w:r w:rsidRPr="0082680A">
        <w:rPr>
          <w:i/>
          <w:lang w:val="en-GB"/>
        </w:rPr>
        <w:t>PINK1</w:t>
      </w:r>
      <w:r w:rsidRPr="0082680A">
        <w:rPr>
          <w:lang w:val="en-GB"/>
        </w:rPr>
        <w:t xml:space="preserve"> and </w:t>
      </w:r>
      <w:r w:rsidRPr="0082680A">
        <w:rPr>
          <w:i/>
          <w:lang w:val="en-GB"/>
        </w:rPr>
        <w:t>DJ-1</w:t>
      </w:r>
      <w:r w:rsidRPr="0082680A">
        <w:rPr>
          <w:lang w:val="en-GB"/>
        </w:rPr>
        <w:t xml:space="preserve"> have been shown to function as a ligase complex for the attachment of ubiquitin to unfolded proteins </w:t>
      </w:r>
      <w:r w:rsidR="009979DC" w:rsidRPr="0082680A">
        <w:rPr>
          <w:lang w:val="en-GB"/>
        </w:rPr>
        <w:fldChar w:fldCharType="begin" w:fldLock="1"/>
      </w:r>
      <w:r w:rsidR="000507BA">
        <w:rPr>
          <w:lang w:val="en-GB"/>
        </w:rPr>
        <w:instrText>ADDIN CSL_CITATION {"citationItems":[{"id":"ITEM-1","itemData":{"DOI":"10.1172/JCI37617","ISSN":"1558-8238","PMID":"19229105","abstract":"Mutations in PARKIN, pten-induced putative kinase 1 (PINK1), and DJ-1 are individually linked to autosomal recessive early-onset familial forms of Parkinson disease (PD). Although mutations in these genes lead to the same disease state, the functional relationships between them and how their respective disease-associated mutations cause PD are largely unknown. Here, we show that Parkin, PINK1, and DJ-1 formed a complex (termed PPD complex) to promote ubiquitination and degradation of Parkin substrates, including Parkin itself and Synphilin-1 in neuroblastoma cells and human brain lysates. Genetic ablation of either Pink1 or Dj-1 resulted in reduced ubiquitination of endogenous Parkin as well as decreased degradation and increased accumulation of aberrantly expressed Parkin substrates. Expression of PINK1 enhanced Parkin-mediated degradation of heat shock-induced misfolded protein. In contrast, PD-pathogenic Parkin and PINK1 mutations showed reduced ability to promote degradation of Parkin substrates. This study identified a functional ubiquitin E3 ligase complex consisting of PD-associated Parkin, PINK1, and DJ-1 to promote degradation of un-/misfolded proteins and suggests that their PD-pathogenic mutations impair E3 ligase activity of the complex, which may constitute a mechanism underlying PD pathogenesis.","author":[{"dropping-particle":"","family":"Xiong","given":"Hui","non-dropping-particle":"","parse-names":false,"suffix":""},{"dropping-particle":"","family":"Wang","given":"Danling","non-dropping-particle":"","parse-names":false,"suffix":""},{"dropping-particle":"","family":"Chen","given":"Linan","non-dropping-particle":"","parse-names":false,"suffix":""},{"dropping-particle":"","family":"Choo","given":"Yeun Su","non-dropping-particle":"","parse-names":false,"suffix":""},{"dropping-particle":"","family":"Ma","given":"Hong","non-dropping-particle":"","parse-names":false,"suffix":""},{"dropping-particle":"","family":"Tang","given":"Chengyuan","non-dropping-particle":"","parse-names":false,"suffix":""},{"dropping-particle":"","family":"Xia","given":"Kun","non-dropping-particle":"","parse-names":false,"suffix":""},{"dropping-particle":"","family":"Jiang","given":"Wei","non-dropping-particle":"","parse-names":false,"suffix":""},{"dropping-particle":"","family":"Ronai","given":"Ze'ev","non-dropping-particle":"","parse-names":false,"suffix":""},{"dropping-particle":"","family":"Zhuang","given":"Xiaoxi","non-dropping-particle":"","parse-names":false,"suffix":""},{"dropping-particle":"","family":"Zhang","given":"Zhuohua","non-dropping-particle":"","parse-names":false,"suffix":""}],"container-title":"The Journal of clinical investigation","id":"ITEM-1","issue":"3","issued":{"date-parts":[["2009","3","2"]]},"page":"650-60","publisher":"American Society for Clinical Investigation","title":"Parkin, PINK1, and DJ-1 form a ubiquitin E3 ligase complex promoting unfolded protein degradation.","type":"article-journal","volume":"119"},"uris":["http://www.mendeley.com/documents/?uuid=1b167245-b8a3-4466-905d-abbf362e428a"]}],"mendeley":{"formattedCitation":"&lt;sup&gt;230&lt;/sup&gt;","plainTextFormattedCitation":"230","previouslyFormattedCitation":"&lt;sup&gt;230&lt;/sup&gt;"},"properties":{"noteIndex":0},"schema":"https://github.com/citation-style-language/schema/raw/master/csl-citation.json"}</w:instrText>
      </w:r>
      <w:r w:rsidR="009979DC" w:rsidRPr="0082680A">
        <w:rPr>
          <w:lang w:val="en-GB"/>
        </w:rPr>
        <w:fldChar w:fldCharType="separate"/>
      </w:r>
      <w:r w:rsidR="00426B19" w:rsidRPr="00426B19">
        <w:rPr>
          <w:noProof/>
          <w:vertAlign w:val="superscript"/>
          <w:lang w:val="en-GB"/>
        </w:rPr>
        <w:t>230</w:t>
      </w:r>
      <w:r w:rsidR="009979DC" w:rsidRPr="0082680A">
        <w:rPr>
          <w:lang w:val="en-GB"/>
        </w:rPr>
        <w:fldChar w:fldCharType="end"/>
      </w:r>
      <w:r w:rsidRPr="0082680A">
        <w:rPr>
          <w:lang w:val="en-GB"/>
        </w:rPr>
        <w:t>. Mutations in these genes are predicted to disrupt this process, leaving potentially toxic proteins such as alpha-synuclein unchecked.</w:t>
      </w:r>
    </w:p>
    <w:p w14:paraId="17D05086" w14:textId="77777777" w:rsidR="000D27A7" w:rsidRPr="0082680A" w:rsidRDefault="000D27A7" w:rsidP="000D27A7">
      <w:pPr>
        <w:rPr>
          <w:rFonts w:ascii="Arial" w:eastAsia="Arial" w:hAnsi="Arial" w:cs="Arial"/>
          <w:lang w:val="en-GB"/>
        </w:rPr>
      </w:pPr>
    </w:p>
    <w:p w14:paraId="2DADD10A" w14:textId="002D7C22" w:rsidR="000D27A7" w:rsidRPr="0082680A" w:rsidRDefault="000D27A7" w:rsidP="000D27A7">
      <w:pPr>
        <w:rPr>
          <w:lang w:val="en-GB"/>
        </w:rPr>
      </w:pPr>
      <w:r w:rsidRPr="0082680A">
        <w:rPr>
          <w:lang w:val="en-GB"/>
        </w:rPr>
        <w:t xml:space="preserve">When cell components are too large to pass through the proteasome protein complex, they are processed by the ALP. The ALP constitutes three main autophagy pathways; </w:t>
      </w:r>
      <w:proofErr w:type="spellStart"/>
      <w:r w:rsidRPr="0082680A">
        <w:rPr>
          <w:lang w:val="en-GB"/>
        </w:rPr>
        <w:t>macroautophagy</w:t>
      </w:r>
      <w:proofErr w:type="spellEnd"/>
      <w:r w:rsidRPr="0082680A">
        <w:rPr>
          <w:lang w:val="en-GB"/>
        </w:rPr>
        <w:t xml:space="preserve">, </w:t>
      </w:r>
      <w:proofErr w:type="spellStart"/>
      <w:r w:rsidRPr="0082680A">
        <w:rPr>
          <w:lang w:val="en-GB"/>
        </w:rPr>
        <w:t>microautophagy</w:t>
      </w:r>
      <w:proofErr w:type="spellEnd"/>
      <w:r w:rsidRPr="0082680A">
        <w:rPr>
          <w:lang w:val="en-GB"/>
        </w:rPr>
        <w:t xml:space="preserve">, and chaperone-mediated autophagy (CMA) </w:t>
      </w:r>
      <w:r w:rsidR="009979DC" w:rsidRPr="0082680A">
        <w:rPr>
          <w:lang w:val="en-GB"/>
        </w:rPr>
        <w:fldChar w:fldCharType="begin" w:fldLock="1"/>
      </w:r>
      <w:r w:rsidR="000507BA">
        <w:rPr>
          <w:lang w:val="en-GB"/>
        </w:rPr>
        <w:instrText>ADDIN CSL_CITATION {"citationItems":[{"id":"ITEM-1","itemData":{"DOI":"10.1016/S1534-5807(04)00099-1","ISSN":"1534-5807","abstract":"Autophagy is the major cellular pathway for the degradation of long-lived proteins and cytoplasmic organelles. It involves the rearrangement of subcellular membranes to sequester cargo for delivery to the lysosome where the sequestered material is degraded and recycled. For many decades, it has been known that autophagy occurs in a wide range of eukaryotic organisms and in multiple different cell types during starvation, cellular and tissue remodeling, and cell death. However, until recently, the functions of autophagy in normal development were largely unknown. The identification of a set of evolutionarily conserved genes that are essential for autophagy has opened up new frontiers for deciphering the role of autophagy in diverse biological processes. In this review, we summarize our current knowledge about the molecular machinery of autophagy and the role of the autophagic machinery in eukaryotic development.","author":[{"dropping-particle":"","family":"Levine","given":"Beth","non-dropping-particle":"","parse-names":false,"suffix":""},{"dropping-particle":"","family":"Klionsky","given":"Daniel J","non-dropping-particle":"","parse-names":false,"suffix":""}],"container-title":"Developmental Cell","id":"ITEM-1","issue":"4","issued":{"date-parts":[["2004","4","1"]]},"page":"463-477","publisher":"Cell Press","title":"Development by Self-Digestion: Molecular Mechanisms and Biological Functions of Autophagy","type":"article-journal","volume":"6"},"uris":["http://www.mendeley.com/documents/?uuid=14d84385-90f5-308f-8f88-aabf2f24033b"]}],"mendeley":{"formattedCitation":"&lt;sup&gt;231&lt;/sup&gt;","plainTextFormattedCitation":"231","previouslyFormattedCitation":"&lt;sup&gt;231&lt;/sup&gt;"},"properties":{"noteIndex":0},"schema":"https://github.com/citation-style-language/schema/raw/master/csl-citation.json"}</w:instrText>
      </w:r>
      <w:r w:rsidR="009979DC" w:rsidRPr="0082680A">
        <w:rPr>
          <w:lang w:val="en-GB"/>
        </w:rPr>
        <w:fldChar w:fldCharType="separate"/>
      </w:r>
      <w:r w:rsidR="00426B19" w:rsidRPr="00426B19">
        <w:rPr>
          <w:noProof/>
          <w:vertAlign w:val="superscript"/>
          <w:lang w:val="en-GB"/>
        </w:rPr>
        <w:t>231</w:t>
      </w:r>
      <w:r w:rsidR="009979DC" w:rsidRPr="0082680A">
        <w:rPr>
          <w:lang w:val="en-GB"/>
        </w:rPr>
        <w:fldChar w:fldCharType="end"/>
      </w:r>
      <w:r w:rsidRPr="0082680A">
        <w:rPr>
          <w:lang w:val="en-GB"/>
        </w:rPr>
        <w:t xml:space="preserve">. </w:t>
      </w:r>
      <w:r w:rsidRPr="0082680A">
        <w:rPr>
          <w:lang w:val="en-GB"/>
        </w:rPr>
        <w:lastRenderedPageBreak/>
        <w:t xml:space="preserve">Macroautophagy is often referred to simply as “autophagy” and involves the engulfment of unwanted proteins and organelles into the membrane of a vesicle called an autophagosome. The autophagosome then fuses with the lysosomal membrane, dispensing its contents. </w:t>
      </w:r>
      <w:proofErr w:type="spellStart"/>
      <w:r w:rsidRPr="0082680A">
        <w:rPr>
          <w:lang w:val="en-GB"/>
        </w:rPr>
        <w:t>Microautophagy</w:t>
      </w:r>
      <w:proofErr w:type="spellEnd"/>
      <w:r w:rsidRPr="0082680A">
        <w:rPr>
          <w:lang w:val="en-GB"/>
        </w:rPr>
        <w:t xml:space="preserve"> occurs when contents are encapsulated by the lysosomal membrane itself. CMA occurs when a protein contains an hsc70-recognisable domain. Hsc70 then binds to the protein at this </w:t>
      </w:r>
      <w:r w:rsidR="00D50007" w:rsidRPr="0082680A">
        <w:rPr>
          <w:lang w:val="en-GB"/>
        </w:rPr>
        <w:t>site and</w:t>
      </w:r>
      <w:r w:rsidRPr="0082680A">
        <w:rPr>
          <w:lang w:val="en-GB"/>
        </w:rPr>
        <w:t xml:space="preserve"> transports it to a membrane-bound protein which recognises the CMA complex, allowing it to pass through the lysosomal membrane. As well as the UPS, alpha-synuclein is also regulated by autophagy </w:t>
      </w:r>
      <w:r w:rsidR="009979DC" w:rsidRPr="0082680A">
        <w:rPr>
          <w:lang w:val="en-GB"/>
        </w:rPr>
        <w:fldChar w:fldCharType="begin" w:fldLock="1"/>
      </w:r>
      <w:r w:rsidR="000507BA">
        <w:rPr>
          <w:lang w:val="en-GB"/>
        </w:rPr>
        <w:instrText>ADDIN CSL_CITATION {"citationItems":[{"id":"ITEM-1","itemData":{"DOI":"10.1074/jbc.M300227200","ISSN":"0021-9258","PMID":"12719433","abstract":"Parkinson's disease (PD) is characterized by the loss of dopaminergic neurons in the substantia nigra and the formation of aggregates (Lewy bodies) in neurons. alpha-Synuclein is the major protein in Lewy bodies and rare mutations in alpha-synuclein cause early-onset PD. Consequently, alpha-synuclein is implicated in the pathogenesis of PD. Here, we have investigated the degradation pathways of alpha-synuclein, using a stable inducible PC12 cell model, where the expression of exogenous human wild-type, A30P, or A53T alpha-synuclein can be switched on and off. We have used a panel of inhibitors/stimulators of autophagy and proteasome function and followed alpha-synuclein degradation in these cells. We found that not only is alpha-synuclein degraded by the proteasome, but it is also degraded by autophagy. A role for autophagy was further supported by the presence of alpha-synuclein in organelles with the ultrastructural features of autophagic vesicles. Since rapamycin, a stimulator of autophagy, increased clearance of alpha-synuclein, it merits consideration as a potential therapeutic for Parkinsons disease, as it is designed for chronic use in humans.","author":[{"dropping-particle":"","family":"Webb","given":"Julie L","non-dropping-particle":"","parse-names":false,"suffix":""},{"dropping-particle":"","family":"Ravikumar","given":"Brinda","non-dropping-particle":"","parse-names":false,"suffix":""},{"dropping-particle":"","family":"Atkins","given":"Jane","non-dropping-particle":"","parse-names":false,"suffix":""},{"dropping-particle":"","family":"Skepper","given":"Jeremy N","non-dropping-particle":"","parse-names":false,"suffix":""},{"dropping-particle":"","family":"Rubinsztein","given":"David C","non-dropping-particle":"","parse-names":false,"suffix":""}],"container-title":"The Journal of biological chemistry","id":"ITEM-1","issue":"27","issued":{"date-parts":[["2003","7","4"]]},"page":"25009-13","publisher":"American Society for Biochemistry and Molecular Biology","title":"Alpha-Synuclein is degraded by both autophagy and the proteasome.","type":"article-journal","volume":"278"},"uris":["http://www.mendeley.com/documents/?uuid=6301b426-1ce6-4f20-ba4c-d76bdfd463ef"]}],"mendeley":{"formattedCitation":"&lt;sup&gt;232&lt;/sup&gt;","plainTextFormattedCitation":"232","previouslyFormattedCitation":"&lt;sup&gt;232&lt;/sup&gt;"},"properties":{"noteIndex":0},"schema":"https://github.com/citation-style-language/schema/raw/master/csl-citation.json"}</w:instrText>
      </w:r>
      <w:r w:rsidR="009979DC" w:rsidRPr="0082680A">
        <w:rPr>
          <w:lang w:val="en-GB"/>
        </w:rPr>
        <w:fldChar w:fldCharType="separate"/>
      </w:r>
      <w:r w:rsidR="00426B19" w:rsidRPr="00426B19">
        <w:rPr>
          <w:noProof/>
          <w:vertAlign w:val="superscript"/>
          <w:lang w:val="en-GB"/>
        </w:rPr>
        <w:t>232</w:t>
      </w:r>
      <w:r w:rsidR="009979DC" w:rsidRPr="0082680A">
        <w:rPr>
          <w:lang w:val="en-GB"/>
        </w:rPr>
        <w:fldChar w:fldCharType="end"/>
      </w:r>
      <w:r w:rsidRPr="0082680A">
        <w:rPr>
          <w:lang w:val="en-GB"/>
        </w:rPr>
        <w:t xml:space="preserve">. Wild-type alpha-synuclein is processed via CMA, however mutations in the </w:t>
      </w:r>
      <w:r w:rsidRPr="0082680A">
        <w:rPr>
          <w:i/>
          <w:lang w:val="en-GB"/>
        </w:rPr>
        <w:t>SNCA</w:t>
      </w:r>
      <w:r w:rsidRPr="0082680A">
        <w:rPr>
          <w:lang w:val="en-GB"/>
        </w:rPr>
        <w:t xml:space="preserve"> gene have been shown to bind and block the membrane-bound lysosomal receptors, inhibiting the degradation of many proteins, including its own </w:t>
      </w:r>
      <w:r w:rsidR="009979DC" w:rsidRPr="0082680A">
        <w:rPr>
          <w:lang w:val="en-GB"/>
        </w:rPr>
        <w:fldChar w:fldCharType="begin" w:fldLock="1"/>
      </w:r>
      <w:r w:rsidR="000507BA">
        <w:rPr>
          <w:lang w:val="en-GB"/>
        </w:rPr>
        <w:instrText>ADDIN CSL_CITATION {"citationItems":[{"id":"ITEM-1","itemData":{"DOI":"10.1126/science.1101738","ISSN":"1095-9203","PMID":"15333840","abstract":"Aberrant alpha-synuclein degradation is implicated in Parkinson's disease pathogenesis because the protein accumulates in the Lewy inclusion bodies associated with the disease. Little is known, however, about the pathways by which wild-type alpha-synuclein is normally degraded. We found that wild-type alpha-synuclein was selectively translocated into lysosomes for degradation by the chaperone-mediated autophagy pathway. The pathogenic A53T and A30P alpha-synuclein mutants bound to the receptor for this pathway on the lysosomal membrane, but appeared to act as uptake blockers, inhibiting both their own degradation and that of other substrates. These findings may underlie the toxic gain-of-function by the mutants.","author":[{"dropping-particle":"","family":"Cuervo","given":"Ana Maria","non-dropping-particle":"","parse-names":false,"suffix":""},{"dropping-particle":"","family":"Stefanis","given":"Leonidas","non-dropping-particle":"","parse-names":false,"suffix":""},{"dropping-particle":"","family":"Fredenburg","given":"Ross","non-dropping-particle":"","parse-names":false,"suffix":""},{"dropping-particle":"","family":"Lansbury","given":"Peter T","non-dropping-particle":"","parse-names":false,"suffix":""},{"dropping-particle":"","family":"Sulzer","given":"David","non-dropping-particle":"","parse-names":false,"suffix":""}],"container-title":"Science (New York, N.Y.)","id":"ITEM-1","issue":"5688","issued":{"date-parts":[["2004","8","27"]]},"page":"1292-5","publisher":"American Association for the Advancement of Science","title":"Impaired degradation of mutant alpha-synuclein by chaperone-mediated autophagy.","type":"article-journal","volume":"305"},"uris":["http://www.mendeley.com/documents/?uuid=8e31c287-a74b-3091-a6c3-c9d502b08619"]}],"mendeley":{"formattedCitation":"&lt;sup&gt;233&lt;/sup&gt;","plainTextFormattedCitation":"233","previouslyFormattedCitation":"&lt;sup&gt;233&lt;/sup&gt;"},"properties":{"noteIndex":0},"schema":"https://github.com/citation-style-language/schema/raw/master/csl-citation.json"}</w:instrText>
      </w:r>
      <w:r w:rsidR="009979DC" w:rsidRPr="0082680A">
        <w:rPr>
          <w:lang w:val="en-GB"/>
        </w:rPr>
        <w:fldChar w:fldCharType="separate"/>
      </w:r>
      <w:r w:rsidR="00426B19" w:rsidRPr="00426B19">
        <w:rPr>
          <w:noProof/>
          <w:vertAlign w:val="superscript"/>
          <w:lang w:val="en-GB"/>
        </w:rPr>
        <w:t>233</w:t>
      </w:r>
      <w:r w:rsidR="009979DC" w:rsidRPr="0082680A">
        <w:rPr>
          <w:lang w:val="en-GB"/>
        </w:rPr>
        <w:fldChar w:fldCharType="end"/>
      </w:r>
      <w:r w:rsidRPr="0082680A">
        <w:rPr>
          <w:lang w:val="en-GB"/>
        </w:rPr>
        <w:t xml:space="preserve">. Mutations in </w:t>
      </w:r>
      <w:r w:rsidRPr="0082680A">
        <w:rPr>
          <w:i/>
          <w:lang w:val="en-GB"/>
        </w:rPr>
        <w:t>ATP13A2</w:t>
      </w:r>
      <w:r w:rsidRPr="0082680A">
        <w:rPr>
          <w:lang w:val="en-GB"/>
        </w:rPr>
        <w:t xml:space="preserve"> have been shown to cause autophagy dysregulation and accumulation of alpha-synuclein </w:t>
      </w:r>
      <w:r w:rsidR="00FB1E47" w:rsidRPr="0082680A">
        <w:rPr>
          <w:lang w:val="en-GB"/>
        </w:rPr>
        <w:fldChar w:fldCharType="begin" w:fldLock="1"/>
      </w:r>
      <w:r w:rsidR="000507BA">
        <w:rPr>
          <w:lang w:val="en-GB"/>
        </w:rPr>
        <w:instrText>ADDIN CSL_CITATION {"citationItems":[{"id":"ITEM-1","itemData":{"DOI":"10.1016/j.nbd.2011.12.015","ISSN":"09699961","PMID":"22198378","abstract":"Mitochondrial dysfunction and autophagy are centrally implicated in Parkinson's disease (PD). Mutations in ATP13A2, which encodes a lysosomal P-type ATPase of unknown function, cause a rare, autosomal recessive parkinsonian syndrome. Lysosomes are essential for autophagy, and autophagic clearance of dysfunctional mitochondria represents an important element of mitochondrial quality control. In this study, we tested the hypothesis that loss of ATP13A2 function will affect mitochondrial function. Knockdown of ATP13A2 led to an increase in mitochondrial mass in primary mouse cortical neurons and in SH-SY5Y cells forced into mitochondrial dependence. ATP13A2-deficient cells exhibited increased oxygen consumption without a significant change in steady-state levels of ATP. Mitochondria in knockdown cells exhibited increased fragmentation and increased production of reactive oxygen species (ROS). Basal levels of the autophagosome marker LC3-II were not significantly changed, however, ATP13A2 knockdown cells exhibited decreased autophagic flux, associated with increased levels of phospho-mTOR, and resistance to autophagy induction by rapamycin. The effects of ATP13A2 siRNA on oxygen consumption, mitochondrial mass and ROS production could be mimicked by inhibiting autophagy induction using siRNA to Atg7. We propose that decreased autophagy associated with ATP13A2 deficiency affects mitochondrial quality control, resulting in increased ROS production. These data are the first to implicate loss of ATP13A2 function in mitochondrial maintenance and oxidative stress, lending further support to converging genetic and environmental evidence for mitochondrial dysregulation in PD pathogenesis.","author":[{"dropping-particle":"","family":"Gusdon","given":"Aaron M.","non-dropping-particle":"","parse-names":false,"suffix":""},{"dropping-particle":"","family":"Zhu","given":"Jianhui","non-dropping-particle":"","parse-names":false,"suffix":""},{"dropping-particle":"","family":"Houten","given":"Bennett","non-dropping-particle":"Van","parse-names":false,"suffix":""},{"dropping-particle":"","family":"Chu","given":"Charleen T.","non-dropping-particle":"","parse-names":false,"suffix":""}],"container-title":"Neurobiology of Disease","id":"ITEM-1","issue":"3","issued":{"date-parts":[["2012","3"]]},"page":"962-972","title":"ATP13A2 regulates mitochondrial bioenergetics through macroautophagy","type":"article-journal","volume":"45"},"uris":["http://www.mendeley.com/documents/?uuid=34deb9a8-1976-385b-899c-0f78ec5d3253"]},{"id":"ITEM-2","itemData":{"DOI":"10.1038/ncomms11803","ISSN":"2041-1723","abstract":"Mutations in ATP13A2 are associated with lysosomal dysfunction and early onset Parkinson’s disease. Here Bento et al. show that ATP13A2 depletion negatively regulates SYT11, at both transcriptional and post-translational levels, which in turn impairs function of the autophagy-lysosome pathway.","author":[{"dropping-particle":"","family":"Bento","given":"Carla F.","non-dropping-particle":"","parse-names":false,"suffix":""},{"dropping-particle":"","family":"Ashkenazi","given":"Avraham","non-dropping-particle":"","parse-names":false,"suffix":""},{"dropping-particle":"","family":"Jimenez-Sanchez","given":"Maria","non-dropping-particle":"","parse-names":false,"suffix":""},{"dropping-particle":"","family":"Rubinsztein","given":"David C.","non-dropping-particle":"","parse-names":false,"suffix":""}],"container-title":"Nature Communications","id":"ITEM-2","issued":{"date-parts":[["2016","6","9"]]},"page":"11803","publisher":"Nature Publishing Group","title":"The Parkinson’s disease-associated genes ATP13A2 and SYT11 regulate autophagy via a common pathway","type":"article-journal","volume":"7"},"uris":["http://www.mendeley.com/documents/?uuid=0777bc3b-c856-33fe-8914-03e73790ad16"]}],"mendeley":{"formattedCitation":"&lt;sup&gt;234,235&lt;/sup&gt;","plainTextFormattedCitation":"234,235","previouslyFormattedCitation":"&lt;sup&gt;234,235&lt;/sup&gt;"},"properties":{"noteIndex":0},"schema":"https://github.com/citation-style-language/schema/raw/master/csl-citation.json"}</w:instrText>
      </w:r>
      <w:r w:rsidR="00FB1E47" w:rsidRPr="0082680A">
        <w:rPr>
          <w:lang w:val="en-GB"/>
        </w:rPr>
        <w:fldChar w:fldCharType="separate"/>
      </w:r>
      <w:r w:rsidR="00426B19" w:rsidRPr="00426B19">
        <w:rPr>
          <w:noProof/>
          <w:vertAlign w:val="superscript"/>
          <w:lang w:val="en-GB"/>
        </w:rPr>
        <w:t>234,235</w:t>
      </w:r>
      <w:r w:rsidR="00FB1E47" w:rsidRPr="0082680A">
        <w:rPr>
          <w:lang w:val="en-GB"/>
        </w:rPr>
        <w:fldChar w:fldCharType="end"/>
      </w:r>
      <w:r w:rsidRPr="0082680A">
        <w:rPr>
          <w:lang w:val="en-GB"/>
        </w:rPr>
        <w:t>.</w:t>
      </w:r>
    </w:p>
    <w:p w14:paraId="0039347E" w14:textId="77777777" w:rsidR="000D27A7" w:rsidRPr="0082680A" w:rsidRDefault="000D27A7" w:rsidP="000D27A7">
      <w:pPr>
        <w:rPr>
          <w:rFonts w:ascii="Arial" w:eastAsia="Arial" w:hAnsi="Arial" w:cs="Arial"/>
          <w:lang w:val="en-GB"/>
        </w:rPr>
      </w:pPr>
    </w:p>
    <w:p w14:paraId="2D9F80AB" w14:textId="1F9C432A" w:rsidR="000D27A7" w:rsidRPr="0082680A" w:rsidRDefault="000D27A7" w:rsidP="000D27A7">
      <w:pPr>
        <w:rPr>
          <w:lang w:val="en-GB"/>
        </w:rPr>
      </w:pPr>
      <w:r w:rsidRPr="0082680A">
        <w:rPr>
          <w:lang w:val="en-GB"/>
        </w:rPr>
        <w:t xml:space="preserve">Without these two systems, toxic aggregations of misfolded proteins can form, as seen in many neurodegenerative conditions </w:t>
      </w:r>
      <w:r w:rsidR="00FB1E47" w:rsidRPr="0082680A">
        <w:rPr>
          <w:lang w:val="en-GB"/>
        </w:rPr>
        <w:fldChar w:fldCharType="begin" w:fldLock="1"/>
      </w:r>
      <w:r w:rsidR="000507BA">
        <w:rPr>
          <w:lang w:val="en-GB"/>
        </w:rPr>
        <w:instrText>ADDIN CSL_CITATION {"citationItems":[{"id":"ITEM-1","itemData":{"DOI":"10.1038/nature05291","ISSN":"0028-0836","PMID":"17051204","abstract":"Many late-onset neurodegenerative diseases, including Parkinson's disease and Huntington's disease, are associated with the formation of intracellular aggregates by toxic proteins. It is therefore crucial to understand the factors that regulate the steady-state levels of these 'toxins', at both the synthetic and degradation stages. The degradation pathways acting on such aggregate-prone cytosolic proteins include the ubiquitin-proteasome system and macroautophagy. Dysfunction of the ubiquitin-proteasome or macroautophagy pathways might contribute to the pathology of various neurodegenerative conditions. However, enhancing macroautophagy with drugs such as rapamycin could offer a tractable therapeutic strategy for a number of these diseases.","author":[{"dropping-particle":"","family":"Rubinsztein","given":"David C.","non-dropping-particle":"","parse-names":false,"suffix":""}],"container-title":"Nature","id":"ITEM-1","issue":"7113","issued":{"date-parts":[["2006","10","19"]]},"page":"780-786","title":"The roles of intracellular protein-degradation pathways in neurodegeneration","type":"article-journal","volume":"443"},"uris":["http://www.mendeley.com/documents/?uuid=1f97b8ff-2d55-4506-91f2-d5b9ce73c4cd"]}],"mendeley":{"formattedCitation":"&lt;sup&gt;236&lt;/sup&gt;","plainTextFormattedCitation":"236","previouslyFormattedCitation":"&lt;sup&gt;236&lt;/sup&gt;"},"properties":{"noteIndex":0},"schema":"https://github.com/citation-style-language/schema/raw/master/csl-citation.json"}</w:instrText>
      </w:r>
      <w:r w:rsidR="00FB1E47" w:rsidRPr="0082680A">
        <w:rPr>
          <w:lang w:val="en-GB"/>
        </w:rPr>
        <w:fldChar w:fldCharType="separate"/>
      </w:r>
      <w:r w:rsidR="00426B19" w:rsidRPr="00426B19">
        <w:rPr>
          <w:noProof/>
          <w:vertAlign w:val="superscript"/>
          <w:lang w:val="en-GB"/>
        </w:rPr>
        <w:t>236</w:t>
      </w:r>
      <w:r w:rsidR="00FB1E47" w:rsidRPr="0082680A">
        <w:rPr>
          <w:lang w:val="en-GB"/>
        </w:rPr>
        <w:fldChar w:fldCharType="end"/>
      </w:r>
      <w:r w:rsidRPr="0082680A">
        <w:rPr>
          <w:lang w:val="en-GB"/>
        </w:rPr>
        <w:t xml:space="preserve">. It is still unclear, however, what contribution alpha-synuclein aggregations themselves make to the neuronal death observed in PD. It has been claimed that alpha-synuclein aggregations themselves bind to the proteasome, inhibiting protein degradation </w:t>
      </w:r>
      <w:r w:rsidR="00273AC8" w:rsidRPr="0082680A">
        <w:rPr>
          <w:lang w:val="en-GB"/>
        </w:rPr>
        <w:fldChar w:fldCharType="begin" w:fldLock="1"/>
      </w:r>
      <w:r w:rsidR="000507BA">
        <w:rPr>
          <w:lang w:val="en-GB"/>
        </w:rPr>
        <w:instrText>ADDIN CSL_CITATION {"citationItems":[{"id":"ITEM-1","itemData":{"DOI":"10.1074/jbc.M208641200","ISSN":"0021-9258","PMID":"12551928","abstract":"The accumulation of aggregated alpha-synuclein is thought to contribute to the pathophysiology of Parkinson's disease, but the mechanism of toxicity is poorly understood. Recent studies suggest that aggregated proteins cause toxicity by inhibiting the ubiquitin-dependent proteasomal system. In the present study, we explore how alpha-synuclein interacts with the proteasome. The proteasome exists as a 26 S and a 20 S species. The 26 S proteasome is composed of the 19 S cap and the 20 S core. Aggregated alpha-synuclein strongly inhibited the function of the 26 S proteasome. The IC(50) of aggregated alpha-synuclein for ubiquitin-independent 26 S proteasomal activity was 1 nm. Aggregated alpha-synuclein also inhibited 26 S ubiquitin-dependent proteasomal activity at a dose of 500 nm. In contrast, the IC(50) of aggregated alpha-synuclein for 20 S proteasomal activity was &gt; 1 microm. This suggests that aggregated alpha-synuclein selectively interacts with the 19 S cap. Monomeric alpha-synuclein also inhibited proteasomal activity but with lower affinity and less potency. Recombinant monomeric alpha-synuclein inhibited the activity of the 20 S proteasomal core with an IC(50) &gt; 10 microm, exhibited no inhibition of 26 S ubiquitin-dependent proteasomal activity at doses up to 5 microm, and exhibited only partial inhibition (50%) of the 26 S ubiquitin-independent proteasomal activity at doses up to 10 mm. Binding studies demonstrate that both aggregated and monomeric alpha-synuclein selectively bind to the proteasomal protein S6', a subunit of the 19 S cap. These studies suggest that proteasomal inhibition by aggregated alpha-synuclein could be mediated by interaction with S6'.","author":[{"dropping-particle":"","family":"Snyder","given":"Heather","non-dropping-particle":"","parse-names":false,"suffix":""},{"dropping-particle":"","family":"Mensah","given":"Kwame","non-dropping-particle":"","parse-names":false,"suffix":""},{"dropping-particle":"","family":"Theisler","given":"Catherine","non-dropping-particle":"","parse-names":false,"suffix":""},{"dropping-particle":"","family":"Lee","given":"Jack","non-dropping-particle":"","parse-names":false,"suffix":""},{"dropping-particle":"","family":"Matouschek","given":"Andreas","non-dropping-particle":"","parse-names":false,"suffix":""},{"dropping-particle":"","family":"Wolozin","given":"Benjamin","non-dropping-particle":"","parse-names":false,"suffix":""}],"container-title":"Journal of Biological Chemistry","id":"ITEM-1","issue":"14","issued":{"date-parts":[["2003","4","4"]]},"page":"11753-11759","title":"Aggregated and Monomeric α-Synuclein Bind to the S6′ Proteasomal Protein and Inhibit Proteasomal Function","type":"article-journal","volume":"278"},"uris":["http://www.mendeley.com/documents/?uuid=2f165c07-2cf2-329d-a223-bf27d175f298"]}],"mendeley":{"formattedCitation":"&lt;sup&gt;237&lt;/sup&gt;","plainTextFormattedCitation":"237","previouslyFormattedCitation":"&lt;sup&gt;237&lt;/sup&gt;"},"properties":{"noteIndex":0},"schema":"https://github.com/citation-style-language/schema/raw/master/csl-citation.json"}</w:instrText>
      </w:r>
      <w:r w:rsidR="00273AC8" w:rsidRPr="0082680A">
        <w:rPr>
          <w:lang w:val="en-GB"/>
        </w:rPr>
        <w:fldChar w:fldCharType="separate"/>
      </w:r>
      <w:r w:rsidR="00426B19" w:rsidRPr="00426B19">
        <w:rPr>
          <w:noProof/>
          <w:vertAlign w:val="superscript"/>
          <w:lang w:val="en-GB"/>
        </w:rPr>
        <w:t>237</w:t>
      </w:r>
      <w:r w:rsidR="00273AC8" w:rsidRPr="0082680A">
        <w:rPr>
          <w:lang w:val="en-GB"/>
        </w:rPr>
        <w:fldChar w:fldCharType="end"/>
      </w:r>
      <w:r w:rsidRPr="0082680A">
        <w:rPr>
          <w:lang w:val="en-GB"/>
        </w:rPr>
        <w:t xml:space="preserve">. Other theories suggest that the aggregations are merely the result of protective mechanisms sequestering the misfolded protein after the failure of the UPS and ALP systems. Whether alpha-synuclein’s toxicity lies in its aggregated state or not, it is no surprise that alpha-synuclein has become a significant focus of PD treatment </w:t>
      </w:r>
      <w:r w:rsidR="00273AC8" w:rsidRPr="0082680A">
        <w:rPr>
          <w:lang w:val="en-GB"/>
        </w:rPr>
        <w:fldChar w:fldCharType="begin" w:fldLock="1"/>
      </w:r>
      <w:r w:rsidR="000507BA">
        <w:rPr>
          <w:lang w:val="en-GB"/>
        </w:rPr>
        <w:instrText>ADDIN CSL_CITATION {"citationItems":[{"id":"ITEM-1","itemData":{"DOI":"10.1016/j.expneurol.2017.10.003","ISSN":"00144886","PMID":"28987463","abstract":"Starting two decades ago with the discoveries of genetic links between alpha-synuclein and Parkinson's disease risk and the identification of aggregated alpha-synuclein as the main protein constituent of Lewy pathology, alpha-synuclein has emerged as the major therapeutic target in Parkinson's disease and related synucleinopathies. Following the suggestion that alpha-synuclein pathology gradually spreads through the nervous system following a stereotypic pattern and the discovery that aggregated forms of alpha-synuclein can propagate pathology from one cell to another, and thereby probably aggravate existing deficits as well as generate additional symptoms, the idea that alpha-synuclein is a viable therapeutic target gained further support. In this review we describe current challenges and possibilities with alpha-synuclein as a therapeutic target. We briefly highlight gaps in the knowledge of the role of alpha-synuclein in disease, and propose that a deeper understanding of the pathobiology of alpha-synuclein can lead to improved therapeutic strategies. We describe several treatment approaches that are currently being tested in advanced animal experiments or already are in clinical trials. We have divided them into approaches that reduce alpha-synuclein production; inhibit alpha-synuclein aggregation inside cells; promote its degradation either inside or outside cells; and reduce its uptake by neighbouring cells following release from already affected neurons. Finally, we briefly discuss challenges related to the clinical testing of alpha-synuclein therapies, for example difficulties in monitoring target engagement and the need for relatively large trials of long duration. We conclude that alpha-synuclein remains one of the most compelling therapeutic targets for Parkinson's disease, and related synucleinopathies, and that the multitude of approaches being tested provides hope for the future.","author":[{"dropping-particle":"","family":"Brundin","given":"Patrik","non-dropping-particle":"","parse-names":false,"suffix":""},{"dropping-particle":"","family":"Dave","given":"Kuldip D.","non-dropping-particle":"","parse-names":false,"suffix":""},{"dropping-particle":"","family":"Kordower","given":"Jeffrey H.","non-dropping-particle":"","parse-names":false,"suffix":""}],"container-title":"Experimental Neurology","id":"ITEM-1","issue":"Pt B","issued":{"date-parts":[["2017","12"]]},"page":"225-235","title":"Therapeutic approaches to target alpha-synuclein pathology","type":"article-journal","volume":"298"},"uris":["http://www.mendeley.com/documents/?uuid=e65fe7c7-1dff-3fbc-ab82-a262ec4822d3"]},{"id":"ITEM-2","itemData":{"DOI":"10.2174/1570159X15666171129100944","ISSN":"1570159X","author":[{"dropping-particle":"","family":"Ganguly","given":"Upasana","non-dropping-particle":"","parse-names":false,"suffix":""},{"dropping-particle":"","family":"Chakrabarti","given":"Sankha Shubhra Sasanka","non-dropping-particle":"","parse-names":false,"suffix":""},{"dropping-particle":"","family":"Kaur","given":"Upinder","non-dropping-particle":"","parse-names":false,"suffix":""},{"dropping-particle":"","family":"Mukherjee","given":"Anwesha","non-dropping-particle":"","parse-names":false,"suffix":""},{"dropping-particle":"","family":"Chakrabarti","given":"Sankha Shubhra Sasanka","non-dropping-particle":"","parse-names":false,"suffix":""}],"container-title":"Current Neuropharmacology","id":"ITEM-2","issue":"7","issued":{"date-parts":[["2018","7","12"]]},"page":"1086-1097","title":"Alpha-synuclein, Proteotoxicity and Parkinson's Disease: Search for Neuroprotective Therapy","type":"article-journal","volume":"16"},"uris":["http://www.mendeley.com/documents/?uuid=094b9243-c6c1-44c1-95da-9db39be38c3e"]}],"mendeley":{"formattedCitation":"&lt;sup&gt;238,239&lt;/sup&gt;","plainTextFormattedCitation":"238,239","previouslyFormattedCitation":"&lt;sup&gt;238,239&lt;/sup&gt;"},"properties":{"noteIndex":0},"schema":"https://github.com/citation-style-language/schema/raw/master/csl-citation.json"}</w:instrText>
      </w:r>
      <w:r w:rsidR="00273AC8" w:rsidRPr="0082680A">
        <w:rPr>
          <w:lang w:val="en-GB"/>
        </w:rPr>
        <w:fldChar w:fldCharType="separate"/>
      </w:r>
      <w:r w:rsidR="00426B19" w:rsidRPr="00426B19">
        <w:rPr>
          <w:noProof/>
          <w:vertAlign w:val="superscript"/>
          <w:lang w:val="en-GB"/>
        </w:rPr>
        <w:t>238,239</w:t>
      </w:r>
      <w:r w:rsidR="00273AC8" w:rsidRPr="0082680A">
        <w:rPr>
          <w:lang w:val="en-GB"/>
        </w:rPr>
        <w:fldChar w:fldCharType="end"/>
      </w:r>
      <w:r w:rsidRPr="0082680A">
        <w:rPr>
          <w:lang w:val="en-GB"/>
        </w:rPr>
        <w:t xml:space="preserve">. </w:t>
      </w:r>
    </w:p>
    <w:p w14:paraId="5B17F11E" w14:textId="77777777" w:rsidR="000D27A7" w:rsidRPr="0082680A" w:rsidRDefault="000D27A7" w:rsidP="00842FD0">
      <w:pPr>
        <w:pStyle w:val="Heading4"/>
        <w:rPr>
          <w:lang w:val="en-GB"/>
        </w:rPr>
      </w:pPr>
      <w:bookmarkStart w:id="216" w:name="_nx5pw5pnoah0" w:colFirst="0" w:colLast="0"/>
      <w:bookmarkStart w:id="217" w:name="_Toc3211388"/>
      <w:bookmarkEnd w:id="216"/>
      <w:r w:rsidRPr="0082680A">
        <w:rPr>
          <w:lang w:val="en-GB"/>
        </w:rPr>
        <w:t>Mitochondrial Dysfunction</w:t>
      </w:r>
      <w:bookmarkEnd w:id="217"/>
    </w:p>
    <w:p w14:paraId="408A01B0" w14:textId="45203238" w:rsidR="000D27A7" w:rsidRPr="0082680A" w:rsidRDefault="000D27A7" w:rsidP="000D27A7">
      <w:pPr>
        <w:rPr>
          <w:lang w:val="en-GB"/>
        </w:rPr>
      </w:pPr>
      <w:r w:rsidRPr="0082680A">
        <w:rPr>
          <w:lang w:val="en-GB"/>
        </w:rPr>
        <w:t xml:space="preserve">In the years surrounding 1980, a number of young individuals in the US were being admitted for Parkinsonian symptoms after abuse of a drug containing the compound MPTP (1-methyl-4-phenyl-1,2,3,6-tetrahydropyridine) </w:t>
      </w:r>
      <w:r w:rsidR="00273AC8" w:rsidRPr="0082680A">
        <w:rPr>
          <w:lang w:val="en-GB"/>
        </w:rPr>
        <w:fldChar w:fldCharType="begin" w:fldLock="1"/>
      </w:r>
      <w:r w:rsidR="000507BA">
        <w:rPr>
          <w:lang w:val="en-GB"/>
        </w:rPr>
        <w:instrText>ADDIN CSL_CITATION {"citationItems":[{"id":"ITEM-1","itemData":{"DOI":"10.1016/0165-1781(79)90006-4","ISSN":"0165-1781","abstract":"Abuse of 4-propyloxy-4-phenyl-N-methylpiperidine, a meperidine congener, produced parkinsonism in a 23-year-old man. Unlike other drug-induced motor disturbances, the syndrome perisited for 18 months and responded to drugs that stimulate dopamine receptors. Biogenic amines and metabolites in the cerebrospinal fluid and microscopic evaluation of the brain at necropsy were consistent with damage to aminergic neurons in the substantia nigra.","author":[{"dropping-particle":"","family":"Davis","given":"Glenn C.","non-dropping-particle":"","parse-names":false,"suffix":""},{"dropping-particle":"","family":"Williams","given":"Adrian C.","non-dropping-particle":"","parse-names":false,"suffix":""},{"dropping-particle":"","family":"Markey","given":"Sanford P.","non-dropping-particle":"","parse-names":false,"suffix":""},{"dropping-particle":"","family":"Ebert","given":"Michael H.","non-dropping-particle":"","parse-names":false,"suffix":""},{"dropping-particle":"","family":"Caine","given":"Eric D.","non-dropping-particle":"","parse-names":false,"suffix":""},{"dropping-particle":"","family":"Reichert","given":"Cheryl M.","non-dropping-particle":"","parse-names":false,"suffix":""},{"dropping-particle":"","family":"Kopin","given":"Irwin J.","non-dropping-particle":"","parse-names":false,"suffix":""}],"container-title":"Psychiatry Research","id":"ITEM-1","issue":"3","issued":{"date-parts":[["1979","12","1"]]},"page":"249-254","publisher":"Elsevier","title":"Chronic parkinsonism secondary to intravenous injection of meperidine analogues","type":"article-journal","volume":"1"},"uris":["http://www.mendeley.com/documents/?uuid=0ab77a64-02ec-493d-9a3e-e45e5d0d69ab"]}],"mendeley":{"formattedCitation":"&lt;sup&gt;240&lt;/sup&gt;","plainTextFormattedCitation":"240","previouslyFormattedCitation":"&lt;sup&gt;240&lt;/sup&gt;"},"properties":{"noteIndex":0},"schema":"https://github.com/citation-style-language/schema/raw/master/csl-citation.json"}</w:instrText>
      </w:r>
      <w:r w:rsidR="00273AC8" w:rsidRPr="0082680A">
        <w:rPr>
          <w:lang w:val="en-GB"/>
        </w:rPr>
        <w:fldChar w:fldCharType="separate"/>
      </w:r>
      <w:r w:rsidR="00426B19" w:rsidRPr="00426B19">
        <w:rPr>
          <w:noProof/>
          <w:vertAlign w:val="superscript"/>
          <w:lang w:val="en-GB"/>
        </w:rPr>
        <w:t>240</w:t>
      </w:r>
      <w:r w:rsidR="00273AC8" w:rsidRPr="0082680A">
        <w:rPr>
          <w:lang w:val="en-GB"/>
        </w:rPr>
        <w:fldChar w:fldCharType="end"/>
      </w:r>
      <w:r w:rsidRPr="0082680A">
        <w:rPr>
          <w:lang w:val="en-GB"/>
        </w:rPr>
        <w:t>. It was later discovered that MPTP is able to cross the blood-brain barrier, where it is oxidised into the neurotoxic MPP</w:t>
      </w:r>
      <w:r w:rsidRPr="0082680A">
        <w:rPr>
          <w:vertAlign w:val="superscript"/>
          <w:lang w:val="en-GB"/>
        </w:rPr>
        <w:t>+</w:t>
      </w:r>
      <w:r w:rsidRPr="0082680A">
        <w:rPr>
          <w:lang w:val="en-GB"/>
        </w:rPr>
        <w:t xml:space="preserve"> </w:t>
      </w:r>
      <w:r w:rsidR="00273AC8" w:rsidRPr="0082680A">
        <w:rPr>
          <w:lang w:val="en-GB"/>
        </w:rPr>
        <w:fldChar w:fldCharType="begin" w:fldLock="1"/>
      </w:r>
      <w:r w:rsidR="000507BA">
        <w:rPr>
          <w:lang w:val="en-GB"/>
        </w:rPr>
        <w:instrText>ADDIN CSL_CITATION {"citationItems":[{"id":"ITEM-1","itemData":{"DOI":"10.1016/0304-3940(84)90293-3","ISSN":"0304-3940","abstract":"MPTP (1-methyl-4-phenyl-1,2,3,6-tetrahydropyridine) is a newly described neurotoxin which selectively destroys cells in the substantia nigra when administered systemically to primates. Because the substance creates a condition in humans which is virtually indistinguishable from Parkinson's disease, interest has focused on its mechanism of action. We now report that MPTP appears to be rapidly metabolized after systemic administration in toxic amounts, and identify 1-methyl-4-phenylpyridinium ion (MPP+) as a probable major metabolite.","author":[{"dropping-particle":"","family":"Langston","given":"J.William","non-dropping-particle":"","parse-names":false,"suffix":""},{"dropping-particle":"","family":"Irwin","given":"Ian","non-dropping-particle":"","parse-names":false,"suffix":""},{"dropping-particle":"","family":"Langston","given":"Elizabeth B.","non-dropping-particle":"","parse-names":false,"suffix":""},{"dropping-particle":"","family":"Forno","given":"Lysia S.","non-dropping-particle":"","parse-names":false,"suffix":""}],"container-title":"Neuroscience Letters","id":"ITEM-1","issue":"1","issued":{"date-parts":[["1984","7","13"]]},"page":"87-92","publisher":"Elsevier","title":"1-Methyl-4-phenylpyridinium ion (MPP+): Identification of a metabolite of MPTP, a toxin selective to the substantia nigra","type":"article-journal","volume":"48"},"uris":["http://www.mendeley.com/documents/?uuid=5d1b559c-d2cd-4bf4-bd6d-77a1252b0e69"]}],"mendeley":{"formattedCitation":"&lt;sup&gt;241&lt;/sup&gt;","plainTextFormattedCitation":"241","previouslyFormattedCitation":"&lt;sup&gt;241&lt;/sup&gt;"},"properties":{"noteIndex":0},"schema":"https://github.com/citation-style-language/schema/raw/master/csl-citation.json"}</w:instrText>
      </w:r>
      <w:r w:rsidR="00273AC8" w:rsidRPr="0082680A">
        <w:rPr>
          <w:lang w:val="en-GB"/>
        </w:rPr>
        <w:fldChar w:fldCharType="separate"/>
      </w:r>
      <w:r w:rsidR="00426B19" w:rsidRPr="00426B19">
        <w:rPr>
          <w:noProof/>
          <w:vertAlign w:val="superscript"/>
          <w:lang w:val="en-GB"/>
        </w:rPr>
        <w:t>241</w:t>
      </w:r>
      <w:r w:rsidR="00273AC8" w:rsidRPr="0082680A">
        <w:rPr>
          <w:lang w:val="en-GB"/>
        </w:rPr>
        <w:fldChar w:fldCharType="end"/>
      </w:r>
      <w:r w:rsidRPr="0082680A">
        <w:rPr>
          <w:lang w:val="en-GB"/>
        </w:rPr>
        <w:t>. MPP</w:t>
      </w:r>
      <w:r w:rsidRPr="0082680A">
        <w:rPr>
          <w:vertAlign w:val="superscript"/>
          <w:lang w:val="en-GB"/>
        </w:rPr>
        <w:t xml:space="preserve">+ </w:t>
      </w:r>
      <w:r w:rsidRPr="0082680A">
        <w:rPr>
          <w:lang w:val="en-GB"/>
        </w:rPr>
        <w:t xml:space="preserve">localises to the mitochondria, where it interferes with complex I of the electron transport chain </w:t>
      </w:r>
      <w:r w:rsidR="00273AC8" w:rsidRPr="0082680A">
        <w:rPr>
          <w:lang w:val="en-GB"/>
        </w:rPr>
        <w:fldChar w:fldCharType="begin" w:fldLock="1"/>
      </w:r>
      <w:r w:rsidR="000507BA">
        <w:rPr>
          <w:lang w:val="en-GB"/>
        </w:rPr>
        <w:instrText>ADDIN CSL_CITATION {"citationItems":[{"id":"ITEM-1","itemData":{"DOI":"10.1016/0006-291X(86)90972-1","ISSN":"0006-291X","abstract":"4-Phenyl-N-methylpyridinium (MPP+), the xxidation product of the neurotoxic amine MPTP, is considerably more inhibitory to the oxidation of NAD+-linked substrates in intact mitochondria in State 3 than is 4-phenylpyridine. On adding uncouplers, the inhibition by MPP+ progressively diminishes, while the effect of 4-phenylpyridine remains. This is in accord with the fact that MPP+ is rapidly concentrated in the mitochondria by an energy-dependent process, while 4-phenylpyridine seems to enter passively with the concentration gradient. Collapse of the electrical gradient after addition of uncouplers thus leaves the inhibiton by 4-phenylpyridine unaffected but causes efflux of MPP+ from the mitochondria and a reversal of its inhibitory action. In isolated inner membranes the inhibition of NADH oxidation via the respiratory chain by 4-phenylpyridine is much greater than by MPP+. MPTP and 4-phenyl-N-methylpyridinone also inhibit more than MPP+, whereas N-methylpyridinium has relatively little effect. The block is not at the point of entry of electrons into the flavoprotein since the NADH-ferricyanide activity is not inhibited by MPP+ at Vmax.","author":[{"dropping-particle":"","family":"Ramsay","given":"Rona R.","non-dropping-particle":"","parse-names":false,"suffix":""},{"dropping-particle":"","family":"Salach","given":"James I.","non-dropping-particle":"","parse-names":false,"suffix":""},{"dropping-particle":"","family":"Dadgar","given":"Jahan","non-dropping-particle":"","parse-names":false,"suffix":""},{"dropping-particle":"","family":"Singer","given":"Thomas P.","non-dropping-particle":"","parse-names":false,"suffix":""}],"container-title":"Biochemical and Biophysical Research Communications","id":"ITEM-1","issue":"1","issued":{"date-parts":[["1986","2","26"]]},"page":"269-275","publisher":"Academic Press","title":"Inhibition of mitochondrial NADH dehydrogenase by pyridine derivatives and its possible relation to experimental and idiopathic parkinsonism","type":"article-journal","volume":"135"},"uris":["http://www.mendeley.com/documents/?uuid=378480c9-0a13-3828-a65a-e5fbdb5566f7"]}],"mendeley":{"formattedCitation":"&lt;sup&gt;242&lt;/sup&gt;","plainTextFormattedCitation":"242","previouslyFormattedCitation":"&lt;sup&gt;242&lt;/sup&gt;"},"properties":{"noteIndex":0},"schema":"https://github.com/citation-style-language/schema/raw/master/csl-citation.json"}</w:instrText>
      </w:r>
      <w:r w:rsidR="00273AC8" w:rsidRPr="0082680A">
        <w:rPr>
          <w:lang w:val="en-GB"/>
        </w:rPr>
        <w:fldChar w:fldCharType="separate"/>
      </w:r>
      <w:r w:rsidR="00426B19" w:rsidRPr="00426B19">
        <w:rPr>
          <w:noProof/>
          <w:vertAlign w:val="superscript"/>
          <w:lang w:val="en-GB"/>
        </w:rPr>
        <w:t>242</w:t>
      </w:r>
      <w:r w:rsidR="00273AC8" w:rsidRPr="0082680A">
        <w:rPr>
          <w:lang w:val="en-GB"/>
        </w:rPr>
        <w:fldChar w:fldCharType="end"/>
      </w:r>
      <w:r w:rsidRPr="0082680A">
        <w:rPr>
          <w:lang w:val="en-GB"/>
        </w:rPr>
        <w:t xml:space="preserve">. A dysfunction of complex I results in reduced ATP production, and increased reactive oxygen and nitrogen reactive species, ultimately leading to neuronal death </w:t>
      </w:r>
      <w:r w:rsidR="00273AC8" w:rsidRPr="0082680A">
        <w:rPr>
          <w:lang w:val="en-GB"/>
        </w:rPr>
        <w:fldChar w:fldCharType="begin" w:fldLock="1"/>
      </w:r>
      <w:r w:rsidR="000507BA">
        <w:rPr>
          <w:lang w:val="en-GB"/>
        </w:rPr>
        <w:instrText>ADDIN CSL_CITATION {"citationItems":[{"id":"ITEM-1","itemData":{"ISSN":"1138-7548","PMID":"10731084","abstract":"An experimental rat model of Parkinson's disease was established by injecting rats directly in the striatum with the neurotoxic agent 1-methyl-4-phenyl-1,2,3,6-tetrahydropyridine (MPTP). In order to study the action mechanism of this neurotoxic agent, MPTP and its main metabolite 1-methyl-4-phenylpyridinium (MPP+) were also added to suspensions of pyruvate/malate-supplemented nonsynaptic brain mitochondria, and the rates of hydrogen peroxide and ATP production were measured. Intrastriatal administration of MPTP produced a pronounced decrease in striatal dopamine levels (p &lt; 0.005) and a strong increase in 3,4-hydroxiphenylacetic acid/dopamine ratio (an indicator of dopamine catabolism; p &lt; 0.005) in relation to controls, as evaluated by in situ microdialysis. MPTP addition to rat brain mitochondria increased hydrogen peroxide production by 90%, from 1.37+/-0.35 to 2.59+/-0.48 nanomoles of H2O2/minute . mg of protein (p &lt; 0.01). The metabolite MPP+ produced a marked decrease on the rate of ATP production of brain mitochondria (p &lt; 0.005). These findings support the mitochondria-oxidative stress-energy failure hypothesis of MPTP-induced brain neurotoxicity.","author":[{"dropping-particle":"","family":"Fabre","given":"E","non-dropping-particle":"","parse-names":false,"suffix":""},{"dropping-particle":"","family":"Monserrat","given":"J","non-dropping-particle":"","parse-names":false,"suffix":""},{"dropping-particle":"","family":"Herrero","given":"A","non-dropping-particle":"","parse-names":false,"suffix":""},{"dropping-particle":"","family":"Barja","given":"G","non-dropping-particle":"","parse-names":false,"suffix":""},{"dropping-particle":"","family":"Leret","given":"M L","non-dropping-particle":"","parse-names":false,"suffix":""}],"container-title":"Journal of physiology and biochemistry","id":"ITEM-1","issue":"4","issued":{"date-parts":[["1999","12"]]},"page":"325-31","title":"Effect of MPTP on brain mitochondrial H2O2 and ATP production and on dopamine and DOPAC in the striatum.","type":"article-journal","volume":"55"},"uris":["http://www.mendeley.com/documents/?uuid=4f90812d-38ba-4c31-b02f-aa20d63679c3"]},{"id":"ITEM-2","itemData":{"DOI":"10.1074/JBC.274.49.34621","ISSN":"0021-9258","PMID":"10574926","abstract":"Oxidative stress is implicated in the death of dopaminergic neurons in Parkinson's disease and in the 1-methyl-4-phenyl-1,2,3, 6-tetrahydropyridine (MPTP) model of Parkinson's disease. Oxidative species that might mediate this damage include hydroxyl radical, tyrosyl radical, or reactive nitrogen species such as peroxynitrite. In mice, we showed that MPTP markedly increased levels of o, o'-dityrosine and 3-nitrotyrosine in the striatum and midbrain but not in brain regions resistant to MPTP. These two stable compounds indicate that tyrosyl radical and reactive nitrogen species have attacked tyrosine residues. In contrast, MPTP failed to alter levels of ortho-tyrosine in any brain region we studied. This marker accumulates when hydroxyl radical oxidizes protein-bound phenylalanine residues. We also showed that treating whole-brain proteins with hydroxyl radical markedly increased levels of ortho-tyrosine in vitro. Under identical conditions, tyrosyl radical, produced by the heme protein myeloperoxidase, selectively increased levels of o,o'-dityrosine, whereas peroxynitrite increased levels of 3-nitrotyrosine and, to a lesser extent, of ortho-tyrosine. These in vivo and in vitro findings implicate reactive nitrogen species and tyrosyl radical in MPTP neurotoxicity but argue against a deleterious role for hydroxyl radical in this model. They also show that reactive nitrogen species and tyrosyl radical (and consequently protein oxidation) represent an early and previously unidentified biochemical event in MPTP-induced brain injury. This finding may be significant for understanding the pathogenesis of Parkinson's disease and developing neuroprotective therapies.","author":[{"dropping-particle":"","family":"Pennathur","given":"S","non-dropping-particle":"","parse-names":false,"suffix":""},{"dropping-particle":"","family":"Jackson-Lewis","given":"V","non-dropping-particle":"","parse-names":false,"suffix":""},{"dropping-particle":"","family":"Przedborski","given":"S","non-dropping-particle":"","parse-names":false,"suffix":""},{"dropping-particle":"","family":"Heinecke","given":"J W","non-dropping-particle":"","parse-names":false,"suffix":""}],"container-title":"The Journal of biological chemistry","id":"ITEM-2","issue":"49","issued":{"date-parts":[["1999","12","3"]]},"page":"34621-8","publisher":"American Society for Biochemistry and Molecular Biology","title":"Mass spectrometric quantification of 3-nitrotyrosine, ortho-tyrosine, and o,o'-dityrosine in brain tissue of 1-methyl-4-phenyl-1,2,3, 6-tetrahydropyridine-treated mice, a model of oxidative stress in Parkinson's disease.","type":"article-journal","volume":"274"},"uris":["http://www.mendeley.com/documents/?uuid=2ee32ec4-747e-4ea5-9f88-7a5abbf9a5d5"]},{"id":"ITEM-3","itemData":{"DOI":"10.1016/J.FREERADBIOMED.2008.02.008","ISSN":"0891-5849","abstract":"Among age-related neurodegenerative diseases, Parkinson's disease (PD) represents the best example for which oxidative stress has been strongly implicated. The etiology of PD remains unknown, yet recent epidemiological studies have linked exposure to environmental agents, including pesticides, with an increased risk of developing the disease. As a result, the environmental hypothesis of PD has developed, which speculates that chemical agents in the environment are capable of producing selective dopaminergic cell death, thus contributing to disease development. The use of environmental agents such as 1-methyl-4-phenyl-1,2,3,6-tetrahydropyridine, rotenone, paraquat, dieldrin, and maneb in toxicant-based models of PD has become increasingly popular and provided valuable insight into the neurodegenerative process. Understanding the unique and shared mechanisms by which these environmental agents act as selective dopaminergic toxicants is critical in identifying pathways involved in PD pathogenesis. In this review, we discuss the neurotoxic properties of these compounds with specific focus on the induction of oxidative stress. We highlight landmark studies along with recent advances that support the role of reactive oxygen and reactive nitrogen species from a variety of cellular sources as potent contributors to the neurotoxicity of these environmental agents. Finally, human risk and the implications of these studies in our understanding of PD-related neurodegeneration are discussed.","author":[{"dropping-particle":"","family":"Drechsel","given":"Derek A.","non-dropping-particle":"","parse-names":false,"suffix":""},{"dropping-particle":"","family":"Patel","given":"Manisha","non-dropping-particle":"","parse-names":false,"suffix":""}],"container-title":"Free Radical Biology and Medicine","id":"ITEM-3","issue":"11","issued":{"date-parts":[["2008","6","1"]]},"page":"1873-1886","publisher":"Pergamon","title":"Role of reactive oxygen species in the neurotoxicity of environmental agents implicated in Parkinson's disease","type":"article-journal","volume":"44"},"uris":["http://www.mendeley.com/documents/?uuid=58c0b7b1-74b4-4a0d-8f40-aa5fe3c3175f"]}],"mendeley":{"formattedCitation":"&lt;sup&gt;243–245&lt;/sup&gt;","plainTextFormattedCitation":"243–245","previouslyFormattedCitation":"&lt;sup&gt;243–245&lt;/sup&gt;"},"properties":{"noteIndex":0},"schema":"https://github.com/citation-style-language/schema/raw/master/csl-citation.json"}</w:instrText>
      </w:r>
      <w:r w:rsidR="00273AC8" w:rsidRPr="0082680A">
        <w:rPr>
          <w:lang w:val="en-GB"/>
        </w:rPr>
        <w:fldChar w:fldCharType="separate"/>
      </w:r>
      <w:r w:rsidR="00426B19" w:rsidRPr="00426B19">
        <w:rPr>
          <w:noProof/>
          <w:vertAlign w:val="superscript"/>
          <w:lang w:val="en-GB"/>
        </w:rPr>
        <w:t>243–245</w:t>
      </w:r>
      <w:r w:rsidR="00273AC8" w:rsidRPr="0082680A">
        <w:rPr>
          <w:lang w:val="en-GB"/>
        </w:rPr>
        <w:fldChar w:fldCharType="end"/>
      </w:r>
      <w:r w:rsidRPr="0082680A">
        <w:rPr>
          <w:lang w:val="en-GB"/>
        </w:rPr>
        <w:t xml:space="preserve">. The involvement of mitochondrial dysfunction in PD has since been confirmed in a number of studies, which revealed mitochondrial complex I deficiencies and abnormal mitochondrial morphology </w:t>
      </w:r>
      <w:r w:rsidR="003C6AB4" w:rsidRPr="0082680A">
        <w:rPr>
          <w:lang w:val="en-GB"/>
        </w:rPr>
        <w:fldChar w:fldCharType="begin" w:fldLock="1"/>
      </w:r>
      <w:r w:rsidR="000507BA">
        <w:rPr>
          <w:lang w:val="en-GB"/>
        </w:rPr>
        <w:instrText>ADDIN CSL_CITATION {"citationItems":[{"id":"ITEM-1","itemData":{"author":[{"dropping-particle":"","family":"Schapira","given":"A.H.V.","non-dropping-particle":"","parse-names":false,"suffix":""},{"dropping-particle":"","family":"Cooper","given":"J.M.","non-dropping-particle":"","parse-names":false,"suffix":""},{"dropping-particle":"","family":"Dexter","given":"D.","non-dropping-particle":"","parse-names":false,"suffix":""},{"dropping-particle":"","family":"Jenner","given":"P.","non-dropping-particle":"","parse-names":false,"suffix":""},{"dropping-particle":"","family":"Clark","given":"J.B.","non-dropping-particle":"","parse-names":false,"suffix":""},{"dropping-particle":"","family":"Marsden","given":"C.D.","non-dropping-particle":"","parse-names":false,"suffix":""}],"container-title":"The Lancet","id":"ITEM-1","issue":"8649","issued":{"date-parts":[["1989"]]},"page":"1269","title":"MITOCHONDRIAL COMPLEX I DEFICIENCY IN PARKINSON'S DISEASE","type":"article-journal","volume":"333"},"uris":["http://www.mendeley.com/documents/?uuid=4f9580a3-55eb-4808-812d-f9e18421ef2d"]},{"id":"ITEM-2","itemData":{"DOI":"10.1111/j.1471-4159.1990.tb02325.x","ISSN":"0022-3042","author":[{"dropping-particle":"V.","family":"Schapira","given":"A. H.","non-dropping-particle":"","parse-names":false,"suffix":""},{"dropping-particle":"","family":"Cooper","given":"J. M.","non-dropping-particle":"","parse-names":false,"suffix":""},{"dropping-particle":"","family":"Dexter","given":"D.","non-dropping-particle":"","parse-names":false,"suffix":""},{"dropping-particle":"","family":"Clark","given":"J. B.","non-dropping-particle":"","parse-names":false,"suffix":""},{"dropping-particle":"","family":"Jenner","given":"P.","non-dropping-particle":"","parse-names":false,"suffix":""},{"dropping-particle":"","family":"Marsden","given":"C. D.","non-dropping-particle":"","parse-names":false,"suffix":""}],"container-title":"Journal of Neurochemistry","id":"ITEM-2","issue":"3","issued":{"date-parts":[["1990","3","1"]]},"page":"823-827","publisher":"Wiley/Blackwell (10.1111)","title":"Mitochondrial Complex I Deficiency in Parkinson's Disease","type":"article-journal","volume":"54"},"uris":["http://www.mendeley.com/documents/?uuid=14e945d6-be90-35e9-80e1-d74e22d2d88a"]},{"id":"ITEM-3","itemData":{"DOI":"10.1006/EXNR.2000.7333","ISSN":"0014-4886","abstract":"Diseases linked to defective mitochondrial function are characterized by morphologically abnormal, swollen mitochondria with distorted cristae. Several lines of evidence now suggest that sporadic forms of Parkinson's disease (PD) and Alzheimer's disease (AD) are linked to mitochondrial dysfunction arising from defects in mitochondrial DNA (mtDNA). Human neuroblastoma (SH-SY5Y) cells that are deficient in mtDNA (Rho0) were repopulated with mitochondria from AD or PD patients or age-matched controls. These cytoplasmic hybrid (cybrid) cell lines differ only in the source of their mtDNA. Differences between cybrid cell lines therefore arise from differences in mtDNA and provide a model for the study of how impaired mitochondrial function alters the mitochondria themselves and how these changes adversely affect the neuronal cells they occupy. Cybrid cell mitochondria were labeled with the mitochondrial membrane potential-sensitive dye, JC-1. Analysis of these JC-1 labeled mitochondria by confocal microscopy revealed that mitochondrial membrane potential was significantly reduced in both PD and AD cybrid cells when compared with controls. Ultrastructural examination showed that control cybrid cells contained small, morphologically normal, round or oval mitochondria with a dark matrix and regular distribution of cristae. PD cybrid cells contained a significant and increased percentage of mitochondria that were enlarged or swollen and had a pale matrix with few remaining cristae (0.26–0.65 μm2). AD cybrid cells also contained a significantly increased percentage of enlarged or swollen mitochondria (0.25–5.0 μm2) that had a pale matrix and few remaining cristae. Other pathological features such as crystal-like intramitochondrial inclusions and cytoplasmic inclusion bodies were also found in PD and AD cybrids. These observations suggest that transfer of PD or AD mtDNA into Rho0 cells was sufficient to produce pathological changes in mitochondrial ultrastructure that are similar to those seen in other mitochondrial disorders. These data were reported in abstract form (Trimmer et al., 1998, Soc. Neurosci. Abstr. 24: 476).","author":[{"dropping-particle":"","family":"Trimmer","given":"Patricia A.","non-dropping-particle":"","parse-names":false,"suffix":""},{"dropping-particle":"","family":"Swerdlow","given":"Russell H.","non-dropping-particle":"","parse-names":false,"suffix":""},{"dropping-particle":"","family":"Parks","given":"Janice K.","non-dropping-particle":"","parse-names":false,"suffix":""},{"dropping-particle":"","family":"Keeney","given":"Paula","non-dropping-particle":"","parse-names":false,"suffix":""},{"dropping-particle":"","family":"Bennett","given":"James P.","non-dropping-particle":"","parse-names":false,"suffix":""},{"dropping-particle":"","family":"Miller","given":"Scott W.","non-dropping-particle":"","parse-names":false,"suffix":""},{"dropping-particle":"","family":"Davis","given":"Robert E.","non-dropping-particle":"","parse-names":false,"suffix":""},{"dropping-particle":"","family":"Parker","given":"W.Davis","non-dropping-particle":"","parse-names":false,"suffix":""}],"container-title":"Experimental Neurology","id":"ITEM-3","issue":"1","issued":{"date-parts":[["2000","3","1"]]},"page":"37-50","publisher":"Academic Press","title":"Abnormal Mitochondrial Morphology in Sporadic Parkinson's and Alzheimer's Disease Cybrid Cell Lines","type":"article-journal","volume":"162"},"uris":["http://www.mendeley.com/documents/?uuid=618307b0-3300-3892-b2b7-84d916a84f0a"]}],"mendeley":{"formattedCitation":"&lt;sup&gt;246–248&lt;/sup&gt;","plainTextFormattedCitation":"246–248","previouslyFormattedCitation":"&lt;sup&gt;246–248&lt;/sup&gt;"},"properties":{"noteIndex":0},"schema":"https://github.com/citation-style-language/schema/raw/master/csl-citation.json"}</w:instrText>
      </w:r>
      <w:r w:rsidR="003C6AB4" w:rsidRPr="0082680A">
        <w:rPr>
          <w:lang w:val="en-GB"/>
        </w:rPr>
        <w:fldChar w:fldCharType="separate"/>
      </w:r>
      <w:r w:rsidR="00426B19" w:rsidRPr="00426B19">
        <w:rPr>
          <w:noProof/>
          <w:vertAlign w:val="superscript"/>
          <w:lang w:val="en-GB"/>
        </w:rPr>
        <w:t>246–248</w:t>
      </w:r>
      <w:r w:rsidR="003C6AB4" w:rsidRPr="0082680A">
        <w:rPr>
          <w:lang w:val="en-GB"/>
        </w:rPr>
        <w:fldChar w:fldCharType="end"/>
      </w:r>
      <w:r w:rsidRPr="0082680A">
        <w:rPr>
          <w:lang w:val="en-GB"/>
        </w:rPr>
        <w:t xml:space="preserve">. As genetic contributors to PD such as </w:t>
      </w:r>
      <w:r w:rsidRPr="0082680A">
        <w:rPr>
          <w:i/>
          <w:lang w:val="en-GB"/>
        </w:rPr>
        <w:t>PINK1</w:t>
      </w:r>
      <w:r w:rsidRPr="0082680A">
        <w:rPr>
          <w:lang w:val="en-GB"/>
        </w:rPr>
        <w:t xml:space="preserve">, </w:t>
      </w:r>
      <w:r w:rsidRPr="0082680A">
        <w:rPr>
          <w:i/>
          <w:lang w:val="en-GB"/>
        </w:rPr>
        <w:t>PRKN</w:t>
      </w:r>
      <w:r w:rsidRPr="0082680A">
        <w:rPr>
          <w:lang w:val="en-GB"/>
        </w:rPr>
        <w:t xml:space="preserve">, </w:t>
      </w:r>
      <w:r w:rsidRPr="0082680A">
        <w:rPr>
          <w:i/>
          <w:lang w:val="en-GB"/>
        </w:rPr>
        <w:t>DJ-1</w:t>
      </w:r>
      <w:r w:rsidRPr="0082680A">
        <w:rPr>
          <w:lang w:val="en-GB"/>
        </w:rPr>
        <w:t xml:space="preserve">, and </w:t>
      </w:r>
      <w:r w:rsidRPr="0082680A">
        <w:rPr>
          <w:i/>
          <w:lang w:val="en-GB"/>
        </w:rPr>
        <w:t>SNCA</w:t>
      </w:r>
      <w:r w:rsidRPr="0082680A">
        <w:rPr>
          <w:lang w:val="en-GB"/>
        </w:rPr>
        <w:t xml:space="preserve"> were identified, characterisation experiments revealed consistent relationships between genetic lesions and mitochondrial dysfunction </w:t>
      </w:r>
      <w:r w:rsidR="004056BF" w:rsidRPr="0082680A">
        <w:rPr>
          <w:lang w:val="en-GB"/>
        </w:rPr>
        <w:fldChar w:fldCharType="begin" w:fldLock="1"/>
      </w:r>
      <w:r w:rsidR="000507BA">
        <w:rPr>
          <w:lang w:val="en-GB"/>
        </w:rPr>
        <w:instrText>ADDIN CSL_CITATION {"citationItems":[{"id":"ITEM-1","itemData":{"DOI":"10.1073/pnas.0802076105","ISSN":"1091-6490","PMID":"18687901","abstract":"Parkinson's disease (PD) is a common neurodegenerative disorder thought to be associated with mitochondrial dysfunction. Loss of function mutations in the putative mitochondrial protein PINK1 (PTEN-induced kinase 1) have been linked to familial forms of PD, but the relation of PINK1 to mammalian mitochondrial function remains unclear. Here, we report that germline deletion of the PINK1 gene in mice significantly impairs mitochondrial functions. Quantitative electron microscopic studies of the striatum in PINK1(-/-) mice at 3-4 and 24 months revealed no gross changes in the ultrastructure or the total number of mitochondria, although the number of larger mitochondria is selectively increased. Functional assays showed impaired mitochondrial respiration in the striatum but not in the cerebral cortex at 3-4 months of age, suggesting specificity of this defect for dopaminergic circuitry. Aconitase activity associated with the Krebs cycle is also reduced in the striatum of PINK1(-/-) mice. Interestingly, mitochondrial respiration activities in the cerebral cortex are decreased in PINK1(-/-) mice at 2 years compared with control mice, indicating that aging can exacerbate mitochondrial dysfunction in these mice. Furthermore, mitochondrial respiration defects can be induced in the cerebral cortex of PINK1(-/-) mice by cellular stress, such as exposure to H(2)O(2) or mild heat shock. Together, our findings demonstrate that mammalian PINK1 is important for mitochondrial function and provides critical protection against both intrinsic and environmental stress, suggesting a pathogenic mechanism by which loss of PINK1 may lead to nigrostriatal degeneration in PD.","author":[{"dropping-particle":"","family":"Gautier","given":"Clement A","non-dropping-particle":"","parse-names":false,"suffix":""},{"dropping-particle":"","family":"Kitada","given":"Tohru","non-dropping-particle":"","parse-names":false,"suffix":""},{"dropping-particle":"","family":"Shen","given":"Jie","non-dropping-particle":"","parse-names":false,"suffix":""}],"container-title":"Proceedings of the National Academy of Sciences of the United States of America","id":"ITEM-1","issue":"32","issued":{"date-parts":[["2008","8","12"]]},"page":"11364-9","publisher":"National Academy of Sciences","title":"Loss of PINK1 causes mitochondrial functional defects and increased sensitivity to oxidative stress.","type":"article-journal","volume":"105"},"uris":["http://www.mendeley.com/documents/?uuid=83a455f3-8631-44b3-accd-26d6bf1a2da4"]},{"id":"ITEM-2","itemData":{"DOI":"10.1371/journal.pone.0004756","ISSN":"1932-6203","abstract":"Background Mitochondrial dysfunction has been implicated in the pathogenesis of Parkinson's disease (PD). Impairment of the mitochondrial electron transport chain (ETC) and an increased frequency in deletions of mitochondrial DNA (mtDNA), which encodes some of the subunits of the ETC, have been reported in the substantia nigra of PD brains. The identification of mutations in the PINK1 gene, which cause an autosomal recessive form of PD, has supported mitochondrial involvement in PD. The PINK1 protein is a serine/threonine kinase localized in mitochondria and the cytosol. Its precise function is unknown, but it is involved in neuroprotection against a variety of stress signalling pathways.  Methodology/Principal Findings In this report we have investigated the effect of silencing PINK1 expression in human dopaminergic SH-SY5Y cells by siRNA on mtDNA synthesis and ETC function. Loss of PINK1 expression resulted in a decrease in mtDNA levels and mtDNA synthesis. We also report a concomitant loss of mitochondrial membrane potential and decreased mitochondrial ATP synthesis, with the activity of complex IV of the ETC most affected. This mitochondrial dysfunction resulted in increased markers of oxidative stress under basal conditions and increased cell death following treatment with the free radical generator paraquat.  Conclusions This report highlights a novel function of PINK1 in mitochondrial biogenesis and a role in maintaining mitochondrial ETC activity. Dysfunction of both has been implicated in sporadic forms of PD suggesting that these may be key pathways in the development of the disease.","author":[{"dropping-particle":"","family":"Gegg","given":"Matthew E.","non-dropping-particle":"","parse-names":false,"suffix":""},{"dropping-particle":"","family":"Cooper","given":"J. Mark","non-dropping-particle":"","parse-names":false,"suffix":""},{"dropping-particle":"V.","family":"Schapira","given":"Anthony H.","non-dropping-particle":"","parse-names":false,"suffix":""},{"dropping-particle":"","family":"Taanman","given":"Jan-Willem","non-dropping-particle":"","parse-names":false,"suffix":""}],"container-title":"PLoS ONE","editor":[{"dropping-particle":"","family":"Melov","given":"Simon","non-dropping-particle":"","parse-names":false,"suffix":""}],"id":"ITEM-2","issue":"3","issued":{"date-parts":[["2009","3","9"]]},"page":"e4756","publisher":"Public Library of Science","title":"Silencing of PINK1 Expression Affects Mitochondrial DNA and Oxidative Phosphorylation in DOPAMINERGIC Cells","type":"article-journal","volume":"4"},"uris":["http://www.mendeley.com/documents/?uuid=8d713a26-4c36-49f8-95b0-3dc80d42a9a5"]},{"id":"ITEM-3","itemData":{"DOI":"10.1016/J.EXPNEUROL.2009.05.027","ISSN":"0014-4886","abstract":"Mutations of the PINK1 gene are a cause of autosomal recessive Parkinson's disease (PD). PINK1 encodes a mitochondrial kinase of unknown function which is widely expressed in both neuronal and non-neuronal cells. We have studied fibroblast cultures from four family members harbouring the homozygous p.Q456X mutation in PINK1, three of their wild-type relatives, one individual with the homozygous p.V170G mutation and five independent controls. Results showed bioenergetic abnormalities involving decreased activities of complexes I and IV along with increased activities of complexes II and III in the missense p.V170G mutant. There were increased basal levels of mitochondrial superoxide dismutase in these cells and an exaggerated increase of reduced glutathione in response to paraquat-induced free radical formation. Furthermore, swollen and enlarged mitochondria were observed in this sample. In the p.Q456X nonsense mutants, the respiratory chain enzymes were unaffected, but ATP levels were significantly decreased. These results confirm that mutations of PINK1 cause abnormal mitochondrial morphology, bioenergetic function and oxidative metabolism in human tissues but suggest that the biochemical consequences may vary between mutations.","author":[{"dropping-particle":"","family":"Grünewald","given":"A.","non-dropping-particle":"","parse-names":false,"suffix":""},{"dropping-particle":"","family":"Gegg","given":"M.E.","non-dropping-particle":"","parse-names":false,"suffix":""},{"dropping-particle":"","family":"Taanman","given":"J.-W.","non-dropping-particle":"","parse-names":false,"suffix":""},{"dropping-particle":"","family":"King","given":"R.H.","non-dropping-particle":"","parse-names":false,"suffix":""},{"dropping-particle":"","family":"Kock","given":"N.","non-dropping-particle":"","parse-names":false,"suffix":""},{"dropping-particle":"","family":"Klein","given":"C.","non-dropping-particle":"","parse-names":false,"suffix":""},{"dropping-particle":"","family":"Schapira","given":"A.H.V.","non-dropping-particle":"","parse-names":false,"suffix":""}],"container-title":"Experimental Neurology","id":"ITEM-3","issue":"1","issued":{"date-parts":[["2009","9","1"]]},"page":"266-273","publisher":"Academic Press","title":"Differential effects of PINK1 nonsense and missense mutations on mitochondrial function and morphology","type":"article-journal","volume":"219"},"uris":["http://www.mendeley.com/documents/?uuid=156fe5be-c753-465a-bfc9-c947ccaea523"]},{"id":"ITEM-4","itemData":{"DOI":"10.1002/mds.10695","ISSN":"08853185","author":[{"dropping-particle":"","family":"Müftüoglu","given":"Meltem","non-dropping-particle":"","parse-names":false,"suffix":""},{"dropping-particle":"","family":"Elibol","given":"Bülent","non-dropping-particle":"","parse-names":false,"suffix":""},{"dropping-particle":"","family":"Dalmızrak","given":"Özlem","non-dropping-particle":"","parse-names":false,"suffix":""},{"dropping-particle":"","family":"Ercan","given":"Ayse","non-dropping-particle":"","parse-names":false,"suffix":""},{"dropping-particle":"","family":"Kulaksız","given":"Gülnihal","non-dropping-particle":"","parse-names":false,"suffix":""},{"dropping-particle":"","family":"Ögüs","given":"Hamdi","non-dropping-particle":"","parse-names":false,"suffix":""},{"dropping-particle":"","family":"Dalkara","given":"Turgay","non-dropping-particle":"","parse-names":false,"suffix":""},{"dropping-particle":"","family":"Özer","given":"Nazmi","non-dropping-particle":"","parse-names":false,"suffix":""}],"container-title":"Movement Disorders","id":"ITEM-4","issue":"5","issued":{"date-parts":[["2004","5","1"]]},"page":"544-548","publisher":"Wiley-Blackwell","title":"Mitochondrial complex I and IV activities in leukocytes from patients with parkin mutations","type":"article-journal","volume":"19"},"uris":["http://www.mendeley.com/documents/?uuid=18b83b24-e2ba-4523-bdfc-0d55b7302f2d"]},{"id":"ITEM-5","itemData":{"DOI":"10.1002/ana.21492","ISSN":"03645134","author":[{"dropping-particle":"","family":"Mortiboys","given":"Heather","non-dropping-particle":"","parse-names":false,"suffix":""},{"dropping-particle":"","family":"Thomas","given":"Kelly Jean","non-dropping-particle":"","parse-names":false,"suffix":""},{"dropping-particle":"","family":"Koopman","given":"Werner J. H.","non-dropping-particle":"","parse-names":false,"suffix":""},{"dropping-particle":"","family":"Klaffke","given":"Stefanie","non-dropping-particle":"","parse-names":false,"suffix":""},{"dropping-particle":"","family":"Abou-Sleiman","given":"Patrick","non-dropping-particle":"","parse-names":false,"suffix":""},{"dropping-particle":"","family":"Olpin","given":"Simon","non-dropping-particle":"","parse-names":false,"suffix":""},{"dropping-particle":"","family":"Wood","given":"Nicholas W.","non-dropping-particle":"","parse-names":false,"suffix":""},{"dropping-particle":"","family":"Willems","given":"Peter H. G. M.","non-dropping-particle":"","parse-names":false,"suffix":""},{"dropping-particle":"","family":"Smeitink","given":"Jan A. M.","non-dropping-particle":"","parse-names":false,"suffix":""},{"dropping-particle":"","family":"Cookson","given":"Mark R.","non-dropping-particle":"","parse-names":false,"suffix":""},{"dropping-particle":"","family":"Bandmann","given":"Oliver","non-dropping-particle":"","parse-names":false,"suffix":""}],"container-title":"Annals of Neurology","id":"ITEM-5","issue":"5","issued":{"date-parts":[["2008","11","1"]]},"page":"555-565","publisher":"Wiley-Blackwell","title":"Mitochondrial function and morphology are impaired in &lt;i&gt;parkin&lt;/i&gt; -mutant fibroblasts","type":"article-journal","volume":"64"},"uris":["http://www.mendeley.com/documents/?uuid=2d21ca6a-43eb-3502-9cb5-96603a9515a0"]},{"id":"ITEM-6","itemData":{"DOI":"10.1093/hmg/ddi211","ISSN":"1460-2083","author":[{"dropping-particle":"","family":"Zhang","given":"Li","non-dropping-particle":"","parse-names":false,"suffix":""},{"dropping-particle":"","family":"Shimoji","given":"Mika","non-dropping-particle":"","parse-names":false,"suffix":""},{"dropping-particle":"","family":"Thomas","given":"Bobby","non-dropping-particle":"","parse-names":false,"suffix":""},{"dropping-particle":"","family":"Moore","given":"Darren J.","non-dropping-particle":"","parse-names":false,"suffix":""},{"dropping-particle":"","family":"Yu","given":"Seong-Woon","non-dropping-particle":"","parse-names":false,"suffix":""},{"dropping-particle":"","family":"Marupudi","given":"Neena I.","non-dropping-particle":"","parse-names":false,"suffix":""},{"dropping-particle":"","family":"Torp","given":"Reidun","non-dropping-particle":"","parse-names":false,"suffix":""},{"dropping-particle":"","family":"Torgner","given":"Ingeborg A.","non-dropping-particle":"","parse-names":false,"suffix":""},{"dropping-particle":"","family":"Ottersen","given":"Ole P.","non-dropping-particle":"","parse-names":false,"suffix":""},{"dropping-particle":"","family":"Dawson","given":"Ted M.","non-dropping-particle":"","parse-names":false,"suffix":""},{"dropping-particle":"","family":"Dawson","given":"Valina L.","non-dropping-particle":"","parse-names":false,"suffix":""}],"container-title":"Human Molecular Genetics","id":"ITEM-6","issue":"14","issued":{"date-parts":[["2005","7","15"]]},"page":"2063-2073","publisher":"Oxford University Press","title":"Mitochondrial localization of the Parkinson's disease related protein DJ-1: implications for pathogenesis","type":"article-journal","volume":"14"},"uris":["http://www.mendeley.com/documents/?uuid=83b91091-e441-4bf0-87f2-fe3fc932c720"]},{"id":"ITEM-7","itemData":{"DOI":"10.1073/pnas.0703219104","ISSN":"0027-8424","PMID":"17766438","abstract":"Parkinson's disease (PD) is a common neurodegenerative movement disorder. Whereas the majority of PD cases are sporadic, rare genetic defects have been linked to this prevalent movement disorder. Mutations in DJ-1 are associated with autosomal recessive early-onset PD. The exact biochemical function of DJ-1 has remained elusive. Here we report the generation of DJ-1 knockout (KO) mice by targeted deletion of exon 2 and exon 3. There is no observable degeneration of the central dopaminergic pathways, and the mice are anatomically and behaviorally similar to WT mice. Fluorescent Amplex red measurements of H(2)O(2) indicate that isolated mitochondria from young and old DJ-1 KO mice have a 2-fold increase in H(2)O(2). DJ-1 KO mice of 2-3 months of age have a 60% reduction in mitochondrial aconitase activity without compromising other mitochondrial processes. At an early age there are no differences in antioxidant enzymes, but in older mice there is an up-regulation of mitochondrial manganese superoxide dismutase and glutathione peroxidase and a 2-fold increase in mitochondrial glutathione peroxidase activity. Mutational analysis and mass spectrometry reveal that DJ-1 is an atypical peroxiredoxin-like peroxidase that scavenges H(2)O(2) through oxidation of Cys-106. In vivo there is an increase of DJ-1 oxidized at Cys-106 after 1-methyl-4-phenyl-1,2,3,6 tetrahydropyridine intoxication of WT mice. Taken together these data indicate that the DJ-1 KO mice have a deficit in scavenging mitochondrial H(2)O(2) due to the physiological function of DJ-1 as an atypical peroxiredoxin-like peroxidase.","author":[{"dropping-particle":"","family":"Andres-Mateos","given":"Eva","non-dropping-particle":"","parse-names":false,"suffix":""},{"dropping-particle":"","family":"Perier","given":"Celine","non-dropping-particle":"","parse-names":false,"suffix":""},{"dropping-particle":"","family":"Zhang","given":"Li","non-dropping-particle":"","parse-names":false,"suffix":""},{"dropping-particle":"","family":"Blanchard-Fillion","given":"Beatrice","non-dropping-particle":"","parse-names":false,"suffix":""},{"dropping-particle":"","family":"Greco","given":"Todd M","non-dropping-particle":"","parse-names":false,"suffix":""},{"dropping-particle":"","family":"Thomas","given":"Bobby","non-dropping-particle":"","parse-names":false,"suffix":""},{"dropping-particle":"","family":"Ko","given":"Han Seok","non-dropping-particle":"","parse-names":false,"suffix":""},{"dropping-particle":"","family":"Sasaki","given":"Masayuki","non-dropping-particle":"","parse-names":false,"suffix":""},{"dropping-particle":"","family":"Ischiropoulos","given":"Harry","non-dropping-particle":"","parse-names":false,"suffix":""},{"dropping-particle":"","family":"Przedborski","given":"Serge","non-dropping-particle":"","parse-names":false,"suffix":""},{"dropping-particle":"","family":"Dawson","given":"Ted M","non-dropping-particle":"","parse-names":false,"suffix":""},{"dropping-particle":"","family":"Dawson","given":"Valina L","non-dropping-particle":"","parse-names":false,"suffix":""}],"container-title":"Proceedings of the National Academy of Sciences of the United States of America","id":"ITEM-7","issue":"37","issued":{"date-parts":[["2007","9","11"]]},"page":"14807-12","publisher":"National Academy of Sciences","title":"DJ-1 gene deletion reveals that DJ-1 is an atypical peroxiredoxin-like peroxidase.","type":"article-journal","volume":"104"},"uris":["http://www.mendeley.com/documents/?uuid=aa8f350e-ec8f-3de3-a111-c66cdaf156dd"]},{"id":"ITEM-8","itemData":{"DOI":"10.1016/S0002-9440(10)64553-1","ISSN":"0002-9440","abstract":"Abnormal accumulation of the presynaptic protein α-synuclein has recently been implicated in the pathogenesis of Alzheimer’s and Parkinson’s diseases. Because neurodegeneration in these conditions might be associated with mitochondrial dysfunction and oxidative stress, the effects of α-synuclein were investigated in a hypothalamic neuronal cell line (GT1-7). α-Synuclein overexpression in these cells resulted in formation of α-synuclein-immunopositive inclusion-like structures and mitochondrial alterations accompanied by increased levels of free radicals and decreased secretion of gonadotropin-releasing hormone. These alterations were ameliorated by pretreatment with anti-oxidants such as vitamin E. Taken together these results suggest that abnormal accumulation of α-synuclein could lead to mitochondrial alterations that may result in oxidative stress and, eventually, cell death.","author":[{"dropping-particle":"","family":"Hsu","given":"Leigh J.","non-dropping-particle":"","parse-names":false,"suffix":""},{"dropping-particle":"","family":"Sagara","given":"Yutaka","non-dropping-particle":"","parse-names":false,"suffix":""},{"dropping-particle":"","family":"Arroyo","given":"Armando","non-dropping-particle":"","parse-names":false,"suffix":""},{"dropping-particle":"","family":"Rockenstein","given":"Edward","non-dropping-particle":"","parse-names":false,"suffix":""},{"dropping-particle":"","family":"Sisk","given":"Abbyann","non-dropping-particle":"","parse-names":false,"suffix":""},{"dropping-particle":"","family":"Mallory","given":"Margaret","non-dropping-particle":"","parse-names":false,"suffix":""},{"dropping-particle":"","family":"Wong","given":"Jeff","non-dropping-particle":"","parse-names":false,"suffix":""},{"dropping-particle":"","family":"Takenouchi","given":"Takato","non-dropping-particle":"","parse-names":false,"suffix":""},{"dropping-particle":"","family":"Hashimoto","given":"Makoto","non-dropping-particle":"","parse-names":false,"suffix":""},{"dropping-particle":"","family":"Masliah","given":"Eliezer","non-dropping-particle":"","parse-names":false,"suffix":""}],"container-title":"The American Journal of Pathology","id":"ITEM-8","issue":"2","issued":{"date-parts":[["2000","8","1"]]},"page":"401-410","publisher":"Elsevier","title":"α-Synuclein Promotes Mitochondrial Deficit and Oxidative Stress","type":"article-journal","volume":"157"},"uris":["http://www.mendeley.com/documents/?uuid=7abe4464-01f0-3e17-af50-b12be388da95"]}],"mendeley":{"formattedCitation":"&lt;sup&gt;249–256&lt;/sup&gt;","plainTextFormattedCitation":"249–256","previouslyFormattedCitation":"&lt;sup&gt;249–256&lt;/sup&gt;"},"properties":{"noteIndex":0},"schema":"https://github.com/citation-style-language/schema/raw/master/csl-citation.json"}</w:instrText>
      </w:r>
      <w:r w:rsidR="004056BF" w:rsidRPr="0082680A">
        <w:rPr>
          <w:lang w:val="en-GB"/>
        </w:rPr>
        <w:fldChar w:fldCharType="separate"/>
      </w:r>
      <w:r w:rsidR="00426B19" w:rsidRPr="00426B19">
        <w:rPr>
          <w:noProof/>
          <w:vertAlign w:val="superscript"/>
          <w:lang w:val="en-GB"/>
        </w:rPr>
        <w:t>249–256</w:t>
      </w:r>
      <w:r w:rsidR="004056BF" w:rsidRPr="0082680A">
        <w:rPr>
          <w:lang w:val="en-GB"/>
        </w:rPr>
        <w:fldChar w:fldCharType="end"/>
      </w:r>
      <w:r w:rsidRPr="0082680A">
        <w:rPr>
          <w:lang w:val="en-GB"/>
        </w:rPr>
        <w:t xml:space="preserve">. Rescuing mitochondrial function has subsequently become a significant focus of PD treatment development </w:t>
      </w:r>
      <w:r w:rsidR="004056BF" w:rsidRPr="0082680A">
        <w:rPr>
          <w:lang w:val="en-GB"/>
        </w:rPr>
        <w:fldChar w:fldCharType="begin" w:fldLock="1"/>
      </w:r>
      <w:r w:rsidR="000507BA">
        <w:rPr>
          <w:lang w:val="en-GB"/>
        </w:rPr>
        <w:instrText>ADDIN CSL_CITATION {"citationItems":[{"id":"ITEM-1","itemData":{"DOI":"10.1016/j.celrep.2018.05.009","ISSN":"22111247","PMID":"29874584","abstract":"While mitochondrial dysfunction is emerging as key in Parkinson's disease (PD), a central question remains whether mitochondria are actual disease drivers and whether boosting mitochondrial biogenesis and function ameliorates pathology. We address these questions using patient-derived induced pluripotent stem cells and Drosophila models of GBA-related PD (GBA-PD), the most common PD genetic risk. Patient neurons display stress responses, mitochondrial demise, and changes in NAD+ metabolism. NAD+ precursors have been proposed to ameliorate age-related metabolic decline and disease. We report that increasing NAD+ via the NAD+ precursor nicotinamide riboside (NR) significantly ameliorates mitochondrial function in patient neurons. Human neurons require nicotinamide phosphoribosyltransferase (NAMPT) to maintain the NAD+ pool and utilize NRK1 to synthesize NAD+ from NAD+ precursors. Remarkably, NR prevents the age-related dopaminergic neuronal loss and motor decline in fly models of GBA-PD. Our findings suggest NR as a viable clinical avenue for neuroprotection in PD and other neurodegenerative diseases.","author":[{"dropping-particle":"","family":"Schöndorf","given":"David C.","non-dropping-particle":"","parse-names":false,"suffix":""},{"dropping-particle":"","family":"Ivanyuk","given":"Dina","non-dropping-particle":"","parse-names":false,"suffix":""},{"dropping-particle":"","family":"Baden","given":"Pascale","non-dropping-particle":"","parse-names":false,"suffix":""},{"dropping-particle":"","family":"Sanchez-Martinez","given":"Alvaro","non-dropping-particle":"","parse-names":false,"suffix":""},{"dropping-particle":"","family":"Cicco","given":"Silvia","non-dropping-particle":"De","parse-names":false,"suffix":""},{"dropping-particle":"","family":"Yu","given":"Cong","non-dropping-particle":"","parse-names":false,"suffix":""},{"dropping-particle":"","family":"Giunta","given":"Ivana","non-dropping-particle":"","parse-names":false,"suffix":""},{"dropping-particle":"","family":"Schwarz","given":"Lukas K.","non-dropping-particle":"","parse-names":false,"suffix":""},{"dropping-particle":"","family":"Napoli","given":"Gabriele","non-dropping-particle":"Di","parse-names":false,"suffix":""},{"dropping-particle":"","family":"Panagiotakopoulou","given":"Vasiliki","non-dropping-particle":"","parse-names":false,"suffix":""},{"dropping-particle":"","family":"Nestel","given":"Sigrun","non-dropping-particle":"","parse-names":false,"suffix":""},{"dropping-particle":"","family":"Keatinge","given":"Marcus","non-dropping-particle":"","parse-names":false,"suffix":""},{"dropping-particle":"","family":"Pruszak","given":"Jan","non-dropping-particle":"","parse-names":false,"suffix":""},{"dropping-particle":"","family":"Bandmann","given":"Oliver","non-dropping-particle":"","parse-names":false,"suffix":""},{"dropping-particle":"","family":"Heimrich","given":"Bernd","non-dropping-particle":"","parse-names":false,"suffix":""},{"dropping-particle":"","family":"Gasser","given":"Thomas","non-dropping-particle":"","parse-names":false,"suffix":""},{"dropping-particle":"","family":"Whitworth","given":"Alexander J.","non-dropping-particle":"","parse-names":false,"suffix":""},{"dropping-particle":"","family":"Deleidi","given":"Michela","non-dropping-particle":"","parse-names":false,"suffix":""}],"container-title":"Cell Reports","id":"ITEM-1","issue":"10","issued":{"date-parts":[["2018","6","5"]]},"page":"2976-2988","title":"The NAD+ Precursor Nicotinamide Riboside Rescues Mitochondrial Defects and Neuronal Loss in iPSC and Fly Models of Parkinson’s Disease","type":"article-journal","volume":"23"},"uris":["http://www.mendeley.com/documents/?uuid=3e84d5cb-a12a-304a-b6c7-a60ca3ae3fc6"]},{"id":"ITEM-2","itemData":{"DOI":"10.1126/scitranslmed.3003985","ISSN":"1946-6234","PMID":"22764206","abstract":"Parkinson's disease (PD) is a common neurodegenerative disorder caused by genetic and environmental factors that results in degeneration of the nigrostriatal dopaminergic pathway in the brain. We analyzed neural cells generated from induced pluripotent stem cells (iPSCs) derived from PD patients and presymptomatic individuals carrying mutations in the PINK1 (PTEN-induced putative kinase 1) and LRRK2 (leucine-rich repeat kinase 2) genes, and compared them to those of healthy control subjects. We measured several aspects of mitochondrial responses in the iPSC-derived neural cells including production of reactive oxygen species, mitochondrial respiration, proton leakage, and intraneuronal movement of mitochondria. Cellular vulnerability associated with mitochondrial dysfunction in iPSC-derived neural cells from familial PD patients and at-risk individuals could be rescued with coenzyme Q(10), rapamycin, or the LRRK2 kinase inhibitor GW5074. Analysis of mitochondrial responses in iPSC-derived neural cells from PD patients carrying different mutations provides insight into convergence of cellular disease mechanisms between different familial forms of PD and highlights the importance of oxidative stress and mitochondrial dysfunction in this neurodegenerative disease.","author":[{"dropping-particle":"","family":"Cooper","given":"O.","non-dropping-particle":"","parse-names":false,"suffix":""},{"dropping-particle":"","family":"Seo","given":"H.","non-dropping-particle":"","parse-names":false,"suffix":""},{"dropping-particle":"","family":"Andrabi","given":"S.","non-dropping-particle":"","parse-names":false,"suffix":""},{"dropping-particle":"","family":"Guardia-Laguarta","given":"C.","non-dropping-particle":"","parse-names":false,"suffix":""},{"dropping-particle":"","family":"Graziotto","given":"J.","non-dropping-particle":"","parse-names":false,"suffix":""},{"dropping-particle":"","family":"Sundberg","given":"M.","non-dropping-particle":"","parse-names":false,"suffix":""},{"dropping-particle":"","family":"McLean","given":"J. R.","non-dropping-particle":"","parse-names":false,"suffix":""},{"dropping-particle":"","family":"Carrillo-Reid","given":"L.","non-dropping-particle":"","parse-names":false,"suffix":""},{"dropping-particle":"","family":"Xie","given":"Z.","non-dropping-particle":"","parse-names":false,"suffix":""},{"dropping-particle":"","family":"Osborn","given":"T.","non-dropping-particle":"","parse-names":false,"suffix":""},{"dropping-particle":"","family":"Hargus","given":"G.","non-dropping-particle":"","parse-names":false,"suffix":""},{"dropping-particle":"","family":"Deleidi","given":"M.","non-dropping-particle":"","parse-names":false,"suffix":""},{"dropping-particle":"","family":"Lawson","given":"T.","non-dropping-particle":"","parse-names":false,"suffix":""},{"dropping-particle":"","family":"Bogetofte","given":"H.","non-dropping-particle":"","parse-names":false,"suffix":""},{"dropping-particle":"","family":"Perez-Torres","given":"E.","non-dropping-particle":"","parse-names":false,"suffix":""},{"dropping-particle":"","family":"Clark","given":"L.","non-dropping-particle":"","parse-names":false,"suffix":""},{"dropping-particle":"","family":"Moskowitz","given":"C.","non-dropping-particle":"","parse-names":false,"suffix":""},{"dropping-particle":"","family":"Mazzulli","given":"J.","non-dropping-particle":"","parse-names":false,"suffix":""},{"dropping-particle":"","family":"Chen","given":"L.","non-dropping-particle":"","parse-names":false,"suffix":""},{"dropping-particle":"","family":"Volpicelli-Daley","given":"L.","non-dropping-particle":"","parse-names":false,"suffix":""},{"dropping-particle":"","family":"Romero","given":"N.","non-dropping-particle":"","parse-names":false,"suffix":""},{"dropping-particle":"","family":"Jiang","given":"H.","non-dropping-particle":"","parse-names":false,"suffix":""},{"dropping-particle":"","family":"Uitti","given":"R. J.","non-dropping-particle":"","parse-names":false,"suffix":""},{"dropping-particle":"","family":"Huang","given":"Z.","non-dropping-particle":"","parse-names":false,"suffix":""},{"dropping-particle":"","family":"Opala","given":"G.","non-dropping-particle":"","parse-names":false,"suffix":""},{"dropping-particle":"","family":"Scarffe","given":"L. A.","non-dropping-particle":"","parse-names":false,"suffix":""},{"dropping-particle":"","family":"Dawson","given":"V. L.","non-dropping-particle":"","parse-names":false,"suffix":""},{"dropping-particle":"","family":"Klein","given":"C.","non-dropping-particle":"","parse-names":false,"suffix":""},{"dropping-particle":"","family":"Feng","given":"J.","non-dropping-particle":"","parse-names":false,"suffix":""},{"dropping-particle":"","family":"Ross","given":"O. A.","non-dropping-particle":"","parse-names":false,"suffix":""},{"dropping-particle":"","family":"Trojanowski","given":"J. Q.","non-dropping-particle":"","parse-names":false,"suffix":""},{"dropping-particle":"","family":"Lee","given":"V. M.- Y.","non-dropping-particle":"","parse-names":false,"suffix":""},{"dropping-particle":"","family":"Marder","given":"K.","non-dropping-particle":"","parse-names":false,"suffix":""},{"dropping-particle":"","family":"Surmeier","given":"D. J.","non-dropping-particle":"","parse-names":false,"suffix":""},{"dropping-particle":"","family":"Wszolek","given":"Z. K.","non-dropping-particle":"","parse-names":false,"suffix":""},{"dropping-particle":"","family":"Przedborski","given":"S.","non-dropping-particle":"","parse-names":false,"suffix":""},{"dropping-particle":"","family":"Krainc","given":"D.","non-dropping-particle":"","parse-names":false,"suffix":""},{"dropping-particle":"","family":"Dawson","given":"T. M.","non-dropping-particle":"","parse-names":false,"suffix":""},{"dropping-particle":"","family":"Isacson","given":"O.","non-dropping-particle":"","parse-names":false,"suffix":""}],"container-title":"Science Translational Medicine","id":"ITEM-2","issue":"141","issued":{"date-parts":[["2012","7","4"]]},"page":"141ra90-141ra90","title":"Pharmacological Rescue of Mitochondrial Deficits in iPSC-Derived Neural Cells from Patients with Familial Parkinson's Disease","type":"article-journal","volume":"4"},"uris":["http://www.mendeley.com/documents/?uuid=74b552d0-0590-3828-9ef6-9d041d502fc0"]},{"id":"ITEM-3","itemData":{"DOI":"10.1016/J.BBADIS.2013.09.007","ISSN":"0925-4439","abstract":"Parkinson's disease is a progressive neurodegenerative disease in the elderly, and no cure or disease-modifying therapies exist. Several lines of evidence suggest that mitochondrial dysfunction and oxidative stress have a central role in the dopaminergic neurodegeneration of Parkinson's disease. In this context, mitochondria-targeted therapies that improve mitochondrial function may have great promise in the prevention and treatment of Parkinson's disease. In this review, we discuss the recent developments in mitochondria-targeted antioxidants and their potential beneficial effects as a therapy for ameliorating mitochondrial dysfunction in Parkinson's disease. This article is part of a Special Issue entitled: Misfolded Proteins, Mitochondrial Dysfunction, and Neurodegenerative Diseases.","author":[{"dropping-particle":"","family":"Jin","given":"Huajun","non-dropping-particle":"","parse-names":false,"suffix":""},{"dropping-particle":"","family":"Kanthasamy","given":"Arthi Anumantha G.","non-dropping-particle":"","parse-names":false,"suffix":""},{"dropping-particle":"","family":"Ghosh","given":"Anamitra","non-dropping-particle":"","parse-names":false,"suffix":""},{"dropping-particle":"","family":"Anantharam","given":"Vellareddy","non-dropping-particle":"","parse-names":false,"suffix":""},{"dropping-particle":"","family":"Kalyanaraman","given":"Balaraman","non-dropping-particle":"","parse-names":false,"suffix":""},{"dropping-particle":"","family":"Kanthasamy","given":"Arthi Anumantha G.","non-dropping-particle":"","parse-names":false,"suffix":""}],"container-title":"Biochimica et Biophysica Acta (BBA) - Molecular Basis of Disease","id":"ITEM-3","issue":"8","issued":{"date-parts":[["2014","8","1"]]},"page":"1282-1294","publisher":"Elsevier","title":"Mitochondria-targeted antioxidants for treatment of Parkinson's disease: Preclinical and clinical outcomes","type":"article-journal","volume":"1842"},"uris":["http://www.mendeley.com/documents/?uuid=9528bd21-8434-49ca-bb3c-6edce85062b9"]}],"mendeley":{"formattedCitation":"&lt;sup&gt;257–259&lt;/sup&gt;","plainTextFormattedCitation":"257–259","previouslyFormattedCitation":"&lt;sup&gt;257–259&lt;/sup&gt;"},"properties":{"noteIndex":0},"schema":"https://github.com/citation-style-language/schema/raw/master/csl-citation.json"}</w:instrText>
      </w:r>
      <w:r w:rsidR="004056BF" w:rsidRPr="0082680A">
        <w:rPr>
          <w:lang w:val="en-GB"/>
        </w:rPr>
        <w:fldChar w:fldCharType="separate"/>
      </w:r>
      <w:r w:rsidR="00426B19" w:rsidRPr="00426B19">
        <w:rPr>
          <w:noProof/>
          <w:vertAlign w:val="superscript"/>
          <w:lang w:val="en-GB"/>
        </w:rPr>
        <w:t>257–259</w:t>
      </w:r>
      <w:r w:rsidR="004056BF" w:rsidRPr="0082680A">
        <w:rPr>
          <w:lang w:val="en-GB"/>
        </w:rPr>
        <w:fldChar w:fldCharType="end"/>
      </w:r>
      <w:r w:rsidR="00BA3B65" w:rsidRPr="0082680A">
        <w:rPr>
          <w:lang w:val="en-GB"/>
        </w:rPr>
        <w:t>.</w:t>
      </w:r>
      <w:r w:rsidRPr="0082680A">
        <w:rPr>
          <w:lang w:val="en-GB"/>
        </w:rPr>
        <w:t xml:space="preserve"> </w:t>
      </w:r>
    </w:p>
    <w:p w14:paraId="096F8519" w14:textId="77777777" w:rsidR="000D27A7" w:rsidRPr="00691215" w:rsidRDefault="000D27A7" w:rsidP="00691215">
      <w:pPr>
        <w:pStyle w:val="Heading3"/>
      </w:pPr>
      <w:bookmarkStart w:id="218" w:name="_4dpkznsc6hst" w:colFirst="0" w:colLast="0"/>
      <w:bookmarkStart w:id="219" w:name="_Toc3211389"/>
      <w:bookmarkEnd w:id="218"/>
      <w:r w:rsidRPr="00691215">
        <w:lastRenderedPageBreak/>
        <w:t>Genetics</w:t>
      </w:r>
      <w:bookmarkEnd w:id="219"/>
    </w:p>
    <w:p w14:paraId="1651C07D" w14:textId="0B15AF23" w:rsidR="000D27A7" w:rsidRPr="0082680A" w:rsidRDefault="000D27A7" w:rsidP="000D27A7">
      <w:pPr>
        <w:rPr>
          <w:lang w:val="en-GB"/>
        </w:rPr>
      </w:pPr>
      <w:r w:rsidRPr="0082680A">
        <w:rPr>
          <w:lang w:val="en-GB"/>
        </w:rPr>
        <w:t xml:space="preserve">For many decades, the genetics of PD was not well understood, mainly because consanguineous PD families are so rare. The application of linkage analysis to such families throughout the late 20th Century and early 21st Century allowed for the discovery of twenty-three regions of the genome (named PARK1-23) found to exhibit significant risk for PD. Only ~10% of PD cases, however, show mendelian inheritance patterns. Some genes are autosomal dominant (e.g. </w:t>
      </w:r>
      <w:r w:rsidRPr="0082680A">
        <w:rPr>
          <w:i/>
          <w:lang w:val="en-GB"/>
        </w:rPr>
        <w:t>SNCA</w:t>
      </w:r>
      <w:r w:rsidRPr="0082680A">
        <w:rPr>
          <w:lang w:val="en-GB"/>
        </w:rPr>
        <w:t xml:space="preserve">, </w:t>
      </w:r>
      <w:r w:rsidRPr="0082680A">
        <w:rPr>
          <w:i/>
          <w:lang w:val="en-GB"/>
        </w:rPr>
        <w:t>LRRK2</w:t>
      </w:r>
      <w:r w:rsidRPr="0082680A">
        <w:rPr>
          <w:lang w:val="en-GB"/>
        </w:rPr>
        <w:t xml:space="preserve">, and </w:t>
      </w:r>
      <w:r w:rsidRPr="0082680A">
        <w:rPr>
          <w:i/>
          <w:lang w:val="en-GB"/>
        </w:rPr>
        <w:t>VPS35</w:t>
      </w:r>
      <w:r w:rsidRPr="0082680A">
        <w:rPr>
          <w:lang w:val="en-GB"/>
        </w:rPr>
        <w:t xml:space="preserve">), whereas others are autosomal recessive (e.g. </w:t>
      </w:r>
      <w:r w:rsidR="00706027" w:rsidRPr="0082680A">
        <w:rPr>
          <w:i/>
          <w:lang w:val="en-GB"/>
        </w:rPr>
        <w:t>PRKN</w:t>
      </w:r>
      <w:r w:rsidRPr="0082680A">
        <w:rPr>
          <w:lang w:val="en-GB"/>
        </w:rPr>
        <w:t xml:space="preserve">, </w:t>
      </w:r>
      <w:r w:rsidRPr="0082680A">
        <w:rPr>
          <w:i/>
          <w:lang w:val="en-GB"/>
        </w:rPr>
        <w:t>DJ-1</w:t>
      </w:r>
      <w:r w:rsidRPr="0082680A">
        <w:rPr>
          <w:lang w:val="en-GB"/>
        </w:rPr>
        <w:t xml:space="preserve">, </w:t>
      </w:r>
      <w:r w:rsidRPr="0082680A">
        <w:rPr>
          <w:i/>
          <w:lang w:val="en-GB"/>
        </w:rPr>
        <w:t>PINK1</w:t>
      </w:r>
      <w:r w:rsidRPr="0082680A">
        <w:rPr>
          <w:lang w:val="en-GB"/>
        </w:rPr>
        <w:t xml:space="preserve">, and </w:t>
      </w:r>
      <w:r w:rsidRPr="0082680A">
        <w:rPr>
          <w:i/>
          <w:lang w:val="en-GB"/>
        </w:rPr>
        <w:t>DNAJC6</w:t>
      </w:r>
      <w:r w:rsidRPr="0082680A">
        <w:rPr>
          <w:lang w:val="en-GB"/>
        </w:rPr>
        <w:t>). Here we will briefly introduce 7 of the major genes associated with PD.</w:t>
      </w:r>
    </w:p>
    <w:p w14:paraId="59523BEC" w14:textId="77777777" w:rsidR="000D27A7" w:rsidRPr="0082680A" w:rsidRDefault="000D27A7" w:rsidP="00842FD0">
      <w:pPr>
        <w:pStyle w:val="Heading4"/>
        <w:rPr>
          <w:lang w:val="en-GB"/>
        </w:rPr>
      </w:pPr>
      <w:bookmarkStart w:id="220" w:name="_11h4roo9vavu" w:colFirst="0" w:colLast="0"/>
      <w:bookmarkStart w:id="221" w:name="_Toc3211390"/>
      <w:bookmarkEnd w:id="220"/>
      <w:r w:rsidRPr="0082680A">
        <w:rPr>
          <w:lang w:val="en-GB"/>
        </w:rPr>
        <w:t>SNCA (PARK1/PARK4)</w:t>
      </w:r>
      <w:bookmarkEnd w:id="221"/>
    </w:p>
    <w:p w14:paraId="42D1B5A2" w14:textId="0CE07B71" w:rsidR="000D27A7" w:rsidRPr="0082680A" w:rsidRDefault="000D27A7" w:rsidP="000D27A7">
      <w:pPr>
        <w:rPr>
          <w:lang w:val="en-GB"/>
        </w:rPr>
      </w:pPr>
      <w:r w:rsidRPr="0082680A">
        <w:rPr>
          <w:lang w:val="en-GB"/>
        </w:rPr>
        <w:t>The gene encoding alpha-synuclein (</w:t>
      </w:r>
      <w:r w:rsidRPr="0082680A">
        <w:rPr>
          <w:i/>
          <w:lang w:val="en-GB"/>
        </w:rPr>
        <w:t>SNCA</w:t>
      </w:r>
      <w:r w:rsidRPr="0082680A">
        <w:rPr>
          <w:lang w:val="en-GB"/>
        </w:rPr>
        <w:t xml:space="preserve">) was the first to be identified as a causal gene in PD patients. A pathogenic missense mutation (p.Ala53Thr) was detected in a large Italian family studied over 11 generations </w:t>
      </w:r>
      <w:r w:rsidR="00451C47" w:rsidRPr="0082680A">
        <w:rPr>
          <w:lang w:val="en-GB"/>
        </w:rPr>
        <w:fldChar w:fldCharType="begin" w:fldLock="1"/>
      </w:r>
      <w:r w:rsidR="000507BA">
        <w:rPr>
          <w:lang w:val="en-GB"/>
        </w:rPr>
        <w:instrText>ADDIN CSL_CITATION {"citationItems":[{"id":"ITEM-1","itemData":{"DOI":"10.1126/science.276.5321.2045","ISSN":"0036-8075","PMID":"9197268","abstract":"Parkinson's disease (PD) is a common neurodegenerative disorder with a lifetime incidence of approximately 2 percent. A pattern of familial aggregation has been documented for the disorder, and it was recently reported that a PD susceptibility gene in a large Italian kindred is located on the long arm of human chromosome 4. A mutation was identified in the alpha-synuclein gene, which codes for a presynaptic protein thought to be involved in neuronal plasticity, in the Italian kindred and in three unrelated families of Greek origin with autosomal dominant inheritance for the PD phenotype. This finding of a specific molecular alteration associated with PD will facilitate the detailed understanding of the pathophysiology of the disorder.","author":[{"dropping-particle":"","family":"Polymeropoulos","given":"M H","non-dropping-particle":"","parse-names":false,"suffix":""},{"dropping-particle":"","family":"Lavedan","given":"C","non-dropping-particle":"","parse-names":false,"suffix":""},{"dropping-particle":"","family":"Leroy","given":"E","non-dropping-particle":"","parse-names":false,"suffix":""},{"dropping-particle":"","family":"Ide","given":"S E","non-dropping-particle":"","parse-names":false,"suffix":""},{"dropping-particle":"","family":"Dehejia","given":"A","non-dropping-particle":"","parse-names":false,"suffix":""},{"dropping-particle":"","family":"Dutra","given":"A","non-dropping-particle":"","parse-names":false,"suffix":""},{"dropping-particle":"","family":"Pike","given":"B","non-dropping-particle":"","parse-names":false,"suffix":""},{"dropping-particle":"","family":"Root","given":"H","non-dropping-particle":"","parse-names":false,"suffix":""},{"dropping-particle":"","family":"Rubenstein","given":"J","non-dropping-particle":"","parse-names":false,"suffix":""},{"dropping-particle":"","family":"Boyer","given":"R","non-dropping-particle":"","parse-names":false,"suffix":""},{"dropping-particle":"","family":"Stenroos","given":"E S","non-dropping-particle":"","parse-names":false,"suffix":""},{"dropping-particle":"","family":"Chandrasekharappa","given":"S","non-dropping-particle":"","parse-names":false,"suffix":""},{"dropping-particle":"","family":"Athanassiadou","given":"A","non-dropping-particle":"","parse-names":false,"suffix":""},{"dropping-particle":"","family":"Papapetropoulos","given":"T","non-dropping-particle":"","parse-names":false,"suffix":""},{"dropping-particle":"","family":"Johnson","given":"W G","non-dropping-particle":"","parse-names":false,"suffix":""},{"dropping-particle":"","family":"Lazzarini","given":"A M","non-dropping-particle":"","parse-names":false,"suffix":""},{"dropping-particle":"","family":"Duvoisin","given":"R C","non-dropping-particle":"","parse-names":false,"suffix":""},{"dropping-particle":"","family":"Iorio","given":"G","non-dropping-particle":"Di","parse-names":false,"suffix":""},{"dropping-particle":"","family":"Golbe","given":"L I","non-dropping-particle":"","parse-names":false,"suffix":""},{"dropping-particle":"","family":"Nussbaum","given":"R L","non-dropping-particle":"","parse-names":false,"suffix":""}],"container-title":"Science (New York, N.Y.)","id":"ITEM-1","issue":"5321","issued":{"date-parts":[["1997","6","27"]]},"page":"2045-7","publisher":"American Association for the Advancement of Science","title":"Mutation in the alpha-synuclein gene identified in families with Parkinson's disease.","type":"article-journal","volume":"276"},"uris":["http://www.mendeley.com/documents/?uuid=903f546d-89b8-307e-9b21-cd5367fd596f"]}],"mendeley":{"formattedCitation":"&lt;sup&gt;260&lt;/sup&gt;","plainTextFormattedCitation":"260","previouslyFormattedCitation":"&lt;sup&gt;260&lt;/sup&gt;"},"properties":{"noteIndex":0},"schema":"https://github.com/citation-style-language/schema/raw/master/csl-citation.json"}</w:instrText>
      </w:r>
      <w:r w:rsidR="00451C47" w:rsidRPr="0082680A">
        <w:rPr>
          <w:lang w:val="en-GB"/>
        </w:rPr>
        <w:fldChar w:fldCharType="separate"/>
      </w:r>
      <w:r w:rsidR="00426B19" w:rsidRPr="00426B19">
        <w:rPr>
          <w:noProof/>
          <w:vertAlign w:val="superscript"/>
          <w:lang w:val="en-GB"/>
        </w:rPr>
        <w:t>260</w:t>
      </w:r>
      <w:r w:rsidR="00451C47" w:rsidRPr="0082680A">
        <w:rPr>
          <w:lang w:val="en-GB"/>
        </w:rPr>
        <w:fldChar w:fldCharType="end"/>
      </w:r>
      <w:r w:rsidRPr="0082680A">
        <w:rPr>
          <w:lang w:val="en-GB"/>
        </w:rPr>
        <w:t xml:space="preserve">. In subsequent years, more autosomal dominant mutations in </w:t>
      </w:r>
      <w:r w:rsidRPr="0082680A">
        <w:rPr>
          <w:i/>
          <w:lang w:val="en-GB"/>
        </w:rPr>
        <w:t>SCNA</w:t>
      </w:r>
      <w:r w:rsidRPr="0082680A">
        <w:rPr>
          <w:lang w:val="en-GB"/>
        </w:rPr>
        <w:t xml:space="preserve"> have been identified </w:t>
      </w:r>
      <w:r w:rsidR="00451C47" w:rsidRPr="0082680A">
        <w:rPr>
          <w:lang w:val="en-GB"/>
        </w:rPr>
        <w:fldChar w:fldCharType="begin" w:fldLock="1"/>
      </w:r>
      <w:r w:rsidR="000507BA">
        <w:rPr>
          <w:lang w:val="en-GB"/>
        </w:rPr>
        <w:instrText>ADDIN CSL_CITATION {"citationItems":[{"id":"ITEM-1","itemData":{"DOI":"10.1038/ng0298-106","ISSN":"1061-4036","abstract":"AlaSOPro mutation in the gene encoding α-synuclein in Parkinson's disease","author":[{"dropping-particle":"","family":"Krüger","given":"Rejko","non-dropping-particle":"","parse-names":false,"suffix":""},{"dropping-particle":"","family":"Kuhn","given":"Wilfried","non-dropping-particle":"","parse-names":false,"suffix":""},{"dropping-particle":"","family":"Müller","given":"Thomas","non-dropping-particle":"","parse-names":false,"suffix":""},{"dropping-particle":"","family":"Woitalla","given":"Dirk","non-dropping-particle":"","parse-names":false,"suffix":""},{"dropping-particle":"","family":"Graeber","given":"Manuel","non-dropping-particle":"","parse-names":false,"suffix":""},{"dropping-particle":"","family":"Kösel","given":"Sigfried","non-dropping-particle":"","parse-names":false,"suffix":""},{"dropping-particle":"","family":"Przuntek","given":"Horst","non-dropping-particle":"","parse-names":false,"suffix":""},{"dropping-particle":"","family":"Epplen","given":"Jörg T.","non-dropping-particle":"","parse-names":false,"suffix":""},{"dropping-particle":"","family":"Schols","given":"Ludger","non-dropping-particle":"","parse-names":false,"suffix":""},{"dropping-particle":"","family":"Riess","given":"Olaf","non-dropping-particle":"","parse-names":false,"suffix":""}],"container-title":"Nature Genetics","id":"ITEM-1","issue":"2","issued":{"date-parts":[["1998","2","1"]]},"page":"106-108","publisher":"Nature Publishing Group","title":"AlaSOPro mutation in the gene encoding α-synuclein in Parkinson's disease","type":"article-journal","volume":"18"},"uris":["http://www.mendeley.com/documents/?uuid=d17e6df6-e765-4ca5-851b-def70fdd1d1e"]},{"id":"ITEM-2","itemData":{"DOI":"10.1002/ana.10795","ISSN":"03645134","author":[{"dropping-particle":"","family":"Zarranz","given":"Juan J.","non-dropping-particle":"","parse-names":false,"suffix":""},{"dropping-particle":"","family":"Alegre","given":"Javier","non-dropping-particle":"","parse-names":false,"suffix":""},{"dropping-particle":"","family":"Gómez-Esteban","given":"Juan C.","non-dropping-particle":"","parse-names":false,"suffix":""},{"dropping-particle":"","family":"Lezcano","given":"Elena","non-dropping-particle":"","parse-names":false,"suffix":""},{"dropping-particle":"","family":"Ros","given":"Raquel","non-dropping-particle":"","parse-names":false,"suffix":""},{"dropping-particle":"","family":"Ampuero","given":"Israel","non-dropping-particle":"","parse-names":false,"suffix":""},{"dropping-particle":"","family":"Vidal","given":"Lídice","non-dropping-particle":"","parse-names":false,"suffix":""},{"dropping-particle":"","family":"Hoenicka","given":"Janet","non-dropping-particle":"","parse-names":false,"suffix":""},{"dropping-particle":"","family":"Rodriguez","given":"Olga","non-dropping-particle":"","parse-names":false,"suffix":""},{"dropping-particle":"","family":"Atarés","given":"Begoña","non-dropping-particle":"","parse-names":false,"suffix":""},{"dropping-particle":"","family":"Llorens","given":"Verónica","non-dropping-particle":"","parse-names":false,"suffix":""},{"dropping-particle":"","family":"Tortosa","given":"Estrella Gomez","non-dropping-particle":"","parse-names":false,"suffix":""},{"dropping-particle":"","family":"Ser","given":"Teodoro","non-dropping-particle":"del","parse-names":false,"suffix":""},{"dropping-particle":"","family":"Muñoz","given":"David G.","non-dropping-particle":"","parse-names":false,"suffix":""},{"dropping-particle":"","family":"Yebenes","given":"Justo G.","non-dropping-particle":"de","parse-names":false,"suffix":""}],"container-title":"Annals of Neurology","id":"ITEM-2","issue":"2","issued":{"date-parts":[["2004","2","1"]]},"page":"164-173","publisher":"Wiley-Blackwell","title":"The new mutation, E46K, of α-synuclein causes parkinson and Lewy body dementia","type":"article-journal","volume":"55"},"uris":["http://www.mendeley.com/documents/?uuid=7c3e6a5c-23c4-4f7e-9964-eca31c9cebcc"]},{"id":"ITEM-3","itemData":{"DOI":"10.1002/ana.23894","ISSN":"03645134","author":[{"dropping-particle":"","family":"Lesage","given":"Suzanne","non-dropping-particle":"","parse-names":false,"suffix":""},{"dropping-particle":"","family":"Anheim","given":"Mathieu","non-dropping-particle":"","parse-names":false,"suffix":""},{"dropping-particle":"","family":"Letournel","given":"Franck","non-dropping-particle":"","parse-names":false,"suffix":""},{"dropping-particle":"","family":"Bousset","given":"Luc","non-dropping-particle":"","parse-names":false,"suffix":""},{"dropping-particle":"","family":"Honoré","given":"Aurélie","non-dropping-particle":"","parse-names":false,"suffix":""},{"dropping-particle":"","family":"Rozas","given":"Nelly","non-dropping-particle":"","parse-names":false,"suffix":""},{"dropping-particle":"","family":"Pieri","given":"Laura","non-dropping-particle":"","parse-names":false,"suffix":""},{"dropping-particle":"","family":"Madiona","given":"Karine","non-dropping-particle":"","parse-names":false,"suffix":""},{"dropping-particle":"","family":"Dürr","given":"Alexandra","non-dropping-particle":"","parse-names":false,"suffix":""},{"dropping-particle":"","family":"Melki","given":"Ronald","non-dropping-particle":"","parse-names":false,"suffix":""},{"dropping-particle":"","family":"Verny","given":"Christophe","non-dropping-particle":"","parse-names":false,"suffix":""},{"dropping-particle":"","family":"Brice","given":"Alexis","non-dropping-particle":"","parse-names":false,"suffix":""}],"container-title":"Annals of Neurology","id":"ITEM-3","issue":"4","issued":{"date-parts":[["2013","4","1"]]},"page":"459-471","publisher":"Wiley-Blackwell","title":"G51D α-synuclein mutation causes a novel Parkinsonian-pyramidal syndrome","type":"article-journal","volume":"73"},"uris":["http://www.mendeley.com/documents/?uuid=2552a317-8f4d-4236-ab8d-efba114918ef"]},{"id":"ITEM-4","itemData":{"DOI":"10.1007/s00401-013-1096-7","ISSN":"0001-6322","author":[{"dropping-particle":"","family":"Kiely","given":"Aoife P.","non-dropping-particle":"","parse-names":false,"suffix":""},{"dropping-particle":"","family":"Asi","given":"Yasmine T.","non-dropping-particle":"","parse-names":false,"suffix":""},{"dropping-particle":"","family":"Kara","given":"Eleanna","non-dropping-particle":"","parse-names":false,"suffix":""},{"dropping-particle":"","family":"Limousin","given":"Patricia","non-dropping-particle":"","parse-names":false,"suffix":""},{"dropping-particle":"","family":"Ling","given":"Helen","non-dropping-particle":"","parse-names":false,"suffix":""},{"dropping-particle":"","family":"Lewis","given":"Patrick","non-dropping-particle":"","parse-names":false,"suffix":""},{"dropping-particle":"","family":"Proukakis","given":"Christos","non-dropping-particle":"","parse-names":false,"suffix":""},{"dropping-particle":"","family":"Quinn","given":"Niall","non-dropping-particle":"","parse-names":false,"suffix":""},{"dropping-particle":"","family":"Lees","given":"Andrew J.","non-dropping-particle":"","parse-names":false,"suffix":""},{"dropping-particle":"","family":"Hardy","given":"John","non-dropping-particle":"","parse-names":false,"suffix":""},{"dropping-particle":"","family":"Revesz","given":"Tamas","non-dropping-particle":"","parse-names":false,"suffix":""},{"dropping-particle":"","family":"Houlden","given":"Henry","non-dropping-particle":"","parse-names":false,"suffix":""},{"dropping-particle":"","family":"Holton","given":"Janice L.","non-dropping-particle":"","parse-names":false,"suffix":""}],"container-title":"Acta Neuropathologica","id":"ITEM-4","issue":"5","issued":{"date-parts":[["2013","5","12"]]},"page":"753-769","publisher":"Springer-Verlag","title":"α-Synucleinopathy associated with G51D SNCA mutation: a link between Parkinson’s disease and multiple system atrophy?","type":"article-journal","volume":"125"},"uris":["http://www.mendeley.com/documents/?uuid=6e9e1382-965d-4322-ac08-7efa96454482"]}],"mendeley":{"formattedCitation":"&lt;sup&gt;261–264&lt;/sup&gt;","plainTextFormattedCitation":"261–264","previouslyFormattedCitation":"&lt;sup&gt;261–264&lt;/sup&gt;"},"properties":{"noteIndex":0},"schema":"https://github.com/citation-style-language/schema/raw/master/csl-citation.json"}</w:instrText>
      </w:r>
      <w:r w:rsidR="00451C47" w:rsidRPr="0082680A">
        <w:rPr>
          <w:lang w:val="en-GB"/>
        </w:rPr>
        <w:fldChar w:fldCharType="separate"/>
      </w:r>
      <w:r w:rsidR="00426B19" w:rsidRPr="00426B19">
        <w:rPr>
          <w:noProof/>
          <w:vertAlign w:val="superscript"/>
          <w:lang w:val="en-GB"/>
        </w:rPr>
        <w:t>261–264</w:t>
      </w:r>
      <w:r w:rsidR="00451C47" w:rsidRPr="0082680A">
        <w:rPr>
          <w:lang w:val="en-GB"/>
        </w:rPr>
        <w:fldChar w:fldCharType="end"/>
      </w:r>
      <w:r w:rsidRPr="0082680A">
        <w:rPr>
          <w:lang w:val="en-GB"/>
        </w:rPr>
        <w:t xml:space="preserve">. As well as missense mutations, structural abnormalities such as duplications and triplications have also been associated with the disease </w:t>
      </w:r>
      <w:r w:rsidR="00451C47" w:rsidRPr="0082680A">
        <w:rPr>
          <w:lang w:val="en-GB"/>
        </w:rPr>
        <w:fldChar w:fldCharType="begin" w:fldLock="1"/>
      </w:r>
      <w:r w:rsidR="000507BA">
        <w:rPr>
          <w:lang w:val="en-GB"/>
        </w:rPr>
        <w:instrText>ADDIN CSL_CITATION {"citationItems":[{"id":"ITEM-1","itemData":{"DOI":"10.1016/S0140-6736(04)17103-1","ISSN":"0140-6736","abstract":"Genomic triplication of the α-synuclein gene (SNCA) has been reported to cause hereditary early-onset parkinsonism with dementia. These findings prompted us to screen for multiplication of the SNCA locus in nine families in whom parkinsonism segregates as an autosomal dominant trait. One kindred was identified with SNCA duplication by semiquantitative PCR and confirmed by fluorescent in-situ hybridisation analysis in peripheral leucocytes. By contrast with SNCA triplication families, the clinical phenotype of SNCA duplication closely resembles idiopathic Parkinson's disease, which has a late age-of-onset, progresses slowly, and in which neither cognitive decline nor dementia are prominent. These findings suggest a direct relation between SNCA gene dosage and disease progression.","author":[{"dropping-particle":"","family":"Chartier-Harlin","given":"Marie-Christine","non-dropping-particle":"","parse-names":false,"suffix":""},{"dropping-particle":"","family":"Kachergus","given":"Jennifer","non-dropping-particle":"","parse-names":false,"suffix":""},{"dropping-particle":"","family":"Roumier","given":"Christophe","non-dropping-particle":"","parse-names":false,"suffix":""},{"dropping-particle":"","family":"Mouroux","given":"Vincent","non-dropping-particle":"","parse-names":false,"suffix":""},{"dropping-particle":"","family":"Douay","given":"Xavier","non-dropping-particle":"","parse-names":false,"suffix":""},{"dropping-particle":"","family":"Lincoln","given":"Sarah","non-dropping-particle":"","parse-names":false,"suffix":""},{"dropping-particle":"","family":"Levecque","given":"Clotilde","non-dropping-particle":"","parse-names":false,"suffix":""},{"dropping-particle":"","family":"Larvor","given":"Lydie","non-dropping-particle":"","parse-names":false,"suffix":""},{"dropping-particle":"","family":"Andrieux","given":"Joris","non-dropping-particle":"","parse-names":false,"suffix":""},{"dropping-particle":"","family":"Hulihan","given":"Mary","non-dropping-particle":"","parse-names":false,"suffix":""},{"dropping-particle":"","family":"Waucquier","given":"Nawal","non-dropping-particle":"","parse-names":false,"suffix":""},{"dropping-particle":"","family":"Defebvre","given":"Luc","non-dropping-particle":"","parse-names":false,"suffix":""},{"dropping-particle":"","family":"Amouyel","given":"Philippe","non-dropping-particle":"","parse-names":false,"suffix":""},{"dropping-particle":"","family":"Farrer","given":"Matthew","non-dropping-particle":"","parse-names":false,"suffix":""},{"dropping-particle":"","family":"Destée","given":"Alain","non-dropping-particle":"","parse-names":false,"suffix":""}],"container-title":"The Lancet","id":"ITEM-1","issue":"9440","issued":{"date-parts":[["2004","9","25"]]},"page":"1167-1169","publisher":"Elsevier","title":"α-synuclein locus duplication as a cause of familial Parkinson's disease","type":"article-journal","volume":"364"},"uris":["http://www.mendeley.com/documents/?uuid=d5fd32be-7322-49a9-882a-4405109ccae9"]},{"id":"ITEM-2","itemData":{"DOI":"10.1016/S0140-6736(04)17104-3","ISSN":"0140-6736","abstract":"The α-synuclein gene (SNCA) has been implicated in autosomal dominant forms of Parkinson's disease. We screened 119 individuals from families with this rare form of the disease for SNCA duplications by semiquantitative multiplex PCR. Two patients had duplications, which were confirmed by analysis of intragenic and flanking microsatellite markers. The phenotype in both patients was indistinguishable from idiopathic Parkinson's disease and no atypical features were present, by contrast with reports of families with triplication of the same gene. These results indicate that SNCA is more frequently associated with familial Parkinson's disease than previously thought, and that there is a clear dosage effect according to the number of supernumerary copies of this gene.","author":[{"dropping-particle":"","family":"Ibáñez","given":"P","non-dropping-particle":"","parse-names":false,"suffix":""},{"dropping-particle":"","family":"Bonnet","given":"A-M","non-dropping-particle":"","parse-names":false,"suffix":""},{"dropping-particle":"","family":"Débarges","given":"B","non-dropping-particle":"","parse-names":false,"suffix":""},{"dropping-particle":"","family":"Lohmann","given":"E","non-dropping-particle":"","parse-names":false,"suffix":""},{"dropping-particle":"","family":"Tison","given":"F","non-dropping-particle":"","parse-names":false,"suffix":""},{"dropping-particle":"","family":"Agid","given":"Y","non-dropping-particle":"","parse-names":false,"suffix":""},{"dropping-particle":"","family":"Dürr","given":"A","non-dropping-particle":"","parse-names":false,"suffix":""},{"dropping-particle":"","family":"Brice","given":"A","non-dropping-particle":"","parse-names":false,"suffix":""},{"dropping-particle":"","family":"Pollak","given":"P","non-dropping-particle":"","parse-names":false,"suffix":""}],"container-title":"The Lancet","id":"ITEM-2","issue":"9440","issued":{"date-parts":[["2004","9","25"]]},"page":"1169-1171","publisher":"Elsevier","title":"Causal relation between α-synuclein locus duplication as a cause of familial Parkinson's disease","type":"article-journal","volume":"364"},"uris":["http://www.mendeley.com/documents/?uuid=fc47a0dd-e176-4645-b5d5-dc8da3c87bfe"]},{"id":"ITEM-3","itemData":{"DOI":"10.1126/science.1090278","PMID":"14593171","author":[{"dropping-particle":"","family":"Singleton","given":"A B","non-dropping-particle":"","parse-names":false,"suffix":""},{"dropping-particle":"","family":"Farrer","given":"M","non-dropping-particle":"","parse-names":false,"suffix":""},{"dropping-particle":"","family":"Johnson","given":"J","non-dropping-particle":"","parse-names":false,"suffix":""},{"dropping-particle":"","family":"Singleton","given":"A","non-dropping-particle":"","parse-names":false,"suffix":""},{"dropping-particle":"","family":"Hague","given":"S","non-dropping-particle":"","parse-names":false,"suffix":""},{"dropping-particle":"","family":"Kachergus","given":"J","non-dropping-particle":"","parse-names":false,"suffix":""},{"dropping-particle":"","family":"Hulihan","given":"M","non-dropping-particle":"","parse-names":false,"suffix":""},{"dropping-particle":"","family":"Peuralinna","given":"T","non-dropping-particle":"","parse-names":false,"suffix":""},{"dropping-particle":"","family":"Dutra","given":"A","non-dropping-particle":"","parse-names":false,"suffix":""},{"dropping-particle":"","family":"Nussbaum","given":"R","non-dropping-particle":"","parse-names":false,"suffix":""},{"dropping-particle":"","family":"Lincoln","given":"S","non-dropping-particle":"","parse-names":false,"suffix":""},{"dropping-particle":"","family":"Crawley","given":"A","non-dropping-particle":"","parse-names":false,"suffix":""},{"dropping-particle":"","family":"Hanson","given":"M","non-dropping-particle":"","parse-names":false,"suffix":""},{"dropping-particle":"","family":"Maraganore","given":"D","non-dropping-particle":"","parse-names":false,"suffix":""},{"dropping-particle":"","family":"Adler","given":"C","non-dropping-particle":"","parse-names":false,"suffix":""},{"dropping-particle":"","family":"Cookson","given":"M R","non-dropping-particle":"","parse-names":false,"suffix":""},{"dropping-particle":"","family":"Muenter","given":"M","non-dropping-particle":"","parse-names":false,"suffix":""},{"dropping-particle":"","family":"Baptista","given":"M","non-dropping-particle":"","parse-names":false,"suffix":""},{"dropping-particle":"","family":"Miller","given":"D","non-dropping-particle":"","parse-names":false,"suffix":""},{"dropping-particle":"","family":"Blancato","given":"J","non-dropping-particle":"","parse-names":false,"suffix":""},{"dropping-particle":"","family":"Hardy","given":"J","non-dropping-particle":"","parse-names":false,"suffix":""},{"dropping-particle":"","family":"Gwinn-Hardy","given":"K","non-dropping-particle":"","parse-names":false,"suffix":""}],"container-title":"Science (New York, N.Y.)","id":"ITEM-3","issue":"5646","issued":{"date-parts":[["2003","10","31"]]},"page":"841","publisher":"American Association for the Advancement of Science","title":"alpha-Synuclein locus triplication causes Parkinson's disease.","type":"article-journal","volume":"302"},"uris":["http://www.mendeley.com/documents/?uuid=97a3bb37-335b-3a62-9302-71d5d75c82d8"]}],"mendeley":{"formattedCitation":"&lt;sup&gt;265–267&lt;/sup&gt;","plainTextFormattedCitation":"265–267","previouslyFormattedCitation":"&lt;sup&gt;265–267&lt;/sup&gt;"},"properties":{"noteIndex":0},"schema":"https://github.com/citation-style-language/schema/raw/master/csl-citation.json"}</w:instrText>
      </w:r>
      <w:r w:rsidR="00451C47" w:rsidRPr="0082680A">
        <w:rPr>
          <w:lang w:val="en-GB"/>
        </w:rPr>
        <w:fldChar w:fldCharType="separate"/>
      </w:r>
      <w:r w:rsidR="00426B19" w:rsidRPr="00426B19">
        <w:rPr>
          <w:noProof/>
          <w:vertAlign w:val="superscript"/>
          <w:lang w:val="en-GB"/>
        </w:rPr>
        <w:t>265–267</w:t>
      </w:r>
      <w:r w:rsidR="00451C47" w:rsidRPr="0082680A">
        <w:rPr>
          <w:lang w:val="en-GB"/>
        </w:rPr>
        <w:fldChar w:fldCharType="end"/>
      </w:r>
      <w:r w:rsidRPr="0082680A">
        <w:rPr>
          <w:lang w:val="en-GB"/>
        </w:rPr>
        <w:t xml:space="preserve">. The incidence of </w:t>
      </w:r>
      <w:r w:rsidRPr="0082680A">
        <w:rPr>
          <w:i/>
          <w:lang w:val="en-GB"/>
        </w:rPr>
        <w:t>SNCA</w:t>
      </w:r>
      <w:r w:rsidRPr="0082680A">
        <w:rPr>
          <w:lang w:val="en-GB"/>
        </w:rPr>
        <w:t xml:space="preserve">-affected families is rare, however </w:t>
      </w:r>
      <w:r w:rsidRPr="0082680A">
        <w:rPr>
          <w:i/>
          <w:lang w:val="en-GB"/>
        </w:rPr>
        <w:t>SNCA</w:t>
      </w:r>
      <w:r w:rsidRPr="0082680A">
        <w:rPr>
          <w:lang w:val="en-GB"/>
        </w:rPr>
        <w:t xml:space="preserve"> has been regularly implicated in GWAS studies of PD patients </w:t>
      </w:r>
      <w:r w:rsidR="00451C47" w:rsidRPr="0082680A">
        <w:rPr>
          <w:lang w:val="en-GB"/>
        </w:rPr>
        <w:fldChar w:fldCharType="begin" w:fldLock="1"/>
      </w:r>
      <w:r w:rsidR="000507BA">
        <w:rPr>
          <w:lang w:val="en-GB"/>
        </w:rPr>
        <w:instrText>ADDIN CSL_CITATION {"citationItems":[{"id":"ITEM-1","itemData":{"DOI":"10.1111/j.1469-1809.2009.00560.x","ISSN":"1469-1809","PMID":"20070850","abstract":"Parkinson disease (PD) is a chronic neurodegenerative disorder with a cumulative prevalence of greater than one per thousand. To date three independent genome-wide association studies (GWAS) have investigated the genetic susceptibility to PD. These studies implicated several genes as PD risk loci with strong, but not genome-wide significant, associations. In this study, we combined data from two previously published GWAS of Caucasian subjects with our GWAS of 604 cases and 619 controls for a joint analysis with a combined sample size of 1752 cases and 1745 controls. SNPs in SNCA (rs2736990, p-value = 6.7 x 10(-8); genome-wide adjusted p = 0.0109, odds ratio (OR) = 1.29 [95% CI: 1.17-1.42] G vs. A allele, population attributable risk percent (PAR%) = 12%) and the MAPT region (rs11012, p-value = 5.6 x 10(-8); genome-wide adjusted p = 0.0079, OR = 0.70 [95% CI: 0.62-0.79] T vs. C allele, PAR%= 8%) were genome-wide significant. No other SNPs were genome-wide significant in this analysis. This study confirms that SNCA and the MAPT region are major genes whose common variants are influencing risk of PD.","author":[{"dropping-particle":"","family":"Edwards","given":"Todd L","non-dropping-particle":"","parse-names":false,"suffix":""},{"dropping-particle":"","family":"Scott","given":"William K","non-dropping-particle":"","parse-names":false,"suffix":""},{"dropping-particle":"","family":"Almonte","given":"Cherylyn","non-dropping-particle":"","parse-names":false,"suffix":""},{"dropping-particle":"","family":"Burt","given":"Amber","non-dropping-particle":"","parse-names":false,"suffix":""},{"dropping-particle":"","family":"Powell","given":"Eric H","non-dropping-particle":"","parse-names":false,"suffix":""},{"dropping-particle":"","family":"Beecham","given":"Gary W","non-dropping-particle":"","parse-names":false,"suffix":""},{"dropping-particle":"","family":"Wang","given":"Liyong","non-dropping-particle":"","parse-names":false,"suffix":""},{"dropping-particle":"","family":"Züchner","given":"Stephan","non-dropping-particle":"","parse-names":false,"suffix":""},{"dropping-particle":"","family":"Konidari","given":"Ioanna","non-dropping-particle":"","parse-names":false,"suffix":""},{"dropping-particle":"","family":"Wang","given":"Gaofeng","non-dropping-particle":"","parse-names":false,"suffix":""},{"dropping-particle":"","family":"Singer","given":"Carlos","non-dropping-particle":"","parse-names":false,"suffix":""},{"dropping-particle":"","family":"Nahab","given":"Fatta","non-dropping-particle":"","parse-names":false,"suffix":""},{"dropping-particle":"","family":"Scott","given":"Burton","non-dropping-particle":"","parse-names":false,"suffix":""},{"dropping-particle":"","family":"Stajich","given":"Jeffrey M","non-dropping-particle":"","parse-names":false,"suffix":""},{"dropping-particle":"","family":"Pericak-Vance","given":"Margaret","non-dropping-particle":"","parse-names":false,"suffix":""},{"dropping-particle":"","family":"Haines","given":"Jonathan","non-dropping-particle":"","parse-names":false,"suffix":""},{"dropping-particle":"","family":"Vance","given":"Jeffery M","non-dropping-particle":"","parse-names":false,"suffix":""},{"dropping-particle":"","family":"Martin","given":"Eden R","non-dropping-particle":"","parse-names":false,"suffix":""}],"container-title":"Annals of human genetics","id":"ITEM-1","issue":"2","issued":{"date-parts":[["2010","3"]]},"page":"97-109","publisher":"NIH Public Access","title":"Genome-wide association study confirms SNPs in SNCA and the MAPT region as common risk factors for Parkinson disease.","type":"article-journal","volume":"74"},"uris":["http://www.mendeley.com/documents/?uuid=59b30fcb-c5ab-3fe8-8290-50d37c3c5e15"]},{"id":"ITEM-2","itemData":{"DOI":"10.1371/journal.pgen.1002548","ISSN":"1553-7404","PMID":"22438815","abstract":"More than 800 published genetic association studies have implicated dozens of potential risk loci in Parkinson's disease (PD). To facilitate the interpretation of these findings, we have created a dedicated online resource, PDGene, that comprehensively collects and meta-analyzes all published studies in the field. A systematic literature screen of -27,000 articles yielded 828 eligible articles from which relevant data were extracted. In addition, individual-level data from three publicly available genome-wide association studies (GWAS) were obtained and subjected to genotype imputation and analysis. Overall, we performed meta-analyses on more than seven million polymorphisms originating either from GWAS datasets and/or from smaller scale PD association studies. Meta-analyses on 147 SNPs were supplemented by unpublished GWAS data from up to 16,452 PD cases and 48,810 controls. Eleven loci showed genome-wide significant (P &lt; 5 × 10(-8)) association with disease risk: BST1, CCDC62/HIP1R, DGKQ/GAK, GBA, LRRK2, MAPT, MCCC1/LAMP3, PARK16, SNCA, STK39, and SYT11/RAB25. In addition, we identified novel evidence for genome-wide significant association with a polymorphism in ITGA8 (rs7077361, OR 0.88, P  =  1.3 × 10(-8)). All meta-analysis results are freely available on a dedicated online database (www.pdgene.org), which is cross-linked with a customized track on the UCSC Genome Browser. Our study provides an exhaustive and up-to-date summary of the status of PD genetics research that can be readily scaled to include the results of future large-scale genetics projects, including next-generation sequencing studies.","author":[{"dropping-particle":"","family":"Lill","given":"Christina M.","non-dropping-particle":"","parse-names":false,"suffix":""},{"dropping-particle":"","family":"Roehr","given":"Johannes T.","non-dropping-particle":"","parse-names":false,"suffix":""},{"dropping-particle":"","family":"McQueen","given":"Matthew B.","non-dropping-particle":"","parse-names":false,"suffix":""},{"dropping-particle":"","family":"Kavvoura","given":"Fotini K.","non-dropping-particle":"","parse-names":false,"suffix":""},{"dropping-particle":"","family":"Bagade","given":"Sachin","non-dropping-particle":"","parse-names":false,"suffix":""},{"dropping-particle":"","family":"Schjeide","given":"Brit-Maren M.","non-dropping-particle":"","parse-names":false,"suffix":""},{"dropping-particle":"","family":"Schjeide","given":"Leif M.","non-dropping-particle":"","parse-names":false,"suffix":""},{"dropping-particle":"","family":"Meissner","given":"Esther","non-dropping-particle":"","parse-names":false,"suffix":""},{"dropping-particle":"","family":"Zauft","given":"Ute","non-dropping-particle":"","parse-names":false,"suffix":""},{"dropping-particle":"","family":"Allen","given":"Nicole C.","non-dropping-particle":"","parse-names":false,"suffix":""},{"dropping-particle":"","family":"Liu","given":"Tian","non-dropping-particle":"","parse-names":false,"suffix":""},{"dropping-particle":"","family":"Schilling","given":"Marcel","non-dropping-particle":"","parse-names":false,"suffix":""},{"dropping-particle":"","family":"Anderson","given":"Kari J.","non-dropping-particle":"","parse-names":false,"suffix":""},{"dropping-particle":"","family":"Beecham","given":"Gary","non-dropping-particle":"","parse-names":false,"suffix":""},{"dropping-particle":"","family":"Berg","given":"Daniela","non-dropping-particle":"","parse-names":false,"suffix":""},{"dropping-particle":"","family":"Biernacka","given":"Joanna M.","non-dropping-particle":"","parse-names":false,"suffix":""},{"dropping-particle":"","family":"Brice","given":"Alexis","non-dropping-particle":"","parse-names":false,"suffix":""},{"dropping-particle":"","family":"DeStefano","given":"Anita L.","non-dropping-particle":"","parse-names":false,"suffix":""},{"dropping-particle":"","family":"Do","given":"Chuong B.","non-dropping-particle":"","parse-names":false,"suffix":""},{"dropping-particle":"","family":"Eriksson","given":"Nicholas","non-dropping-particle":"","parse-names":false,"suffix":""},{"dropping-particle":"","family":"Factor","given":"Stewart A.","non-dropping-particle":"","parse-names":false,"suffix":""},{"dropping-particle":"","family":"Farrer","given":"Matthew J.","non-dropping-particle":"","parse-names":false,"suffix":""},{"dropping-particle":"","family":"Foroud","given":"Tatiana","non-dropping-particle":"","parse-names":false,"suffix":""},{"dropping-particle":"","family":"Gasser","given":"Thomas","non-dropping-particle":"","parse-names":false,"suffix":""},{"dropping-particle":"","family":"Hamza","given":"Taye","non-dropping-particle":"","parse-names":false,"suffix":""},{"dropping-particle":"","family":"Hardy","given":"John A.","non-dropping-particle":"","parse-names":false,"suffix":""},{"dropping-particle":"","family":"Heutink","given":"Peter","non-dropping-particle":"","parse-names":false,"suffix":""},{"dropping-particle":"","family":"Hill-Burns","given":"Erin M.","non-dropping-particle":"","parse-names":false,"suffix":""},{"dropping-particle":"","family":"Klein","given":"Christine","non-dropping-particle":"","parse-names":false,"suffix":""},{"dropping-particle":"","family":"Latourelle","given":"Jeanne C.","non-dropping-particle":"","parse-names":false,"suffix":""},{"dropping-particle":"","family":"Maraganore","given":"Demetrius M.","non-dropping-particle":"","parse-names":false,"suffix":""},{"dropping-particle":"","family":"Martin","given":"Eden R.","non-dropping-particle":"","parse-names":false,"suffix":""},{"dropping-particle":"","family":"Martinez","given":"Maria","non-dropping-particle":"","parse-names":false,"suffix":""},{"dropping-particle":"","family":"Myers","given":"Richard H.","non-dropping-particle":"","parse-names":false,"suffix":""},{"dropping-particle":"","family":"Nalls","given":"Michael A.","non-dropping-particle":"","parse-names":false,"suffix":""},{"dropping-particle":"","family":"Pankratz","given":"Nathan","non-dropping-particle":"","parse-names":false,"suffix":""},{"dropping-particle":"","family":"Payami","given":"Haydeh","non-dropping-particle":"","parse-names":false,"suffix":""},{"dropping-particle":"","family":"Satake","given":"Wataru","non-dropping-particle":"","parse-names":false,"suffix":""},{"dropping-particle":"","family":"Scott","given":"William K.","non-dropping-particle":"","parse-names":false,"suffix":""},{"dropping-particle":"","family":"Sharma","given":"Manu","non-dropping-particle":"","parse-names":false,"suffix":""},{"dropping-particle":"","family":"Singleton","given":"Andrew B.","non-dropping-particle":"","parse-names":false,"suffix":""},{"dropping-particle":"","family":"Stefansson","given":"Kari","non-dropping-particle":"","parse-names":false,"suffix":""},{"dropping-particle":"","family":"Toda","given":"Tatsushi","non-dropping-particle":"","parse-names":false,"suffix":""},{"dropping-particle":"","family":"Tung","given":"Joyce Y.","non-dropping-particle":"","parse-names":false,"suffix":""},{"dropping-particle":"","family":"Vance","given":"Jeffery","non-dropping-particle":"","parse-names":false,"suffix":""},{"dropping-particle":"","family":"Wood","given":"Nick W.","non-dropping-particle":"","parse-names":false,"suffix":""},{"dropping-particle":"","family":"Zabetian","given":"Cyrus P.","non-dropping-particle":"","parse-names":false,"suffix":""},{"dropping-particle":"","family":"Young","given":"Peter","non-dropping-particle":"","parse-names":false,"suffix":""},{"dropping-particle":"","family":"Tanzi","given":"Rudolph E.","non-dropping-particle":"","parse-names":false,"suffix":""},{"dropping-particle":"","family":"Khoury","given":"Muin J.","non-dropping-particle":"","parse-names":false,"suffix":""},{"dropping-particle":"","family":"Zipp","given":"Frauke","non-dropping-particle":"","parse-names":false,"suffix":""},{"dropping-particle":"","family":"Lehrach","given":"Hans","non-dropping-particle":"","parse-names":false,"suffix":""},{"dropping-particle":"","family":"Ioannidis","given":"John P. A.","non-dropping-particle":"","parse-names":false,"suffix":""},{"dropping-particle":"","family":"Bertram","given":"Lars","non-dropping-particle":"","parse-names":false,"suffix":""},{"dropping-particle":"","family":"Zipp","given":"Frauke","non-dropping-particle":"","parse-names":false,"suffix":""},{"dropping-particle":"","family":"Lehrach","given":"Hans","non-dropping-particle":"","parse-names":false,"suffix":""},{"dropping-particle":"","family":"Ioannidis","given":"John P A","non-dropping-particle":"","parse-names":false,"suffix":""},{"dropping-particle":"","family":"Bertram","given":"Lars","non-dropping-particle":"","parse-names":false,"suffix":""}],"container-title":"PLoS Genetics","editor":[{"dropping-particle":"","family":"Myers","given":"Amanda J.","non-dropping-particle":"","parse-names":false,"suffix":""}],"id":"ITEM-2","issue":"3","issued":{"date-parts":[["2012","3","15"]]},"page":"e1002548","title":"Comprehensive Research Synopsis and Systematic Meta-Analyses in Parkinson's Disease Genetics: The PDGene Database","type":"article-journal","volume":"8"},"uris":["http://www.mendeley.com/documents/?uuid=d1ff654a-f46b-3fbc-8edc-9592e594fa7f"]}],"mendeley":{"formattedCitation":"&lt;sup&gt;268,269&lt;/sup&gt;","plainTextFormattedCitation":"268,269","previouslyFormattedCitation":"&lt;sup&gt;268,269&lt;/sup&gt;"},"properties":{"noteIndex":0},"schema":"https://github.com/citation-style-language/schema/raw/master/csl-citation.json"}</w:instrText>
      </w:r>
      <w:r w:rsidR="00451C47" w:rsidRPr="0082680A">
        <w:rPr>
          <w:lang w:val="en-GB"/>
        </w:rPr>
        <w:fldChar w:fldCharType="separate"/>
      </w:r>
      <w:r w:rsidR="00426B19" w:rsidRPr="00426B19">
        <w:rPr>
          <w:noProof/>
          <w:vertAlign w:val="superscript"/>
          <w:lang w:val="en-GB"/>
        </w:rPr>
        <w:t>268,269</w:t>
      </w:r>
      <w:r w:rsidR="00451C47" w:rsidRPr="0082680A">
        <w:rPr>
          <w:lang w:val="en-GB"/>
        </w:rPr>
        <w:fldChar w:fldCharType="end"/>
      </w:r>
      <w:r w:rsidRPr="0082680A">
        <w:rPr>
          <w:lang w:val="en-GB"/>
        </w:rPr>
        <w:t xml:space="preserve">. The role of </w:t>
      </w:r>
      <w:r w:rsidRPr="0082680A">
        <w:rPr>
          <w:i/>
          <w:lang w:val="en-GB"/>
        </w:rPr>
        <w:t>SNCA</w:t>
      </w:r>
      <w:r w:rsidRPr="0082680A">
        <w:rPr>
          <w:lang w:val="en-GB"/>
        </w:rPr>
        <w:t xml:space="preserve"> in the cell is currently not well understood. In healthy cells, alpha-synuclein protein localises to presynaptic terminals, and has been observed to affect the size of presynaptic vesicle pools </w:t>
      </w:r>
      <w:r w:rsidR="00451C47" w:rsidRPr="0082680A">
        <w:rPr>
          <w:lang w:val="en-GB"/>
        </w:rPr>
        <w:fldChar w:fldCharType="begin" w:fldLock="1"/>
      </w:r>
      <w:r w:rsidR="000507BA">
        <w:rPr>
          <w:lang w:val="en-GB"/>
        </w:rPr>
        <w:instrText>ADDIN CSL_CITATION {"citationItems":[{"id":"ITEM-1","itemData":{"DOI":"10.1523/JNEUROSCI.20-09-03214.2000","ISSN":"1529-2401","PMID":"10777786","abstract":"alpha-, beta-, and gamma-Synuclein, a novel family of neuronal proteins, has become the focus of research interest because alpha-synuclein has been increasingly implicated in the pathogenesis of Parkinson's and Alzheimer's disease. However, the normal functions of the synucleins are still unknown. For this reason, we characterized alpha-, beta-, and gamma-synuclein expression in primary hippocampal neuronal cultures and showed that the onset of alpha- and beta-synuclein expression was delayed after synaptic development, suggesting that these synucleins may not be essential for synapse formation. In mature cultured primary neurons, alpha- and beta-synuclein colocalized almost exclusively with synaptophysin in the presynaptic terminal, whereas little gamma-synuclein was expressed at all. To assess the function of alpha-synuclein, we suppressed expression of this protein with antisense oligonucleotide technology. Morphometric ultrastructural analysis of the alpha-synuclein antisense oligonucleotide-treated cultures revealed a significant reduction in the distal pool of synaptic vesicles. These data suggest that one function of alpha-synuclein may be to regulate the size of distinct pools of synaptic vesicles in mature neurons.","author":[{"dropping-particle":"","family":"Murphy","given":"D D","non-dropping-particle":"","parse-names":false,"suffix":""},{"dropping-particle":"","family":"Rueter","given":"S M","non-dropping-particle":"","parse-names":false,"suffix":""},{"dropping-particle":"","family":"Trojanowski","given":"J Q","non-dropping-particle":"","parse-names":false,"suffix":""},{"dropping-particle":"","family":"Lee","given":"V M","non-dropping-particle":"","parse-names":false,"suffix":""}],"container-title":"The Journal of neuroscience : the official journal of the Society for Neuroscience","id":"ITEM-1","issue":"9","issued":{"date-parts":[["2000","5","1"]]},"page":"3214-20","publisher":"Society for Neuroscience","title":"Synucleins are developmentally expressed, and alpha-synuclein regulates the size of the presynaptic vesicular pool in primary hippocampal neurons.","type":"article-journal","volume":"20"},"uris":["http://www.mendeley.com/documents/?uuid=5c85f6c7-d072-3a78-9b54-ddfde8d1b05c"]}],"mendeley":{"formattedCitation":"&lt;sup&gt;270&lt;/sup&gt;","plainTextFormattedCitation":"270","previouslyFormattedCitation":"&lt;sup&gt;270&lt;/sup&gt;"},"properties":{"noteIndex":0},"schema":"https://github.com/citation-style-language/schema/raw/master/csl-citation.json"}</w:instrText>
      </w:r>
      <w:r w:rsidR="00451C47" w:rsidRPr="0082680A">
        <w:rPr>
          <w:lang w:val="en-GB"/>
        </w:rPr>
        <w:fldChar w:fldCharType="separate"/>
      </w:r>
      <w:r w:rsidR="00426B19" w:rsidRPr="00426B19">
        <w:rPr>
          <w:noProof/>
          <w:vertAlign w:val="superscript"/>
          <w:lang w:val="en-GB"/>
        </w:rPr>
        <w:t>270</w:t>
      </w:r>
      <w:r w:rsidR="00451C47" w:rsidRPr="0082680A">
        <w:rPr>
          <w:lang w:val="en-GB"/>
        </w:rPr>
        <w:fldChar w:fldCharType="end"/>
      </w:r>
      <w:r w:rsidRPr="0082680A">
        <w:rPr>
          <w:lang w:val="en-GB"/>
        </w:rPr>
        <w:t>. In PD, alpha-synuclein aggregates into cytoplasmic Lewy Bodies, and is a pathological hallmark of the disease.</w:t>
      </w:r>
    </w:p>
    <w:p w14:paraId="0231ED15" w14:textId="77777777" w:rsidR="000D27A7" w:rsidRPr="0082680A" w:rsidRDefault="000D27A7" w:rsidP="00842FD0">
      <w:pPr>
        <w:pStyle w:val="Heading4"/>
        <w:rPr>
          <w:lang w:val="en-GB"/>
        </w:rPr>
      </w:pPr>
      <w:bookmarkStart w:id="222" w:name="_vgbo3jeux15c" w:colFirst="0" w:colLast="0"/>
      <w:bookmarkStart w:id="223" w:name="_Toc3211391"/>
      <w:bookmarkEnd w:id="222"/>
      <w:r w:rsidRPr="0082680A">
        <w:rPr>
          <w:lang w:val="en-GB"/>
        </w:rPr>
        <w:t>PRKN (PARK2)</w:t>
      </w:r>
      <w:bookmarkEnd w:id="223"/>
    </w:p>
    <w:p w14:paraId="50610150" w14:textId="512C3A55" w:rsidR="000D27A7" w:rsidRPr="0082680A" w:rsidRDefault="000D27A7" w:rsidP="000D27A7">
      <w:pPr>
        <w:rPr>
          <w:lang w:val="en-GB"/>
        </w:rPr>
      </w:pPr>
      <w:r w:rsidRPr="0082680A">
        <w:rPr>
          <w:i/>
          <w:lang w:val="en-GB"/>
        </w:rPr>
        <w:t>PRKN</w:t>
      </w:r>
      <w:r w:rsidRPr="0082680A">
        <w:rPr>
          <w:lang w:val="en-GB"/>
        </w:rPr>
        <w:t xml:space="preserve"> mutations are some of the more common in PD, affecting ~15% of familial and ~4% of sporadic cases, though rates have been reported as high as 50% and 15%, respectively </w:t>
      </w:r>
      <w:r w:rsidR="00451C47" w:rsidRPr="0082680A">
        <w:rPr>
          <w:lang w:val="en-GB"/>
        </w:rPr>
        <w:fldChar w:fldCharType="begin" w:fldLock="1"/>
      </w:r>
      <w:r w:rsidR="000507BA">
        <w:rPr>
          <w:lang w:val="en-GB"/>
        </w:rPr>
        <w:instrText>ADDIN CSL_CITATION {"citationItems":[{"id":"ITEM-1","itemData":{"DOI":"10.1002/mds.25132","ISSN":"08853185","author":[{"dropping-particle":"","family":"Kilarski","given":"Laura L.","non-dropping-particle":"","parse-names":false,"suffix":""},{"dropping-particle":"","family":"Pearson","given":"Justin P.","non-dropping-particle":"","parse-names":false,"suffix":""},{"dropping-particle":"","family":"Newsway","given":"Victoria","non-dropping-particle":"","parse-names":false,"suffix":""},{"dropping-particle":"","family":"Majounie","given":"Elisa","non-dropping-particle":"","parse-names":false,"suffix":""},{"dropping-particle":"","family":"Knipe","given":"M. Duleeka W.","non-dropping-particle":"","parse-names":false,"suffix":""},{"dropping-particle":"","family":"Misbahuddin","given":"Anjum","non-dropping-particle":"","parse-names":false,"suffix":""},{"dropping-particle":"","family":"Chinnery","given":"Patrick F.","non-dropping-particle":"","parse-names":false,"suffix":""},{"dropping-particle":"","family":"Burn","given":"David J.","non-dropping-particle":"","parse-names":false,"suffix":""},{"dropping-particle":"","family":"Clarke","given":"Carl E.","non-dropping-particle":"","parse-names":false,"suffix":""},{"dropping-particle":"","family":"Marion","given":"Marie-Helene","non-dropping-particle":"","parse-names":false,"suffix":""},{"dropping-particle":"","family":"Lewthwaite","given":"Alistair J.","non-dropping-particle":"","parse-names":false,"suffix":""},{"dropping-particle":"","family":"Nicholl","given":"David J.","non-dropping-particle":"","parse-names":false,"suffix":""},{"dropping-particle":"","family":"Wood","given":"Nicholas W.","non-dropping-particle":"","parse-names":false,"suffix":""},{"dropping-particle":"","family":"Morrison","given":"Karen E.","non-dropping-particle":"","parse-names":false,"suffix":""},{"dropping-particle":"","family":"Williams-Gray","given":"Caroline H.","non-dropping-particle":"","parse-names":false,"suffix":""},{"dropping-particle":"","family":"Evans","given":"Jonathan R.","non-dropping-particle":"","parse-names":false,"suffix":""},{"dropping-particle":"","family":"Sawcer","given":"Stephen J.","non-dropping-particle":"","parse-names":false,"suffix":""},{"dropping-particle":"","family":"Barker","given":"Roger A.","non-dropping-particle":"","parse-names":false,"suffix":""},{"dropping-particle":"","family":"Wickremaratchi","given":"Mirdhu M.","non-dropping-particle":"","parse-names":false,"suffix":""},{"dropping-particle":"","family":"Ben-Shlomo","given":"Yoav","non-dropping-particle":"","parse-names":false,"suffix":""},{"dropping-particle":"","family":"Williams","given":"Nigel M.","non-dropping-particle":"","parse-names":false,"suffix":""},{"dropping-particle":"","family":"Morris","given":"Huw R.","non-dropping-particle":"","parse-names":false,"suffix":""}],"container-title":"Movement Disorders","id":"ITEM-1","issue":"12","issued":{"date-parts":[["2012","10","1"]]},"page":"1522-1529","publisher":"Wiley-Blackwell","title":"Systematic Review and UK-Based Study of &lt;i&gt;PARK2 (parkin), PINK1, PARK7 (DJ-1)&lt;/i&gt; and &lt;i&gt;LRRK2&lt;/i&gt; in early-onset Parkinson's disease","type":"article-journal","volume":"27"},"uris":["http://www.mendeley.com/documents/?uuid=c49f5b92-a3a4-46e4-b8ae-e00e67d3c661"]},{"id":"ITEM-2","itemData":{"DOI":"10.1056/NEJM200005253422103","ISSN":"0028-4793","PMID":"10824074","abstract":"BACKGROUND Mutations in the parkin gene have recently been identified in patients with early-onset Parkinson's disease, but the frequency of the mutations and the associated phenotype have not been assessed in a large series of patients. METHODS We studied 73 families in which at least one of the affected family members was affected at or before the age of 45 years and had parents who were not affected, as well as 100 patients with isolated Parkinson's disease that began at or before the age of 45 years. All subjects were screened for mutations in the parkin gene with use of a semiquantitative polymerase-chain-reaction assay that simultaneously amplified several exons. We sequenced the coding exons in a subgroup of patients. We also compared the clinical features of patients with parkin mutations and those without mutations. RESULTS Among the families with early-onset Parkinson's disease, 36 (49 percent) had parkin mutations. The age at onset ranged from 7 to 58 years. Among the patients with isolated Parkinson's disease, mutations were detected in 10 of 13 patients (77 percent) with an age at onset of 20 years or younger, but in only 2 of 64 patients (3 percent) with an age at onset of more than 30 years. The mean (+/-SD) age at onset in the patients with parkin mutations was younger than that in those without mutations (32+/-11 vs. 42+/-11 years, P&lt;0.001), and they were more likely to have symmetric involvement and dystonia at onset, to have hyperreflexia at onset or later, to have a good response to levodopa therapy, and to have levodopa-induced dyskinesias during treatment. Nineteen different rearrangements of exons (deletions and multiplications) and 16 different point mutations were detected. CONCLUSIONS Mutations in the parkin gene are a major cause of early-onset autosomal recessive familial Parkinson's disease and isolated juvenile-onset Parkinson's disease (at or before the age of 20 years). Accurate diagnosis of these cases cannot be based only on the clinical manifestations of the disease.","author":[{"dropping-particle":"","family":"Lücking","given":"Christoph B.","non-dropping-particle":"","parse-names":false,"suffix":""},{"dropping-particle":"","family":"Dürr","given":"Alexandra","non-dropping-particle":"","parse-names":false,"suffix":""},{"dropping-particle":"","family":"Bonifati","given":"Vincenzo","non-dropping-particle":"","parse-names":false,"suffix":""},{"dropping-particle":"","family":"Vaughan","given":"Jenny","non-dropping-particle":"","parse-names":false,"suffix":""},{"dropping-particle":"","family":"Michele","given":"Giuseppe","non-dropping-particle":"De","parse-names":false,"suffix":""},{"dropping-particle":"","family":"Gasser","given":"Thomas","non-dropping-particle":"","parse-names":false,"suffix":""},{"dropping-particle":"","family":"Harhangi","given":"Biswadjiet S.","non-dropping-particle":"","parse-names":false,"suffix":""},{"dropping-particle":"","family":"Meco","given":"Giuseppe","non-dropping-particle":"","parse-names":false,"suffix":""},{"dropping-particle":"","family":"Denèfle","given":"Patrice","non-dropping-particle":"","parse-names":false,"suffix":""},{"dropping-particle":"","family":"Wood","given":"Nicholas W.","non-dropping-particle":"","parse-names":false,"suffix":""},{"dropping-particle":"","family":"Agid","given":"Yves","non-dropping-particle":"","parse-names":false,"suffix":""},{"dropping-particle":"","family":"Nicholl","given":"D.","non-dropping-particle":"","parse-names":false,"suffix":""},{"dropping-particle":"","family":"Breteler","given":"M.M.B.","non-dropping-particle":"","parse-names":false,"suffix":""},{"dropping-particle":"","family":"Oostra","given":"B.A.","non-dropping-particle":"","parse-names":false,"suffix":""},{"dropping-particle":"","family":"Mari","given":"M.","non-dropping-particle":"De","parse-names":false,"suffix":""},{"dropping-particle":"","family":"Marconi","given":"R.","non-dropping-particle":"","parse-names":false,"suffix":""},{"dropping-particle":"","family":"Filla","given":"A.","non-dropping-particle":"","parse-names":false,"suffix":""},{"dropping-particle":"","family":"Bonnet","given":"A.-M.","non-dropping-particle":"","parse-names":false,"suffix":""},{"dropping-particle":"","family":"Broussolle","given":"E.","non-dropping-particle":"","parse-names":false,"suffix":""},{"dropping-particle":"","family":"Pollak","given":"P.","non-dropping-particle":"","parse-names":false,"suffix":""},{"dropping-particle":"","family":"Rascol","given":"O.","non-dropping-particle":"","parse-names":false,"suffix":""},{"dropping-particle":"","family":"Rosier","given":"M.","non-dropping-particle":"","parse-names":false,"suffix":""},{"dropping-particle":"","family":"Arnould","given":"Arnould","non-dropping-particle":"","parse-names":false,"suffix":""},{"dropping-particle":"","family":"Brice","given":"Alexis","non-dropping-particle":"","parse-names":false,"suffix":""}],"container-title":"New England Journal of Medicine","id":"ITEM-2","issue":"21","issued":{"date-parts":[["2000","5","25"]]},"page":"1560-1567","title":"Association between Early-Onset Parkinson's Disease and Mutations in the &lt;i&gt;Parkin&lt;/i&gt; Gene","type":"article-journal","volume":"342"},"uris":["http://www.mendeley.com/documents/?uuid=f8ea090c-dab9-34ab-b100-375d34130ca1"]}],"mendeley":{"formattedCitation":"&lt;sup&gt;271,272&lt;/sup&gt;","plainTextFormattedCitation":"271,272","previouslyFormattedCitation":"&lt;sup&gt;271,272&lt;/sup&gt;"},"properties":{"noteIndex":0},"schema":"https://github.com/citation-style-language/schema/raw/master/csl-citation.json"}</w:instrText>
      </w:r>
      <w:r w:rsidR="00451C47" w:rsidRPr="0082680A">
        <w:rPr>
          <w:lang w:val="en-GB"/>
        </w:rPr>
        <w:fldChar w:fldCharType="separate"/>
      </w:r>
      <w:r w:rsidR="00426B19" w:rsidRPr="00426B19">
        <w:rPr>
          <w:noProof/>
          <w:vertAlign w:val="superscript"/>
          <w:lang w:val="en-GB"/>
        </w:rPr>
        <w:t>271,272</w:t>
      </w:r>
      <w:r w:rsidR="00451C47" w:rsidRPr="0082680A">
        <w:rPr>
          <w:lang w:val="en-GB"/>
        </w:rPr>
        <w:fldChar w:fldCharType="end"/>
      </w:r>
      <w:r w:rsidRPr="0082680A">
        <w:rPr>
          <w:lang w:val="en-GB"/>
        </w:rPr>
        <w:t xml:space="preserve">. </w:t>
      </w:r>
      <w:r w:rsidRPr="0082680A">
        <w:rPr>
          <w:i/>
          <w:lang w:val="en-GB"/>
        </w:rPr>
        <w:t>PRKN</w:t>
      </w:r>
      <w:r w:rsidRPr="0082680A">
        <w:rPr>
          <w:lang w:val="en-GB"/>
        </w:rPr>
        <w:t xml:space="preserve"> was first identified after studying a Japanese family with an apparent autosomal recessive case of PD </w:t>
      </w:r>
      <w:r w:rsidR="00451C47" w:rsidRPr="0082680A">
        <w:rPr>
          <w:lang w:val="en-GB"/>
        </w:rPr>
        <w:fldChar w:fldCharType="begin" w:fldLock="1"/>
      </w:r>
      <w:r w:rsidR="000507BA">
        <w:rPr>
          <w:lang w:val="en-GB"/>
        </w:rPr>
        <w:instrText>ADDIN CSL_CITATION {"citationItems":[{"id":"ITEM-1","itemData":{"DOI":"10.1038/33416","ISSN":"0028-0836","abstract":"Mutations in the &lt;i&gt;parkin&lt;/i&gt; gene cause autosomal recessive juvenile parkinsonism","author":[{"dropping-particle":"","family":"Kitada","given":"Tohru","non-dropping-particle":"","parse-names":false,"suffix":""},{"dropping-particle":"","family":"Asakawa","given":"Shuichi","non-dropping-particle":"","parse-names":false,"suffix":""},{"dropping-particle":"","family":"Hattori","given":"Nobutaka","non-dropping-particle":"","parse-names":false,"suffix":""},{"dropping-particle":"","family":"Matsumine","given":"Hiroto","non-dropping-particle":"","parse-names":false,"suffix":""},{"dropping-particle":"","family":"Yamamura","given":"Yasuhiro","non-dropping-particle":"","parse-names":false,"suffix":""},{"dropping-particle":"","family":"Minoshima","given":"Shinsei","non-dropping-particle":"","parse-names":false,"suffix":""},{"dropping-particle":"","family":"Yokochi","given":"Masayuki","non-dropping-particle":"","parse-names":false,"suffix":""},{"dropping-particle":"","family":"Mizuno","given":"Yoshikuni","non-dropping-particle":"","parse-names":false,"suffix":""},{"dropping-particle":"","family":"Shimizu","given":"Nobuyoshi","non-dropping-particle":"","parse-names":false,"suffix":""}],"container-title":"Nature","id":"ITEM-1","issue":"6676","issued":{"date-parts":[["1998","4","9"]]},"page":"605-608","publisher":"Nature Publishing Group","title":"Mutations in the parkin gene cause autosomal recessive juvenile parkinsonism","type":"article-journal","volume":"392"},"uris":["http://www.mendeley.com/documents/?uuid=a07d12cd-65a9-3152-98ec-393aa9c28d0b"]},{"id":"ITEM-2","itemData":{"DOI":"10.1007/s00702-017-1742-7","ISSN":"0300-9564","author":[{"dropping-particle":"","family":"Hattori","given":"Nobutaka","non-dropping-particle":"","parse-names":false,"suffix":""},{"dropping-particle":"","family":"Mizuno","given":"Yoshikuni","non-dropping-particle":"","parse-names":false,"suffix":""}],"container-title":"Journal of Neural Transmission","id":"ITEM-2","issue":"9","issued":{"date-parts":[["2017","9","15"]]},"page":"1037-1054","publisher":"Springer Vienna","title":"Twenty years since the discovery of the parkin gene","type":"article-journal","volume":"124"},"uris":["http://www.mendeley.com/documents/?uuid=26c963c6-4867-3ebf-995c-d82a5ca37cb8"]}],"mendeley":{"formattedCitation":"&lt;sup&gt;273,274&lt;/sup&gt;","plainTextFormattedCitation":"273,274","previouslyFormattedCitation":"&lt;sup&gt;273,274&lt;/sup&gt;"},"properties":{"noteIndex":0},"schema":"https://github.com/citation-style-language/schema/raw/master/csl-citation.json"}</w:instrText>
      </w:r>
      <w:r w:rsidR="00451C47" w:rsidRPr="0082680A">
        <w:rPr>
          <w:lang w:val="en-GB"/>
        </w:rPr>
        <w:fldChar w:fldCharType="separate"/>
      </w:r>
      <w:r w:rsidR="00426B19" w:rsidRPr="00426B19">
        <w:rPr>
          <w:noProof/>
          <w:vertAlign w:val="superscript"/>
          <w:lang w:val="en-GB"/>
        </w:rPr>
        <w:t>273,274</w:t>
      </w:r>
      <w:r w:rsidR="00451C47" w:rsidRPr="0082680A">
        <w:rPr>
          <w:lang w:val="en-GB"/>
        </w:rPr>
        <w:fldChar w:fldCharType="end"/>
      </w:r>
      <w:r w:rsidRPr="0082680A">
        <w:rPr>
          <w:lang w:val="en-GB"/>
        </w:rPr>
        <w:t xml:space="preserve">. </w:t>
      </w:r>
      <w:r w:rsidRPr="0082680A">
        <w:rPr>
          <w:i/>
          <w:lang w:val="en-GB"/>
        </w:rPr>
        <w:t>PRKN</w:t>
      </w:r>
      <w:r w:rsidRPr="0082680A">
        <w:rPr>
          <w:lang w:val="en-GB"/>
        </w:rPr>
        <w:t xml:space="preserve"> mutations are more commonly nonsense, frameshift, and missense, though a number of exon deletions and duplications have been observed </w:t>
      </w:r>
      <w:r w:rsidR="00451C47" w:rsidRPr="0082680A">
        <w:rPr>
          <w:lang w:val="en-GB"/>
        </w:rPr>
        <w:fldChar w:fldCharType="begin" w:fldLock="1"/>
      </w:r>
      <w:r w:rsidR="000507BA">
        <w:rPr>
          <w:lang w:val="en-GB"/>
        </w:rPr>
        <w:instrText>ADDIN CSL_CITATION {"citationItems":[{"id":"ITEM-1","itemData":{"DOI":"10.1093/hmg/8.4.567","ISSN":"0964-6906","author":[{"dropping-particle":"","family":"Abbas","given":"N.","non-dropping-particle":"","parse-names":false,"suffix":""},{"dropping-particle":"","family":"Lucking","given":"C. B.","non-dropping-particle":"","parse-names":false,"suffix":""},{"dropping-particle":"","family":"Ricard","given":"S.","non-dropping-particle":"","parse-names":false,"suffix":""},{"dropping-particle":"","family":"Durr","given":"A.","non-dropping-particle":"","parse-names":false,"suffix":""},{"dropping-particle":"","family":"Bonifati","given":"V.","non-dropping-particle":"","parse-names":false,"suffix":""},{"dropping-particle":"","family":"Michele","given":"G.","non-dropping-particle":"De","parse-names":false,"suffix":""},{"dropping-particle":"","family":"Bouley","given":"S.","non-dropping-particle":"","parse-names":false,"suffix":""},{"dropping-particle":"","family":"Vaughan","given":"J. R.","non-dropping-particle":"","parse-names":false,"suffix":""},{"dropping-particle":"","family":"Gasser","given":"T.","non-dropping-particle":"","parse-names":false,"suffix":""},{"dropping-particle":"","family":"Marconi","given":"R.","non-dropping-particle":"","parse-names":false,"suffix":""},{"dropping-particle":"","family":"Broussolle","given":"E.","non-dropping-particle":"","parse-names":false,"suffix":""},{"dropping-particle":"","family":"Brefel-Courbon","given":"C.","non-dropping-particle":"","parse-names":false,"suffix":""},{"dropping-particle":"","family":"Harhangi","given":"B. S.","non-dropping-particle":"","parse-names":false,"suffix":""},{"dropping-particle":"","family":"Oostra","given":"B. A.","non-dropping-particle":"","parse-names":false,"suffix":""},{"dropping-particle":"","family":"Fabrizio","given":"E.","non-dropping-particle":"","parse-names":false,"suffix":""},{"dropping-particle":"","family":"Bohme","given":"G. A.","non-dropping-particle":"","parse-names":false,"suffix":""},{"dropping-particle":"","family":"Pradier","given":"L.","non-dropping-particle":"","parse-names":false,"suffix":""},{"dropping-particle":"","family":"Wood","given":"N. W.","non-dropping-particle":"","parse-names":false,"suffix":""},{"dropping-particle":"","family":"Filla","given":"A.","non-dropping-particle":"","parse-names":false,"suffix":""},{"dropping-particle":"","family":"Meco","given":"G.","non-dropping-particle":"","parse-names":false,"suffix":""},{"dropping-particle":"","family":"Denefle","given":"P.","non-dropping-particle":"","parse-names":false,"suffix":""},{"dropping-particle":"","family":"Agid","given":"Y.","non-dropping-particle":"","parse-names":false,"suffix":""},{"dropping-particle":"","family":"Brice","given":"A.","non-dropping-particle":"","parse-names":false,"suffix":""}],"container-title":"Human Molecular Genetics","id":"ITEM-1","issue":"4","issued":{"date-parts":[["1999","4","1"]]},"page":"567-574","publisher":"Oxford University Press","title":"A Wide Variety of Mutations in the Parkin Gene Are Responsible for Autosomal Recessive Parkinsonism in Europe","type":"article-journal","volume":"8"},"uris":["http://www.mendeley.com/documents/?uuid=d035eeee-3d48-3edf-a290-e64e8390e8bb"]},{"id":"ITEM-2","itemData":{"DOI":"10.1186/1471-2377-8-1","ISSN":"1471-2377","abstract":"Mutations in the genes PRKN and LRRK2 are the most frequent known genetic lesions among Parkinson's disease patients. We have previously reported that in the Portuguese population the LRRK2 c.6055G &gt; A; p.G2019S mutation has one of the highest frequencies in Europe. Here, we follow up on those results, screening not only LRRK2, but also PRKN, SNCA and PINK1 in a cohort of early-onset and late-onset familial Portuguese Parkinson disease patients. This series comprises 66 patients selected from a consecutive series of 132 patients. This selection was made in order to include only early onset patients (age at onset below 50 years) or late-onset patients with a positive family history (at least one affected relative). All genes were sequenced bi-directionally, and, additionally, SNCA, PRKN and PINK1 were subjected to gene dosage analysis. We found mutations both in LRRK2 and PRKN, while the remaining genes yielded no mutations. Seven of the studied patients showed pathogenic mutations, in homozygosity or compound heterozygosity for PRKN, and heterozygosity for LRRK2. Mutations are common in Portuguese patients with Parkinson's disease, and these results clearly have implications not only for the genetic diagnosis, but also for the genetic counseling of these patients.","author":[{"dropping-particle":"","family":"Bras","given":"Jose","non-dropping-particle":"","parse-names":false,"suffix":""},{"dropping-particle":"","family":"Guerreiro","given":"Rita","non-dropping-particle":"","parse-names":false,"suffix":""},{"dropping-particle":"","family":"Ribeiro","given":"Maria","non-dropping-particle":"","parse-names":false,"suffix":""},{"dropping-particle":"","family":"Morgadinho","given":"Ana","non-dropping-particle":"","parse-names":false,"suffix":""},{"dropping-particle":"","family":"Januario","given":"Cristina","non-dropping-particle":"","parse-names":false,"suffix":""},{"dropping-particle":"","family":"Dias","given":"Margarida","non-dropping-particle":"","parse-names":false,"suffix":""},{"dropping-particle":"","family":"Calado","given":"Ana","non-dropping-particle":"","parse-names":false,"suffix":""},{"dropping-particle":"","family":"Semedo","given":"Cristina","non-dropping-particle":"","parse-names":false,"suffix":""},{"dropping-particle":"","family":"Oliveira","given":"Catarina","non-dropping-particle":"","parse-names":false,"suffix":""},{"dropping-particle":"","family":"Hardy","given":"John","non-dropping-particle":"","parse-names":false,"suffix":""},{"dropping-particle":"","family":"Singleton","given":"Andrew","non-dropping-particle":"","parse-names":false,"suffix":""}],"container-title":"BMC Neurology","id":"ITEM-2","issue":"1","issued":{"date-parts":[["2008","12","22"]]},"page":"1","publisher":"BioMed Central","title":"Analysis of Parkinson disease patients from Portugal for mutations in SNCA, PRKN, PINK1 and LRRK2","type":"article-journal","volume":"8"},"uris":["http://www.mendeley.com/documents/?uuid=18ad87d8-724f-34ed-a4da-6fa6f52c36e9"]}],"mendeley":{"formattedCitation":"&lt;sup&gt;275,276&lt;/sup&gt;","plainTextFormattedCitation":"275,276","previouslyFormattedCitation":"&lt;sup&gt;275,276&lt;/sup&gt;"},"properties":{"noteIndex":0},"schema":"https://github.com/citation-style-language/schema/raw/master/csl-citation.json"}</w:instrText>
      </w:r>
      <w:r w:rsidR="00451C47" w:rsidRPr="0082680A">
        <w:rPr>
          <w:lang w:val="en-GB"/>
        </w:rPr>
        <w:fldChar w:fldCharType="separate"/>
      </w:r>
      <w:r w:rsidR="00426B19" w:rsidRPr="00426B19">
        <w:rPr>
          <w:noProof/>
          <w:vertAlign w:val="superscript"/>
          <w:lang w:val="en-GB"/>
        </w:rPr>
        <w:t>275,276</w:t>
      </w:r>
      <w:r w:rsidR="00451C47" w:rsidRPr="0082680A">
        <w:rPr>
          <w:lang w:val="en-GB"/>
        </w:rPr>
        <w:fldChar w:fldCharType="end"/>
      </w:r>
      <w:r w:rsidRPr="0082680A">
        <w:rPr>
          <w:lang w:val="en-GB"/>
        </w:rPr>
        <w:t xml:space="preserve">. Over 100 </w:t>
      </w:r>
      <w:r w:rsidRPr="0082680A">
        <w:rPr>
          <w:i/>
          <w:lang w:val="en-GB"/>
        </w:rPr>
        <w:t>PRKN</w:t>
      </w:r>
      <w:r w:rsidRPr="0082680A">
        <w:rPr>
          <w:lang w:val="en-GB"/>
        </w:rPr>
        <w:t xml:space="preserve"> variants have now been observed. Parkin is a ubiquitin ligase and plays an important role in ubiquitin tagging of proteins destined for proteasomal or lysosomal degradation. Parkin also has a specific role in the degradation of mitochondria by mitophagy </w:t>
      </w:r>
      <w:r w:rsidR="00B42E9E" w:rsidRPr="0082680A">
        <w:rPr>
          <w:lang w:val="en-GB"/>
        </w:rPr>
        <w:fldChar w:fldCharType="begin" w:fldLock="1"/>
      </w:r>
      <w:r w:rsidR="000507BA">
        <w:rPr>
          <w:lang w:val="en-GB"/>
        </w:rPr>
        <w:instrText>ADDIN CSL_CITATION {"citationItems":[{"id":"ITEM-1","itemData":{"DOI":"10.1093/hmg/ddr048","ISSN":"1460-2083","author":[{"dropping-particle":"","family":"Chan","given":"Nickie C.","non-dropping-particle":"","parse-names":false,"suffix":""},{"dropping-particle":"","family":"Salazar","given":"Anna M.","non-dropping-particle":"","parse-names":false,"suffix":""},{"dropping-particle":"","family":"Pham","given":"Anh H.","non-dropping-particle":"","parse-names":false,"suffix":""},{"dropping-particle":"","family":"Sweredoski","given":"Michael J.","non-dropping-particle":"","parse-names":false,"suffix":""},{"dropping-particle":"","family":"Kolawa","given":"Natalie J.","non-dropping-particle":"","parse-names":false,"suffix":""},{"dropping-particle":"","family":"Graham","given":"Robert L.J.","non-dropping-particle":"","parse-names":false,"suffix":""},{"dropping-particle":"","family":"Hess","given":"Sonja","non-dropping-particle":"","parse-names":false,"suffix":""},{"dropping-particle":"","family":"Chan","given":"David C.","non-dropping-particle":"","parse-names":false,"suffix":""}],"container-title":"Human Molecular Genetics","id":"ITEM-1","issue":"9","issued":{"date-parts":[["2011","5","1"]]},"page":"1726-1737","publisher":"Oxford University Press","title":"Broad activation of the ubiquitin–proteasome system by Parkin is critical for mitophagy","type":"article-journal","volume":"20"},"uris":["http://www.mendeley.com/documents/?uuid=0e4a14c9-31d6-3041-a3d9-e4b8f9a5deb5"]}],"mendeley":{"formattedCitation":"&lt;sup&gt;277&lt;/sup&gt;","plainTextFormattedCitation":"277","previouslyFormattedCitation":"&lt;sup&gt;277&lt;/sup&gt;"},"properties":{"noteIndex":0},"schema":"https://github.com/citation-style-language/schema/raw/master/csl-citation.json"}</w:instrText>
      </w:r>
      <w:r w:rsidR="00B42E9E" w:rsidRPr="0082680A">
        <w:rPr>
          <w:lang w:val="en-GB"/>
        </w:rPr>
        <w:fldChar w:fldCharType="separate"/>
      </w:r>
      <w:r w:rsidR="00426B19" w:rsidRPr="00426B19">
        <w:rPr>
          <w:noProof/>
          <w:vertAlign w:val="superscript"/>
          <w:lang w:val="en-GB"/>
        </w:rPr>
        <w:t>277</w:t>
      </w:r>
      <w:r w:rsidR="00B42E9E" w:rsidRPr="0082680A">
        <w:rPr>
          <w:lang w:val="en-GB"/>
        </w:rPr>
        <w:fldChar w:fldCharType="end"/>
      </w:r>
      <w:r w:rsidRPr="0082680A">
        <w:rPr>
          <w:lang w:val="en-GB"/>
        </w:rPr>
        <w:t xml:space="preserve">. Though clinically very similar to other PD populations, PD patients with </w:t>
      </w:r>
      <w:r w:rsidRPr="0082680A">
        <w:rPr>
          <w:i/>
          <w:lang w:val="en-GB"/>
        </w:rPr>
        <w:t>PRKN</w:t>
      </w:r>
      <w:r w:rsidRPr="0082680A">
        <w:rPr>
          <w:lang w:val="en-GB"/>
        </w:rPr>
        <w:t xml:space="preserve"> mutations do not present with Lewy Body pathology </w:t>
      </w:r>
      <w:r w:rsidR="00B42E9E" w:rsidRPr="0082680A">
        <w:rPr>
          <w:lang w:val="en-GB"/>
        </w:rPr>
        <w:fldChar w:fldCharType="begin" w:fldLock="1"/>
      </w:r>
      <w:r w:rsidR="000507BA">
        <w:rPr>
          <w:lang w:val="en-GB"/>
        </w:rPr>
        <w:instrText>ADDIN CSL_CITATION {"citationItems":[{"id":"ITEM-1","itemData":{"DOI":"10.1002/1531-8249(199905)45:5&lt;668::AID-ANA19&gt;3.0.CO;2-Z","ISSN":"0364-5134","author":[{"dropping-particle":"","family":"Shimura","given":"Hideki","non-dropping-particle":"","parse-names":false,"suffix":""},{"dropping-particle":"","family":"Hattori","given":"Nobutaka","non-dropping-particle":"","parse-names":false,"suffix":""},{"dropping-particle":"","family":"Kubo","given":"Shin-Ichiro","non-dropping-particle":"","parse-names":false,"suffix":""},{"dropping-particle":"","family":"Yoshikawa","given":"Mutsuko","non-dropping-particle":"","parse-names":false,"suffix":""},{"dropping-particle":"","family":"Kitada","given":"Tohru","non-dropping-particle":"","parse-names":false,"suffix":""},{"dropping-particle":"","family":"Matsumine","given":"Hiroto","non-dropping-particle":"","parse-names":false,"suffix":""},{"dropping-particle":"","family":"Asakawa","given":"Shuichi","non-dropping-particle":"","parse-names":false,"suffix":""},{"dropping-particle":"","family":"Minoshima","given":"Shinsei","non-dropping-particle":"","parse-names":false,"suffix":""},{"dropping-particle":"","family":"Yamamura","given":"Yasuhiro","non-dropping-particle":"","parse-names":false,"suffix":""},{"dropping-particle":"","family":"Shimizu","given":"Nobuyoshi","non-dropping-particle":"","parse-names":false,"suffix":""},{"dropping-particle":"","family":"Mizuno","given":"Yoshikuni","non-dropping-particle":"","parse-names":false,"suffix":""}],"container-title":"Annals of Neurology","id":"ITEM-1","issue":"5","issued":{"date-parts":[["1999","5","1"]]},"page":"668-672","publisher":"Wiley-Blackwell","title":"Immunohistochemical and subcellular localization of parkin protein: Absence of protein in autosomal recessive juvenile parkinsonism patients","type":"article-journal","volume":"45"},"uris":["http://www.mendeley.com/documents/?uuid=b5dd8339-17e5-4d66-a587-80365e0226ed"]}],"mendeley":{"formattedCitation":"&lt;sup&gt;278&lt;/sup&gt;","plainTextFormattedCitation":"278","previouslyFormattedCitation":"&lt;sup&gt;278&lt;/sup&gt;"},"properties":{"noteIndex":0},"schema":"https://github.com/citation-style-language/schema/raw/master/csl-citation.json"}</w:instrText>
      </w:r>
      <w:r w:rsidR="00B42E9E" w:rsidRPr="0082680A">
        <w:rPr>
          <w:lang w:val="en-GB"/>
        </w:rPr>
        <w:fldChar w:fldCharType="separate"/>
      </w:r>
      <w:r w:rsidR="00426B19" w:rsidRPr="00426B19">
        <w:rPr>
          <w:noProof/>
          <w:vertAlign w:val="superscript"/>
          <w:lang w:val="en-GB"/>
        </w:rPr>
        <w:t>278</w:t>
      </w:r>
      <w:r w:rsidR="00B42E9E" w:rsidRPr="0082680A">
        <w:rPr>
          <w:lang w:val="en-GB"/>
        </w:rPr>
        <w:fldChar w:fldCharType="end"/>
      </w:r>
      <w:r w:rsidR="00B42E9E" w:rsidRPr="0082680A">
        <w:rPr>
          <w:lang w:val="en-GB"/>
        </w:rPr>
        <w:t>.</w:t>
      </w:r>
    </w:p>
    <w:p w14:paraId="347C4D3B" w14:textId="77777777" w:rsidR="000D27A7" w:rsidRPr="0082680A" w:rsidRDefault="000D27A7" w:rsidP="00842FD0">
      <w:pPr>
        <w:pStyle w:val="Heading4"/>
        <w:rPr>
          <w:lang w:val="en-GB"/>
        </w:rPr>
      </w:pPr>
      <w:bookmarkStart w:id="224" w:name="_9k6l1f82a5uw" w:colFirst="0" w:colLast="0"/>
      <w:bookmarkStart w:id="225" w:name="_Toc3211392"/>
      <w:bookmarkEnd w:id="224"/>
      <w:r w:rsidRPr="0082680A">
        <w:rPr>
          <w:lang w:val="en-GB"/>
        </w:rPr>
        <w:lastRenderedPageBreak/>
        <w:t>UCHL1 (PARK5)</w:t>
      </w:r>
      <w:bookmarkEnd w:id="225"/>
    </w:p>
    <w:p w14:paraId="1FABA1E2" w14:textId="771312B6" w:rsidR="000D27A7" w:rsidRPr="0082680A" w:rsidRDefault="000D27A7" w:rsidP="000D27A7">
      <w:pPr>
        <w:rPr>
          <w:lang w:val="en-GB"/>
        </w:rPr>
      </w:pPr>
      <w:r w:rsidRPr="0082680A">
        <w:rPr>
          <w:lang w:val="en-GB"/>
        </w:rPr>
        <w:t>Ubiquitin C-Terminal Hydrolase L1 (</w:t>
      </w:r>
      <w:r w:rsidRPr="0082680A">
        <w:rPr>
          <w:i/>
          <w:lang w:val="en-GB"/>
        </w:rPr>
        <w:t>UCHL1</w:t>
      </w:r>
      <w:r w:rsidRPr="0082680A">
        <w:rPr>
          <w:lang w:val="en-GB"/>
        </w:rPr>
        <w:t xml:space="preserve">) is an enzyme whose role is to recycle chains of ubiquitin back to its monomeric form </w:t>
      </w:r>
      <w:r w:rsidR="00B42E9E" w:rsidRPr="0082680A">
        <w:rPr>
          <w:lang w:val="en-GB"/>
        </w:rPr>
        <w:fldChar w:fldCharType="begin" w:fldLock="1"/>
      </w:r>
      <w:r w:rsidR="000507BA">
        <w:rPr>
          <w:lang w:val="en-GB"/>
        </w:rPr>
        <w:instrText>ADDIN CSL_CITATION {"citationItems":[{"id":"ITEM-1","itemData":{"DOI":"10.1016/S0092-8674(02)01012-7","ISSN":"0092-8674","abstract":"The assumption that each enzyme expresses a single enzymatic activity in vivo is challenged by the linkage of the neuronal enzyme ubiquitin C-terminal hydrolase-L1 (UCH-L1) to Parkinson's disease (PD). UCH-L1, especially those variants linked to higher susceptibility to PD, causes the accumulation of α-synuclein in cultured cells, an effect that cannot be explained by its recognized hydrolase activity. UCH-L1 is shown here to exhibit a second, dimerization-dependent, ubiquityl ligase activity. A polymorphic variant of UCH-L1 that is associated with decreased PD risk (S18Y) has reduced ligase activity but comparable hydrolase activity as the wild-type enzyme. Thus, the ligase activity as well as the hydrolase activity of UCH-L1 may play a role in proteasomal protein degradation, a critical process for neuronal health.","author":[{"dropping-particle":"","family":"Liu","given":"Yichin","non-dropping-particle":"","parse-names":false,"suffix":""},{"dropping-particle":"","family":"Fallon","given":"Lara","non-dropping-particle":"","parse-names":false,"suffix":""},{"dropping-particle":"","family":"Lashuel","given":"Hilal A.","non-dropping-particle":"","parse-names":false,"suffix":""},{"dropping-particle":"","family":"Liu","given":"Zhihua","non-dropping-particle":"","parse-names":false,"suffix":""},{"dropping-particle":"","family":"Lansbury","given":"Peter T.","non-dropping-particle":"","parse-names":false,"suffix":""}],"container-title":"Cell","id":"ITEM-1","issue":"2","issued":{"date-parts":[["2002","10","18"]]},"page":"209-218","publisher":"Cell Press","title":"The UCH-L1 Gene Encodes Two Opposing Enzymatic Activities that Affect α-Synuclein Degradation and Parkinson's Disease Susceptibility","type":"article-journal","volume":"111"},"uris":["http://www.mendeley.com/documents/?uuid=1e97317a-12ec-3a56-8d65-992a8e36a13b"]}],"mendeley":{"formattedCitation":"&lt;sup&gt;279&lt;/sup&gt;","plainTextFormattedCitation":"279","previouslyFormattedCitation":"&lt;sup&gt;279&lt;/sup&gt;"},"properties":{"noteIndex":0},"schema":"https://github.com/citation-style-language/schema/raw/master/csl-citation.json"}</w:instrText>
      </w:r>
      <w:r w:rsidR="00B42E9E" w:rsidRPr="0082680A">
        <w:rPr>
          <w:lang w:val="en-GB"/>
        </w:rPr>
        <w:fldChar w:fldCharType="separate"/>
      </w:r>
      <w:r w:rsidR="00426B19" w:rsidRPr="00426B19">
        <w:rPr>
          <w:noProof/>
          <w:vertAlign w:val="superscript"/>
          <w:lang w:val="en-GB"/>
        </w:rPr>
        <w:t>279</w:t>
      </w:r>
      <w:r w:rsidR="00B42E9E" w:rsidRPr="0082680A">
        <w:rPr>
          <w:lang w:val="en-GB"/>
        </w:rPr>
        <w:fldChar w:fldCharType="end"/>
      </w:r>
      <w:r w:rsidRPr="0082680A">
        <w:rPr>
          <w:lang w:val="en-GB"/>
        </w:rPr>
        <w:t xml:space="preserve">. Considering that </w:t>
      </w:r>
      <w:r w:rsidRPr="0082680A">
        <w:rPr>
          <w:i/>
          <w:lang w:val="en-GB"/>
        </w:rPr>
        <w:t>UCHL1</w:t>
      </w:r>
      <w:r w:rsidRPr="0082680A">
        <w:rPr>
          <w:lang w:val="en-GB"/>
        </w:rPr>
        <w:t xml:space="preserve"> is widely expressed in neurons, and its protein has been shown to recruit to Lewy Bodies, its genetic association with PD was unsurprising. This genetic relationship, however, has been widely debated </w:t>
      </w:r>
      <w:r w:rsidR="00B42E9E" w:rsidRPr="0082680A">
        <w:rPr>
          <w:lang w:val="en-GB"/>
        </w:rPr>
        <w:fldChar w:fldCharType="begin" w:fldLock="1"/>
      </w:r>
      <w:r w:rsidR="000507BA">
        <w:rPr>
          <w:lang w:val="en-GB"/>
        </w:rPr>
        <w:instrText>ADDIN CSL_CITATION {"citationItems":[{"id":"ITEM-1","itemData":{"DOI":"10.1002/ana.20017","ISBN":"0364-5134 (Print)\\n0364-5134 (Linking)","ISSN":"03645134","PMID":"15048890","abstract":"The reported inverse association between the S18Y variant of the ubiquitin carboxy-terminal hydrolase L1 (UCHL1) gene and Parkinson's disease (PD) has strong biological plausibility. If confirmed, genetic association of this variant with PD may support molecular targeting of the UCHL1 gene and its product as a therapeutic strategy for PD. In this light, we performed a collaborative pooled analysis of individual-level data from all 11 published studies of the UCHL1 S18Y gene variant and PD. There were 1,970 cases and 2,224 unrelated controls. We found a statistically significant inverse association of S18Y with PD. Carriers of the variant allele (Y/Y plus Y/S vs S/S) had an odds ratio (OR) of 0.84 (95% confidence interval [CI], 0.73-0.95) and homozygotes for the variant allele (Y/Y vs S/S plus Y/S) had an OR of 0.71 (95% CI, 0.57-0.88). There was a linear trend in the log OR consistent with a gene dose effect (p = 0.01). The inverse association was most apparent for young cases compared with young controls. There was no evidence for publication bias and the associations remained significant after excluding the first published, hypothesis-generating study. These findings confirm that UCHL1 is a susceptibility gene for PD and a potential target for disease-modifying therapies.","author":[{"dropping-particle":"","family":"Maraganore","given":"Demetrius M.","non-dropping-particle":"","parse-names":false,"suffix":""},{"dropping-particle":"","family":"Lesnick","given":"Timothy G.","non-dropping-particle":"","parse-names":false,"suffix":""},{"dropping-particle":"","family":"Elbaz","given":"Alexis","non-dropping-particle":"","parse-names":false,"suffix":""},{"dropping-particle":"","family":"Chartier-Harlin","given":"Marie-Christine Christine","non-dropping-particle":"","parse-names":false,"suffix":""},{"dropping-particle":"","family":"Gasser","given":"Thomas","non-dropping-particle":"","parse-names":false,"suffix":""},{"dropping-particle":"","family":"Krüger","given":"Rejko","non-dropping-particle":"","parse-names":false,"suffix":""},{"dropping-particle":"","family":"Hattori","given":"Nobutaka","non-dropping-particle":"","parse-names":false,"suffix":""},{"dropping-particle":"","family":"Mellick","given":"George D.","non-dropping-particle":"","parse-names":false,"suffix":""},{"dropping-particle":"","family":"Quattrone","given":"Aldo","non-dropping-particle":"","parse-names":false,"suffix":""},{"dropping-particle":"","family":"Satoh","given":"Jun-Ichi Ichi","non-dropping-particle":"","parse-names":false,"suffix":""},{"dropping-particle":"","family":"Toda","given":"Taksushi","non-dropping-particle":"","parse-names":false,"suffix":""},{"dropping-particle":"","family":"Wang","given":"Jian","non-dropping-particle":"","parse-names":false,"suffix":""},{"dropping-particle":"","family":"Ioannidis","given":"John P.A.","non-dropping-particle":"","parse-names":false,"suffix":""},{"dropping-particle":"","family":"Andrade","given":"Mariza","non-dropping-particle":"De","parse-names":false,"suffix":""},{"dropping-particle":"","family":"Rocca","given":"Walter A.","non-dropping-particle":"","parse-names":false,"suffix":""}],"container-title":"Annals of Neurology","id":"ITEM-1","issue":"4","issued":{"date-parts":[["2004","4","1"]]},"page":"512-521","publisher":"Wiley-Blackwell","title":"UCHL1 is a Parkinson's disease susceptibility gene","type":"article-journal","volume":"55"},"uris":["http://www.mendeley.com/documents/?uuid=f06376e8-20ea-4acc-8910-89eaac849a0c"]},{"id":"ITEM-2","itemData":{"DOI":"10.1002/ana.20757","ISSN":"03645134","author":[{"dropping-particle":"","family":"Healy","given":"Daniel G.","non-dropping-particle":"","parse-names":false,"suffix":""},{"dropping-particle":"","family":"Abou-Sleiman","given":"Patrick M.","non-dropping-particle":"","parse-names":false,"suffix":""},{"dropping-particle":"","family":"Casas","given":"Juan P.","non-dropping-particle":"","parse-names":false,"suffix":""},{"dropping-particle":"","family":"Ahmadi","given":"Kourosh R.","non-dropping-particle":"","parse-names":false,"suffix":""},{"dropping-particle":"","family":"Lynch","given":"Timothy","non-dropping-particle":"","parse-names":false,"suffix":""},{"dropping-particle":"","family":"Gandhi","given":"Sonia","non-dropping-particle":"","parse-names":false,"suffix":""},{"dropping-particle":"","family":"Muqit","given":"Miratul M. K.","non-dropping-particle":"","parse-names":false,"suffix":""},{"dropping-particle":"","family":"Foltynie","given":"Thomas","non-dropping-particle":"","parse-names":false,"suffix":""},{"dropping-particle":"","family":"Barker","given":"Roger","non-dropping-particle":"","parse-names":false,"suffix":""},{"dropping-particle":"","family":"Bhatia","given":"Kailash P.","non-dropping-particle":"","parse-names":false,"suffix":""},{"dropping-particle":"","family":"Quinn","given":"Niall P.","non-dropping-particle":"","parse-names":false,"suffix":""},{"dropping-particle":"","family":"Lees","given":"Andrew J.","non-dropping-particle":"","parse-names":false,"suffix":""},{"dropping-particle":"","family":"Gibson","given":"J. Mark","non-dropping-particle":"","parse-names":false,"suffix":""},{"dropping-particle":"","family":"Holton","given":"Janice L.","non-dropping-particle":"","parse-names":false,"suffix":""},{"dropping-particle":"","family":"Revesz","given":"Tamas","non-dropping-particle":"","parse-names":false,"suffix":""},{"dropping-particle":"","family":"Goldstein","given":"David B.","non-dropping-particle":"","parse-names":false,"suffix":""},{"dropping-particle":"","family":"Wood","given":"Nicholas W.","non-dropping-particle":"","parse-names":false,"suffix":""}],"container-title":"Annals of Neurology","id":"ITEM-2","issue":"4","issued":{"date-parts":[["2006","4","1"]]},"page":"627-633","publisher":"Wiley-Blackwell","title":"&lt;i&gt;UCHL-1&lt;/i&gt; is not a Parkinson's disease susceptibility gene","type":"article-journal","volume":"59"},"uris":["http://www.mendeley.com/documents/?uuid=c0cb3bfd-bdd5-432e-8e42-ea48ebc5e994"]}],"mendeley":{"formattedCitation":"&lt;sup&gt;280,281&lt;/sup&gt;","plainTextFormattedCitation":"280,281","previouslyFormattedCitation":"&lt;sup&gt;280,281&lt;/sup&gt;"},"properties":{"noteIndex":0},"schema":"https://github.com/citation-style-language/schema/raw/master/csl-citation.json"}</w:instrText>
      </w:r>
      <w:r w:rsidR="00B42E9E" w:rsidRPr="0082680A">
        <w:rPr>
          <w:lang w:val="en-GB"/>
        </w:rPr>
        <w:fldChar w:fldCharType="separate"/>
      </w:r>
      <w:r w:rsidR="00426B19" w:rsidRPr="00426B19">
        <w:rPr>
          <w:noProof/>
          <w:vertAlign w:val="superscript"/>
          <w:lang w:val="en-GB"/>
        </w:rPr>
        <w:t>280,281</w:t>
      </w:r>
      <w:r w:rsidR="00B42E9E" w:rsidRPr="0082680A">
        <w:rPr>
          <w:lang w:val="en-GB"/>
        </w:rPr>
        <w:fldChar w:fldCharType="end"/>
      </w:r>
      <w:r w:rsidRPr="0082680A">
        <w:rPr>
          <w:lang w:val="en-GB"/>
        </w:rPr>
        <w:t xml:space="preserve">. In 1998, a missense mutation was identified in two German siblings with PD </w:t>
      </w:r>
      <w:r w:rsidR="003B49F9" w:rsidRPr="0082680A">
        <w:rPr>
          <w:lang w:val="en-GB"/>
        </w:rPr>
        <w:fldChar w:fldCharType="begin" w:fldLock="1"/>
      </w:r>
      <w:r w:rsidR="000507BA">
        <w:rPr>
          <w:lang w:val="en-GB"/>
        </w:rPr>
        <w:instrText>ADDIN CSL_CITATION {"citationItems":[{"id":"ITEM-1","itemData":{"DOI":"10.1038/26652","ISSN":"0028-0836","author":[{"dropping-particle":"","family":"Leroy","given":"Elisabeth","non-dropping-particle":"","parse-names":false,"suffix":""},{"dropping-particle":"","family":"Boyer","given":"Rebecca","non-dropping-particle":"","parse-names":false,"suffix":""},{"dropping-particle":"","family":"Auburger","given":"Georg","non-dropping-particle":"","parse-names":false,"suffix":""},{"dropping-particle":"","family":"Leube","given":"Barbara","non-dropping-particle":"","parse-names":false,"suffix":""},{"dropping-particle":"","family":"Ulm","given":"Gudrun","non-dropping-particle":"","parse-names":false,"suffix":""},{"dropping-particle":"","family":"Mezey","given":"Eva","non-dropping-particle":"","parse-names":false,"suffix":""},{"dropping-particle":"","family":"Harta","given":"Gyongyi","non-dropping-particle":"","parse-names":false,"suffix":""},{"dropping-particle":"","family":"Brownstein","given":"Michael J.","non-dropping-particle":"","parse-names":false,"suffix":""},{"dropping-particle":"","family":"Jonnalagada","given":"Sobhanadditya","non-dropping-particle":"","parse-names":false,"suffix":""},{"dropping-particle":"","family":"Chernova","given":"Tanya","non-dropping-particle":"","parse-names":false,"suffix":""},{"dropping-particle":"","family":"Dehejia","given":"Anindya","non-dropping-particle":"","parse-names":false,"suffix":""},{"dropping-particle":"","family":"Lavedan","given":"Christian","non-dropping-particle":"","parse-names":false,"suffix":""},{"dropping-particle":"","family":"Gasser","given":"Thomas","non-dropping-particle":"","parse-names":false,"suffix":""},{"dropping-particle":"","family":"Steinbach","given":"Peter J.","non-dropping-particle":"","parse-names":false,"suffix":""},{"dropping-particle":"","family":"Wilkinson","given":"Keith D.","non-dropping-particle":"","parse-names":false,"suffix":""},{"dropping-particle":"","family":"Polymeropoulos","given":"Mihael H.","non-dropping-particle":"","parse-names":false,"suffix":""}],"container-title":"Nature","id":"ITEM-1","issue":"6701","issued":{"date-parts":[["1998","10","1"]]},"page":"451-452","title":"The ubiquitin pathway in Parkinson's disease","type":"article-journal","volume":"395"},"uris":["http://www.mendeley.com/documents/?uuid=6a739670-6a80-3441-98ca-13e4431bed5d"]}],"mendeley":{"formattedCitation":"&lt;sup&gt;282&lt;/sup&gt;","plainTextFormattedCitation":"282","previouslyFormattedCitation":"&lt;sup&gt;282&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282</w:t>
      </w:r>
      <w:r w:rsidR="003B49F9" w:rsidRPr="0082680A">
        <w:rPr>
          <w:lang w:val="en-GB"/>
        </w:rPr>
        <w:fldChar w:fldCharType="end"/>
      </w:r>
      <w:r w:rsidRPr="0082680A">
        <w:rPr>
          <w:lang w:val="en-GB"/>
        </w:rPr>
        <w:t xml:space="preserve">. A number of follow-up studies revealed mixed results, but through meta-analysis a significant relationship between the S18Y mutation in </w:t>
      </w:r>
      <w:r w:rsidRPr="0082680A">
        <w:rPr>
          <w:i/>
          <w:lang w:val="en-GB"/>
        </w:rPr>
        <w:t>UCHL1</w:t>
      </w:r>
      <w:r w:rsidRPr="0082680A">
        <w:rPr>
          <w:lang w:val="en-GB"/>
        </w:rPr>
        <w:t xml:space="preserve"> and PD was discovered </w:t>
      </w:r>
      <w:r w:rsidR="003B49F9" w:rsidRPr="0082680A">
        <w:rPr>
          <w:lang w:val="en-GB"/>
        </w:rPr>
        <w:fldChar w:fldCharType="begin" w:fldLock="1"/>
      </w:r>
      <w:r w:rsidR="000507BA">
        <w:rPr>
          <w:lang w:val="en-GB"/>
        </w:rPr>
        <w:instrText>ADDIN CSL_CITATION {"citationItems":[{"id":"ITEM-1","itemData":{"DOI":"10.1002/ana.20017","ISBN":"0364-5134 (Print)\\n0364-5134 (Linking)","ISSN":"03645134","PMID":"15048890","abstract":"The reported inverse association between the S18Y variant of the ubiquitin carboxy-terminal hydrolase L1 (UCHL1) gene and Parkinson's disease (PD) has strong biological plausibility. If confirmed, genetic association of this variant with PD may support molecular targeting of the UCHL1 gene and its product as a therapeutic strategy for PD. In this light, we performed a collaborative pooled analysis of individual-level data from all 11 published studies of the UCHL1 S18Y gene variant and PD. There were 1,970 cases and 2,224 unrelated controls. We found a statistically significant inverse association of S18Y with PD. Carriers of the variant allele (Y/Y plus Y/S vs S/S) had an odds ratio (OR) of 0.84 (95% confidence interval [CI], 0.73-0.95) and homozygotes for the variant allele (Y/Y vs S/S plus Y/S) had an OR of 0.71 (95% CI, 0.57-0.88). There was a linear trend in the log OR consistent with a gene dose effect (p = 0.01). The inverse association was most apparent for young cases compared with young controls. There was no evidence for publication bias and the associations remained significant after excluding the first published, hypothesis-generating study. These findings confirm that UCHL1 is a susceptibility gene for PD and a potential target for disease-modifying therapies.","author":[{"dropping-particle":"","family":"Maraganore","given":"Demetrius M.","non-dropping-particle":"","parse-names":false,"suffix":""},{"dropping-particle":"","family":"Lesnick","given":"Timothy G.","non-dropping-particle":"","parse-names":false,"suffix":""},{"dropping-particle":"","family":"Elbaz","given":"Alexis","non-dropping-particle":"","parse-names":false,"suffix":""},{"dropping-particle":"","family":"Chartier-Harlin","given":"Marie-Christine Christine","non-dropping-particle":"","parse-names":false,"suffix":""},{"dropping-particle":"","family":"Gasser","given":"Thomas","non-dropping-particle":"","parse-names":false,"suffix":""},{"dropping-particle":"","family":"Krüger","given":"Rejko","non-dropping-particle":"","parse-names":false,"suffix":""},{"dropping-particle":"","family":"Hattori","given":"Nobutaka","non-dropping-particle":"","parse-names":false,"suffix":""},{"dropping-particle":"","family":"Mellick","given":"George D.","non-dropping-particle":"","parse-names":false,"suffix":""},{"dropping-particle":"","family":"Quattrone","given":"Aldo","non-dropping-particle":"","parse-names":false,"suffix":""},{"dropping-particle":"","family":"Satoh","given":"Jun-Ichi Ichi","non-dropping-particle":"","parse-names":false,"suffix":""},{"dropping-particle":"","family":"Toda","given":"Taksushi","non-dropping-particle":"","parse-names":false,"suffix":""},{"dropping-particle":"","family":"Wang","given":"Jian","non-dropping-particle":"","parse-names":false,"suffix":""},{"dropping-particle":"","family":"Ioannidis","given":"John P.A.","non-dropping-particle":"","parse-names":false,"suffix":""},{"dropping-particle":"","family":"Andrade","given":"Mariza","non-dropping-particle":"De","parse-names":false,"suffix":""},{"dropping-particle":"","family":"Rocca","given":"Walter A.","non-dropping-particle":"","parse-names":false,"suffix":""}],"container-title":"Annals of Neurology","id":"ITEM-1","issue":"4","issued":{"date-parts":[["2004","4","1"]]},"page":"512-521","publisher":"Wiley-Blackwell","title":"UCHL1 is a Parkinson's disease susceptibility gene","type":"article-journal","volume":"55"},"uris":["http://www.mendeley.com/documents/?uuid=f06376e8-20ea-4acc-8910-89eaac849a0c"]}],"mendeley":{"formattedCitation":"&lt;sup&gt;280&lt;/sup&gt;","plainTextFormattedCitation":"280","previouslyFormattedCitation":"&lt;sup&gt;280&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280</w:t>
      </w:r>
      <w:r w:rsidR="003B49F9" w:rsidRPr="0082680A">
        <w:rPr>
          <w:lang w:val="en-GB"/>
        </w:rPr>
        <w:fldChar w:fldCharType="end"/>
      </w:r>
      <w:r w:rsidRPr="0082680A">
        <w:rPr>
          <w:lang w:val="en-GB"/>
        </w:rPr>
        <w:t>. Questioning the validity of these results, a later study was conducted on over 3000 individuals with PD, and found no significant association</w:t>
      </w:r>
      <w:r w:rsidR="003B49F9" w:rsidRPr="0082680A">
        <w:rPr>
          <w:lang w:val="en-GB"/>
        </w:rPr>
        <w:t xml:space="preserve"> </w:t>
      </w:r>
      <w:r w:rsidR="003B49F9" w:rsidRPr="0082680A">
        <w:rPr>
          <w:lang w:val="en-GB"/>
        </w:rPr>
        <w:fldChar w:fldCharType="begin" w:fldLock="1"/>
      </w:r>
      <w:r w:rsidR="000507BA">
        <w:rPr>
          <w:lang w:val="en-GB"/>
        </w:rPr>
        <w:instrText>ADDIN CSL_CITATION {"citationItems":[{"id":"ITEM-1","itemData":{"DOI":"10.1002/ana.20757","ISSN":"03645134","author":[{"dropping-particle":"","family":"Healy","given":"Daniel G.","non-dropping-particle":"","parse-names":false,"suffix":""},{"dropping-particle":"","family":"Abou-Sleiman","given":"Patrick M.","non-dropping-particle":"","parse-names":false,"suffix":""},{"dropping-particle":"","family":"Casas","given":"Juan P.","non-dropping-particle":"","parse-names":false,"suffix":""},{"dropping-particle":"","family":"Ahmadi","given":"Kourosh R.","non-dropping-particle":"","parse-names":false,"suffix":""},{"dropping-particle":"","family":"Lynch","given":"Timothy","non-dropping-particle":"","parse-names":false,"suffix":""},{"dropping-particle":"","family":"Gandhi","given":"Sonia","non-dropping-particle":"","parse-names":false,"suffix":""},{"dropping-particle":"","family":"Muqit","given":"Miratul M. K.","non-dropping-particle":"","parse-names":false,"suffix":""},{"dropping-particle":"","family":"Foltynie","given":"Thomas","non-dropping-particle":"","parse-names":false,"suffix":""},{"dropping-particle":"","family":"Barker","given":"Roger","non-dropping-particle":"","parse-names":false,"suffix":""},{"dropping-particle":"","family":"Bhatia","given":"Kailash P.","non-dropping-particle":"","parse-names":false,"suffix":""},{"dropping-particle":"","family":"Quinn","given":"Niall P.","non-dropping-particle":"","parse-names":false,"suffix":""},{"dropping-particle":"","family":"Lees","given":"Andrew J.","non-dropping-particle":"","parse-names":false,"suffix":""},{"dropping-particle":"","family":"Gibson","given":"J. Mark","non-dropping-particle":"","parse-names":false,"suffix":""},{"dropping-particle":"","family":"Holton","given":"Janice L.","non-dropping-particle":"","parse-names":false,"suffix":""},{"dropping-particle":"","family":"Revesz","given":"Tamas","non-dropping-particle":"","parse-names":false,"suffix":""},{"dropping-particle":"","family":"Goldstein","given":"David B.","non-dropping-particle":"","parse-names":false,"suffix":""},{"dropping-particle":"","family":"Wood","given":"Nicholas W.","non-dropping-particle":"","parse-names":false,"suffix":""}],"container-title":"Annals of Neurology","id":"ITEM-1","issue":"4","issued":{"date-parts":[["2006","4","1"]]},"page":"627-633","publisher":"Wiley-Blackwell","title":"&lt;i&gt;UCHL-1&lt;/i&gt; is not a Parkinson's disease susceptibility gene","type":"article-journal","volume":"59"},"uris":["http://www.mendeley.com/documents/?uuid=c0cb3bfd-bdd5-432e-8e42-ea48ebc5e994"]}],"mendeley":{"formattedCitation":"&lt;sup&gt;281&lt;/sup&gt;","plainTextFormattedCitation":"281","previouslyFormattedCitation":"&lt;sup&gt;281&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281</w:t>
      </w:r>
      <w:r w:rsidR="003B49F9" w:rsidRPr="0082680A">
        <w:rPr>
          <w:lang w:val="en-GB"/>
        </w:rPr>
        <w:fldChar w:fldCharType="end"/>
      </w:r>
      <w:r w:rsidRPr="0082680A">
        <w:rPr>
          <w:lang w:val="en-GB"/>
        </w:rPr>
        <w:t xml:space="preserve">. It was postulated that perhaps </w:t>
      </w:r>
      <w:r w:rsidRPr="0082680A">
        <w:rPr>
          <w:i/>
          <w:lang w:val="en-GB"/>
        </w:rPr>
        <w:t>UCHL1’s</w:t>
      </w:r>
      <w:r w:rsidRPr="0082680A">
        <w:rPr>
          <w:lang w:val="en-GB"/>
        </w:rPr>
        <w:t xml:space="preserve"> association with PD could be through linkage disequilibrium with a genuine causative gene. Knockdown mouse models for </w:t>
      </w:r>
      <w:r w:rsidRPr="0082680A">
        <w:rPr>
          <w:i/>
          <w:lang w:val="en-GB"/>
        </w:rPr>
        <w:t>UCHL1</w:t>
      </w:r>
      <w:r w:rsidRPr="0082680A">
        <w:rPr>
          <w:lang w:val="en-GB"/>
        </w:rPr>
        <w:t xml:space="preserve">, however, have been shown to produce a neurodegenerative phenotype </w:t>
      </w:r>
      <w:r w:rsidR="003B49F9" w:rsidRPr="0082680A">
        <w:rPr>
          <w:lang w:val="en-GB"/>
        </w:rPr>
        <w:fldChar w:fldCharType="begin" w:fldLock="1"/>
      </w:r>
      <w:r w:rsidR="000507BA">
        <w:rPr>
          <w:lang w:val="en-GB"/>
        </w:rPr>
        <w:instrText>ADDIN CSL_CITATION {"citationItems":[{"id":"ITEM-1","itemData":{"DOI":"10.3389/fnagi.2014.00129","ISSN":"1663-4365","PMID":"24994982","abstract":"UCHL1 (ubiquitin carboxyterminal hydrolase 1) is a deubiquitinating enzyme that is particularly abundant in neurons. From studies of a spontaneous mutation arising in a mouse line it is clear that loss of function of UCHL1 generates profound degenerative changes in the central nervous system, and it is likely that a proteolytic deficit contributes to the pathology. Here these effects were found to be recapitulated in mice in which the Uchl1 gene had been inactivated by homologous recombination. In addition to the previously documented neuropathology associated with loss of UCHL1 function, axonal swellings were detected in the striatum. In agreement with previously reported findings the loss of UCHL1 function was accompanied by perturbations in ubiquitin pools, but glutathione levels were also significantly depleted in the brains of the knockout mice, suggesting that oxidative defense mechanisms may be doubly compromised. To determine if, in addition to its role in the central nervous system, UCHL1 function is also required for homeostasis of the enteric nervous system the gastrointestinal tract was analyzed in UCHL1 knockout mice. The mice displayed functional changes and morphological changes in gut neurons that preceded degenerative changes in the brain. The changes were qualitatively and quantitatively similar to those observed in wild type mice of much greater age, and strongly resemble changes reported for elderly humans. UCHL1 knockout mice should therefore serve as a useful model of gut aging.","author":[{"dropping-particle":"","family":"Coulombe","given":"Josée","non-dropping-particle":"","parse-names":false,"suffix":""},{"dropping-particle":"","family":"Gamage","given":"Prasanna","non-dropping-particle":"","parse-names":false,"suffix":""},{"dropping-particle":"","family":"Gray","given":"Madison T","non-dropping-particle":"","parse-names":false,"suffix":""},{"dropping-particle":"","family":"Zhang","given":"Mei","non-dropping-particle":"","parse-names":false,"suffix":""},{"dropping-particle":"","family":"Tang","given":"Matthew Y","non-dropping-particle":"","parse-names":false,"suffix":""},{"dropping-particle":"","family":"Woulfe","given":"John","non-dropping-particle":"","parse-names":false,"suffix":""},{"dropping-particle":"","family":"Saffrey","given":"M Jill","non-dropping-particle":"","parse-names":false,"suffix":""},{"dropping-particle":"","family":"Gray","given":"Douglas A","non-dropping-particle":"","parse-names":false,"suffix":""}],"container-title":"Frontiers in aging neuroscience","id":"ITEM-1","issued":{"date-parts":[["2014"]]},"page":"129","publisher":"Frontiers Media SA","title":"Loss of UCHL1 promotes age-related degenerative changes in the enteric nervous system.","type":"article-journal","volume":"6"},"uris":["http://www.mendeley.com/documents/?uuid=4179de8b-31be-3c25-afe3-78fb0cb08654"]}],"mendeley":{"formattedCitation":"&lt;sup&gt;283&lt;/sup&gt;","plainTextFormattedCitation":"283","previouslyFormattedCitation":"&lt;sup&gt;283&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283</w:t>
      </w:r>
      <w:r w:rsidR="003B49F9" w:rsidRPr="0082680A">
        <w:rPr>
          <w:lang w:val="en-GB"/>
        </w:rPr>
        <w:fldChar w:fldCharType="end"/>
      </w:r>
      <w:r w:rsidRPr="0082680A">
        <w:rPr>
          <w:lang w:val="en-GB"/>
        </w:rPr>
        <w:t xml:space="preserve">. </w:t>
      </w:r>
      <w:r w:rsidR="00A24D9F" w:rsidRPr="0082680A">
        <w:rPr>
          <w:lang w:val="en-GB"/>
        </w:rPr>
        <w:t>So,</w:t>
      </w:r>
      <w:r w:rsidRPr="0082680A">
        <w:rPr>
          <w:lang w:val="en-GB"/>
        </w:rPr>
        <w:t xml:space="preserve"> while </w:t>
      </w:r>
      <w:r w:rsidRPr="0082680A">
        <w:rPr>
          <w:i/>
          <w:lang w:val="en-GB"/>
        </w:rPr>
        <w:t>UCHL1</w:t>
      </w:r>
      <w:r w:rsidRPr="0082680A">
        <w:rPr>
          <w:lang w:val="en-GB"/>
        </w:rPr>
        <w:t xml:space="preserve"> shows many signs of being a causative PD gene, it is yet to be confirmed.</w:t>
      </w:r>
    </w:p>
    <w:p w14:paraId="166E1F97" w14:textId="77777777" w:rsidR="000D27A7" w:rsidRPr="0082680A" w:rsidRDefault="000D27A7" w:rsidP="00842FD0">
      <w:pPr>
        <w:pStyle w:val="Heading4"/>
        <w:rPr>
          <w:lang w:val="en-GB"/>
        </w:rPr>
      </w:pPr>
      <w:bookmarkStart w:id="226" w:name="_wvjo027emygb" w:colFirst="0" w:colLast="0"/>
      <w:bookmarkStart w:id="227" w:name="_Toc3211393"/>
      <w:bookmarkEnd w:id="226"/>
      <w:r w:rsidRPr="0082680A">
        <w:rPr>
          <w:lang w:val="en-GB"/>
        </w:rPr>
        <w:t>PINK1 (PARK6)</w:t>
      </w:r>
      <w:bookmarkEnd w:id="227"/>
    </w:p>
    <w:p w14:paraId="19BE9815" w14:textId="1BDB1445" w:rsidR="000D27A7" w:rsidRPr="0082680A" w:rsidRDefault="000D27A7" w:rsidP="000D27A7">
      <w:pPr>
        <w:rPr>
          <w:lang w:val="en-GB"/>
        </w:rPr>
      </w:pPr>
      <w:r w:rsidRPr="0082680A">
        <w:rPr>
          <w:lang w:val="en-GB"/>
        </w:rPr>
        <w:t>PTEN-induced putative kinase 1 (</w:t>
      </w:r>
      <w:r w:rsidRPr="0082680A">
        <w:rPr>
          <w:i/>
          <w:lang w:val="en-GB"/>
        </w:rPr>
        <w:t>PINK1</w:t>
      </w:r>
      <w:r w:rsidRPr="0082680A">
        <w:rPr>
          <w:lang w:val="en-GB"/>
        </w:rPr>
        <w:t xml:space="preserve">) is a serine/threonine protein kinase which protects mitochondria during cellular stress by phosphorylating mitochondrial proteins </w:t>
      </w:r>
      <w:r w:rsidR="003B49F9" w:rsidRPr="0082680A">
        <w:rPr>
          <w:lang w:val="en-GB"/>
        </w:rPr>
        <w:fldChar w:fldCharType="begin" w:fldLock="1"/>
      </w:r>
      <w:r w:rsidR="000507BA">
        <w:rPr>
          <w:lang w:val="en-GB"/>
        </w:rPr>
        <w:instrText>ADDIN CSL_CITATION {"citationItems":[{"id":"ITEM-1","itemData":{"DOI":"10.1371/journal.pbio.0050172","ISSN":"1545-7885","abstract":"Mutations in the PTEN induced putative kinase 1 (PINK1) gene cause an autosomal recessive form of Parkinson disease (PD). So far, no substrates of PINK1 have been reported, and the mechanism by which PINK1 mutations lead to neurodegeneration is unknown. Here we report the identification of TNF receptor-associated protein 1 (TRAP1), a mitochondrial molecular chaperone also known as heat shock protein 75 (Hsp75), as a cellular substrate for PINK1 kinase. PINK1 binds and colocalizes with TRAP1 in the mitochondria and phosphorylates TRAP1 both in vitro and in vivo. We show that PINK1 protects against oxidative-stress-induced cell death by suppressing cytochrome c release from mitochondria, and this protective action of PINK1 depends on its kinase activity to phosphorylate TRAP1. Moreover, we find that the ability of PINK1 to promote TRAP1 phosphorylation and cell survival is impaired by PD-linked PINK1 G309D, L347P, and W437X mutations. Our findings suggest a novel pathway by which PINK1 phosphorylates downstream effector TRAP1 to prevent oxidative-stress-induced apoptosis and implicate the dysregulation of this mitochondrial pathway in PD pathogenesis.","author":[{"dropping-particle":"","family":"Pridgeon","given":"Julia W","non-dropping-particle":"","parse-names":false,"suffix":""},{"dropping-particle":"","family":"Olzmann","given":"James A","non-dropping-particle":"","parse-names":false,"suffix":""},{"dropping-particle":"","family":"Chin","given":"Lih-Shen","non-dropping-particle":"","parse-names":false,"suffix":""},{"dropping-particle":"","family":"Li","given":"Lian","non-dropping-particle":"","parse-names":false,"suffix":""}],"container-title":"PLoS Biology","editor":[{"dropping-particle":"","family":"Zoghbi","given":"Huda Y","non-dropping-particle":"","parse-names":false,"suffix":""}],"id":"ITEM-1","issue":"7","issued":{"date-parts":[["2007","6","19"]]},"page":"e172","publisher":"Public Library of Science","title":"PINK1 Protects against Oxidative Stress by Phosphorylating Mitochondrial Chaperone TRAP1","type":"article-journal","volume":"5"},"uris":["http://www.mendeley.com/documents/?uuid=06bf1936-04dd-348a-960a-8a6684564b83"]}],"mendeley":{"formattedCitation":"&lt;sup&gt;284&lt;/sup&gt;","plainTextFormattedCitation":"284","previouslyFormattedCitation":"&lt;sup&gt;284&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284</w:t>
      </w:r>
      <w:r w:rsidR="003B49F9" w:rsidRPr="0082680A">
        <w:rPr>
          <w:lang w:val="en-GB"/>
        </w:rPr>
        <w:fldChar w:fldCharType="end"/>
      </w:r>
      <w:r w:rsidRPr="0082680A">
        <w:rPr>
          <w:lang w:val="en-GB"/>
        </w:rPr>
        <w:t xml:space="preserve">. If mitochondria do become damaged, it also aids in the mitophagy process, alongside Parkin </w:t>
      </w:r>
      <w:r w:rsidR="003B49F9" w:rsidRPr="0082680A">
        <w:rPr>
          <w:lang w:val="en-GB"/>
        </w:rPr>
        <w:fldChar w:fldCharType="begin" w:fldLock="1"/>
      </w:r>
      <w:r w:rsidR="000507BA">
        <w:rPr>
          <w:lang w:val="en-GB"/>
        </w:rPr>
        <w:instrText>ADDIN CSL_CITATION {"citationItems":[{"id":"ITEM-1","itemData":{"DOI":"10.1038/ncb2012","ISSN":"1465-7392","abstract":"The E3 ubiquitin ligase Parkin mediates the clearance of depolarized mitochondria through the autophagy pathway. PINK1 kinase activity is required for Parkin translocation to depolarized mitochondria where Parkin generates polyubiquitin chains on the voltage-dependent anion channel (VDAC1) to recruit the autophagic adaptor p62/SQSTM1.","author":[{"dropping-particle":"","family":"Geisler","given":"Sven","non-dropping-particle":"","parse-names":false,"suffix":""},{"dropping-particle":"","family":"Holmström","given":"Kira M.","non-dropping-particle":"","parse-names":false,"suffix":""},{"dropping-particle":"","family":"Skujat","given":"Diana","non-dropping-particle":"","parse-names":false,"suffix":""},{"dropping-particle":"","family":"Fiesel","given":"Fabienne C.","non-dropping-particle":"","parse-names":false,"suffix":""},{"dropping-particle":"","family":"Rothfuss","given":"Oliver C.","non-dropping-particle":"","parse-names":false,"suffix":""},{"dropping-particle":"","family":"Kahle","given":"Philipp J.","non-dropping-particle":"","parse-names":false,"suffix":""},{"dropping-particle":"","family":"Springer","given":"Wolfdieter","non-dropping-particle":"","parse-names":false,"suffix":""}],"container-title":"Nature Cell Biology","id":"ITEM-1","issue":"2","issued":{"date-parts":[["2010","2","24"]]},"page":"119-131","publisher":"Nature Publishing Group","title":"PINK1/Parkin-mediated mitophagy is dependent on VDAC1 and p62/SQSTM1","type":"article-journal","volume":"12"},"uris":["http://www.mendeley.com/documents/?uuid=c9ba9dc4-b1f2-4e9a-b3fe-a3fecf9c31cc"]},{"id":"ITEM-2","itemData":{"DOI":"10.1073/pnas.0911187107","ISSN":"1091-6490","PMID":"19966284","abstract":"Phosphatase and tensin homolog (PTEN)-induced putative kinase 1 (PINK1) and PARK2/Parkin mutations cause autosomal recessive forms of Parkinson's disease. Upon a loss of mitochondrial membrane potential (DeltaPsi(m)) in human cells, cytosolic Parkin has been reported to be recruited to mitochondria, which is followed by a stimulation of mitochondrial autophagy. Here, we show that the relocation of Parkin to mitochondria induced by a collapse of DeltaPsi(m) relies on PINK1 expression and that overexpression of WT but not of mutated PINK1 causes Parkin translocation to mitochondria, even in cells with normal DeltaPsi(m). We also show that once at the mitochondria, Parkin is in close proximity to PINK1, but we find no evidence that Parkin catalyzes PINK1 ubiquitination or that PINK1 phosphorylates Parkin. However, co-overexpression of Parkin and PINK1 collapses the normal tubular mitochondrial network into mitochondrial aggregates and/or large perinuclear clusters, many of which are surrounded by autophagic vacuoles. Our results suggest that Parkin, together with PINK1, modulates mitochondrial trafficking, especially to the perinuclear region, a subcellular area associated with autophagy. Thus by impairing this process, mutations in either Parkin or PINK1 may alter mitochondrial turnover which, in turn, may cause the accumulation of defective mitochondria and, ultimately, neurodegeneration in Parkinson's disease.","author":[{"dropping-particle":"","family":"Vives-Bauza","given":"Cristofol","non-dropping-particle":"","parse-names":false,"suffix":""},{"dropping-particle":"","family":"Zhou","given":"Chun","non-dropping-particle":"","parse-names":false,"suffix":""},{"dropping-particle":"","family":"Huang","given":"Yong","non-dropping-particle":"","parse-names":false,"suffix":""},{"dropping-particle":"","family":"Cui","given":"Mei","non-dropping-particle":"","parse-names":false,"suffix":""},{"dropping-particle":"","family":"Vries","given":"Rosa L A","non-dropping-particle":"de","parse-names":false,"suffix":""},{"dropping-particle":"","family":"Kim","given":"Jiho","non-dropping-particle":"","parse-names":false,"suffix":""},{"dropping-particle":"","family":"May","given":"Jessica","non-dropping-particle":"","parse-names":false,"suffix":""},{"dropping-particle":"","family":"Tocilescu","given":"Maja Aleksandra","non-dropping-particle":"","parse-names":false,"suffix":""},{"dropping-particle":"","family":"Liu","given":"Wencheng","non-dropping-particle":"","parse-names":false,"suffix":""},{"dropping-particle":"","family":"Ko","given":"Han Seok","non-dropping-particle":"","parse-names":false,"suffix":""},{"dropping-particle":"","family":"Magrané","given":"Jordi","non-dropping-particle":"","parse-names":false,"suffix":""},{"dropping-particle":"","family":"Moore","given":"Darren J","non-dropping-particle":"","parse-names":false,"suffix":""},{"dropping-particle":"","family":"Dawson","given":"Valina L","non-dropping-particle":"","parse-names":false,"suffix":""},{"dropping-particle":"","family":"Grailhe","given":"Regis","non-dropping-particle":"","parse-names":false,"suffix":""},{"dropping-particle":"","family":"Dawson","given":"Ted M","non-dropping-particle":"","parse-names":false,"suffix":""},{"dropping-particle":"","family":"Li","given":"Chenjian","non-dropping-particle":"","parse-names":false,"suffix":""},{"dropping-particle":"","family":"Tieu","given":"Kim","non-dropping-particle":"","parse-names":false,"suffix":""},{"dropping-particle":"","family":"Przedborski","given":"Serge","non-dropping-particle":"","parse-names":false,"suffix":""}],"container-title":"Proceedings of the National Academy of Sciences of the United States of America","id":"ITEM-2","issue":"1","issued":{"date-parts":[["2010","1","5"]]},"page":"378-83","publisher":"National Academy of Sciences","title":"PINK1-dependent recruitment of Parkin to mitochondria in mitophagy.","type":"article-journal","volume":"107"},"uris":["http://www.mendeley.com/documents/?uuid=0ac7b1f5-cb18-418a-afb0-348e567e72cb"]}],"mendeley":{"formattedCitation":"&lt;sup&gt;285,286&lt;/sup&gt;","plainTextFormattedCitation":"285,286","previouslyFormattedCitation":"&lt;sup&gt;285,286&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285,286</w:t>
      </w:r>
      <w:r w:rsidR="003B49F9" w:rsidRPr="0082680A">
        <w:rPr>
          <w:lang w:val="en-GB"/>
        </w:rPr>
        <w:fldChar w:fldCharType="end"/>
      </w:r>
      <w:r w:rsidRPr="0082680A">
        <w:rPr>
          <w:lang w:val="en-GB"/>
        </w:rPr>
        <w:t xml:space="preserve">. </w:t>
      </w:r>
      <w:r w:rsidRPr="0082680A">
        <w:rPr>
          <w:i/>
          <w:lang w:val="en-GB"/>
        </w:rPr>
        <w:t>PINK1</w:t>
      </w:r>
      <w:r w:rsidRPr="0082680A">
        <w:rPr>
          <w:lang w:val="en-GB"/>
        </w:rPr>
        <w:t xml:space="preserve"> was confirmed as a PD gene in 2004, after characterisation of the associated locus PARK6 in two Italian and one Spanish family</w:t>
      </w:r>
      <w:r w:rsidR="003B49F9" w:rsidRPr="0082680A">
        <w:rPr>
          <w:lang w:val="en-GB"/>
        </w:rPr>
        <w:t xml:space="preserve"> </w:t>
      </w:r>
      <w:r w:rsidR="003B49F9" w:rsidRPr="0082680A">
        <w:rPr>
          <w:lang w:val="en-GB"/>
        </w:rPr>
        <w:fldChar w:fldCharType="begin" w:fldLock="1"/>
      </w:r>
      <w:r w:rsidR="000507BA">
        <w:rPr>
          <w:lang w:val="en-GB"/>
        </w:rPr>
        <w:instrText>ADDIN CSL_CITATION {"citationItems":[{"id":"ITEM-1","itemData":{"DOI":"10.1126/science.1096284","ISSN":"0036-8075","PMID":"15087508","abstract":"Parkinson's disease (PD) is a neurodegenerative disorder characterized by degeneration of dopaminergic neurons in the substantia nigra. We previously mapped a locus for a rare familial form of PD to chromosome 1p36 (PARK6). Here we show that mutations in PINK1 (PTEN-induced kinase 1) are associated with PARK6. We have identified two homozygous mutations affecting the PINK1 kinase domain in three consanguineous PARK6 families: a truncating nonsense mutation and a missense mutation at a highly conserved amino acid. Cell culture studies suggest that PINK1 is mitochondrially located and may exert a protective effect on the cell that is abrogated by the mutations, resulting in increased susceptibility to cellular stress. These data provide a direct molecular link between mitochondria and the pathogenesis of PD.","author":[{"dropping-particle":"","family":"Valente","given":"E. M.","non-dropping-particle":"","parse-names":false,"suffix":""},{"dropping-particle":"","family":"Abou-Sleiman","given":"Patrick M","non-dropping-particle":"","parse-names":false,"suffix":""},{"dropping-particle":"","family":"Caputo","given":"Viviana","non-dropping-particle":"","parse-names":false,"suffix":""},{"dropping-particle":"","family":"Muqit","given":"Miratul M K","non-dropping-particle":"","parse-names":false,"suffix":""},{"dropping-particle":"","family":"Harvey","given":"Kirsten","non-dropping-particle":"","parse-names":false,"suffix":""},{"dropping-particle":"","family":"Gispert","given":"Suzana","non-dropping-particle":"","parse-names":false,"suffix":""},{"dropping-particle":"","family":"Ali","given":"Zeeshan","non-dropping-particle":"","parse-names":false,"suffix":""},{"dropping-particle":"","family":"Turco","given":"Domenico","non-dropping-particle":"Del","parse-names":false,"suffix":""},{"dropping-particle":"","family":"Bentivoglio","given":"Anna Rita","non-dropping-particle":"","parse-names":false,"suffix":""},{"dropping-particle":"","family":"Healy","given":"Daniel G","non-dropping-particle":"","parse-names":false,"suffix":""},{"dropping-particle":"","family":"Albanese","given":"Alberto","non-dropping-particle":"","parse-names":false,"suffix":""},{"dropping-particle":"","family":"Nussbaum","given":"Robert","non-dropping-particle":"","parse-names":false,"suffix":""},{"dropping-particle":"","family":"González-Maldonado","given":"Rafael","non-dropping-particle":"","parse-names":false,"suffix":""},{"dropping-particle":"","family":"Deller","given":"Thomas","non-dropping-particle":"","parse-names":false,"suffix":""},{"dropping-particle":"","family":"Salvi","given":"Sergio","non-dropping-particle":"","parse-names":false,"suffix":""},{"dropping-particle":"","family":"Cortelli","given":"Pietro","non-dropping-particle":"","parse-names":false,"suffix":""},{"dropping-particle":"","family":"Gilks","given":"William P","non-dropping-particle":"","parse-names":false,"suffix":""},{"dropping-particle":"","family":"Latchman","given":"David S","non-dropping-particle":"","parse-names":false,"suffix":""},{"dropping-particle":"","family":"Harvey","given":"Robert J","non-dropping-particle":"","parse-names":false,"suffix":""},{"dropping-particle":"","family":"Dallapiccola","given":"Bruno","non-dropping-particle":"","parse-names":false,"suffix":""},{"dropping-particle":"","family":"Auburger","given":"Georg","non-dropping-particle":"","parse-names":false,"suffix":""},{"dropping-particle":"","family":"Wood","given":"Nicholas W","non-dropping-particle":"","parse-names":false,"suffix":""}],"container-title":"Science","id":"ITEM-1","issue":"5674","issued":{"date-parts":[["2004","5","21"]]},"page":"1158-1160","title":"Hereditary Early-Onset Parkinson's Disease Caused by Mutations in PINK1","type":"article-journal","volume":"304"},"uris":["http://www.mendeley.com/documents/?uuid=4f121804-1422-3f94-9bec-42c11b21702c"]}],"mendeley":{"formattedCitation":"&lt;sup&gt;287&lt;/sup&gt;","plainTextFormattedCitation":"287","previouslyFormattedCitation":"&lt;sup&gt;287&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287</w:t>
      </w:r>
      <w:r w:rsidR="003B49F9" w:rsidRPr="0082680A">
        <w:rPr>
          <w:lang w:val="en-GB"/>
        </w:rPr>
        <w:fldChar w:fldCharType="end"/>
      </w:r>
      <w:r w:rsidRPr="0082680A">
        <w:rPr>
          <w:lang w:val="en-GB"/>
        </w:rPr>
        <w:t xml:space="preserve">. It is predicted that </w:t>
      </w:r>
      <w:r w:rsidRPr="0082680A">
        <w:rPr>
          <w:i/>
          <w:lang w:val="en-GB"/>
        </w:rPr>
        <w:t>PINK1</w:t>
      </w:r>
      <w:r w:rsidRPr="0082680A">
        <w:rPr>
          <w:lang w:val="en-GB"/>
        </w:rPr>
        <w:t xml:space="preserve"> mutations represent around 8.4% of familial cases, and 3.7% of PD cases overall </w:t>
      </w:r>
      <w:r w:rsidR="003B49F9" w:rsidRPr="0082680A">
        <w:rPr>
          <w:lang w:val="en-GB"/>
        </w:rPr>
        <w:fldChar w:fldCharType="begin" w:fldLock="1"/>
      </w:r>
      <w:r w:rsidR="000507BA">
        <w:rPr>
          <w:lang w:val="en-GB"/>
        </w:rPr>
        <w:instrText>ADDIN CSL_CITATION {"citationItems":[{"id":"ITEM-1","itemData":{"DOI":"10.1002/mds.25132","ISSN":"08853185","author":[{"dropping-particle":"","family":"Kilarski","given":"Laura L.","non-dropping-particle":"","parse-names":false,"suffix":""},{"dropping-particle":"","family":"Pearson","given":"Justin P.","non-dropping-particle":"","parse-names":false,"suffix":""},{"dropping-particle":"","family":"Newsway","given":"Victoria","non-dropping-particle":"","parse-names":false,"suffix":""},{"dropping-particle":"","family":"Majounie","given":"Elisa","non-dropping-particle":"","parse-names":false,"suffix":""},{"dropping-particle":"","family":"Knipe","given":"M. Duleeka W.","non-dropping-particle":"","parse-names":false,"suffix":""},{"dropping-particle":"","family":"Misbahuddin","given":"Anjum","non-dropping-particle":"","parse-names":false,"suffix":""},{"dropping-particle":"","family":"Chinnery","given":"Patrick F.","non-dropping-particle":"","parse-names":false,"suffix":""},{"dropping-particle":"","family":"Burn","given":"David J.","non-dropping-particle":"","parse-names":false,"suffix":""},{"dropping-particle":"","family":"Clarke","given":"Carl E.","non-dropping-particle":"","parse-names":false,"suffix":""},{"dropping-particle":"","family":"Marion","given":"Marie-Helene","non-dropping-particle":"","parse-names":false,"suffix":""},{"dropping-particle":"","family":"Lewthwaite","given":"Alistair J.","non-dropping-particle":"","parse-names":false,"suffix":""},{"dropping-particle":"","family":"Nicholl","given":"David J.","non-dropping-particle":"","parse-names":false,"suffix":""},{"dropping-particle":"","family":"Wood","given":"Nicholas W.","non-dropping-particle":"","parse-names":false,"suffix":""},{"dropping-particle":"","family":"Morrison","given":"Karen E.","non-dropping-particle":"","parse-names":false,"suffix":""},{"dropping-particle":"","family":"Williams-Gray","given":"Caroline H.","non-dropping-particle":"","parse-names":false,"suffix":""},{"dropping-particle":"","family":"Evans","given":"Jonathan R.","non-dropping-particle":"","parse-names":false,"suffix":""},{"dropping-particle":"","family":"Sawcer","given":"Stephen J.","non-dropping-particle":"","parse-names":false,"suffix":""},{"dropping-particle":"","family":"Barker","given":"Roger A.","non-dropping-particle":"","parse-names":false,"suffix":""},{"dropping-particle":"","family":"Wickremaratchi","given":"Mirdhu M.","non-dropping-particle":"","parse-names":false,"suffix":""},{"dropping-particle":"","family":"Ben-Shlomo","given":"Yoav","non-dropping-particle":"","parse-names":false,"suffix":""},{"dropping-particle":"","family":"Williams","given":"Nigel M.","non-dropping-particle":"","parse-names":false,"suffix":""},{"dropping-particle":"","family":"Morris","given":"Huw R.","non-dropping-particle":"","parse-names":false,"suffix":""}],"container-title":"Movement Disorders","id":"ITEM-1","issue":"12","issued":{"date-parts":[["2012","10","1"]]},"page":"1522-1529","publisher":"Wiley-Blackwell","title":"Systematic Review and UK-Based Study of &lt;i&gt;PARK2 (parkin), PINK1, PARK7 (DJ-1)&lt;/i&gt; and &lt;i&gt;LRRK2&lt;/i&gt; in early-onset Parkinson's disease","type":"article-journal","volume":"27"},"uris":["http://www.mendeley.com/documents/?uuid=c49f5b92-a3a4-46e4-b8ae-e00e67d3c661"]}],"mendeley":{"formattedCitation":"&lt;sup&gt;271&lt;/sup&gt;","plainTextFormattedCitation":"271","previouslyFormattedCitation":"&lt;sup&gt;271&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271</w:t>
      </w:r>
      <w:r w:rsidR="003B49F9" w:rsidRPr="0082680A">
        <w:rPr>
          <w:lang w:val="en-GB"/>
        </w:rPr>
        <w:fldChar w:fldCharType="end"/>
      </w:r>
      <w:r w:rsidRPr="0082680A">
        <w:rPr>
          <w:lang w:val="en-GB"/>
        </w:rPr>
        <w:t xml:space="preserve">. </w:t>
      </w:r>
    </w:p>
    <w:p w14:paraId="3FDD2842" w14:textId="77777777" w:rsidR="000D27A7" w:rsidRPr="0082680A" w:rsidRDefault="000D27A7" w:rsidP="00842FD0">
      <w:pPr>
        <w:pStyle w:val="Heading4"/>
        <w:rPr>
          <w:lang w:val="en-GB"/>
        </w:rPr>
      </w:pPr>
      <w:bookmarkStart w:id="228" w:name="_yaexnkupqncd" w:colFirst="0" w:colLast="0"/>
      <w:bookmarkStart w:id="229" w:name="_Toc3211394"/>
      <w:bookmarkEnd w:id="228"/>
      <w:r w:rsidRPr="0082680A">
        <w:rPr>
          <w:lang w:val="en-GB"/>
        </w:rPr>
        <w:t>DJ-1 (PARK7)</w:t>
      </w:r>
      <w:bookmarkEnd w:id="229"/>
    </w:p>
    <w:p w14:paraId="225E4285" w14:textId="19AE5430" w:rsidR="000D27A7" w:rsidRPr="0082680A" w:rsidRDefault="000D27A7" w:rsidP="000D27A7">
      <w:pPr>
        <w:rPr>
          <w:lang w:val="en-GB"/>
        </w:rPr>
      </w:pPr>
      <w:r w:rsidRPr="0082680A">
        <w:rPr>
          <w:lang w:val="en-GB"/>
        </w:rPr>
        <w:t xml:space="preserve">The relationship between </w:t>
      </w:r>
      <w:r w:rsidRPr="0082680A">
        <w:rPr>
          <w:i/>
          <w:lang w:val="en-GB"/>
        </w:rPr>
        <w:t>DJ-1</w:t>
      </w:r>
      <w:r w:rsidRPr="0082680A">
        <w:rPr>
          <w:lang w:val="en-GB"/>
        </w:rPr>
        <w:t xml:space="preserve"> and PD was first discovered in a Dutch family after homozygosity mapping </w:t>
      </w:r>
      <w:r w:rsidR="003B49F9" w:rsidRPr="0082680A">
        <w:rPr>
          <w:lang w:val="en-GB"/>
        </w:rPr>
        <w:fldChar w:fldCharType="begin" w:fldLock="1"/>
      </w:r>
      <w:r w:rsidR="000507BA">
        <w:rPr>
          <w:lang w:val="en-GB"/>
        </w:rPr>
        <w:instrText>ADDIN CSL_CITATION {"citationItems":[{"id":"ITEM-1","itemData":{"DOI":"10.1086/322996","ISSN":"00029297","PMID":"11462174","abstract":"Although the role of genetic factors in the origin of Parkinson disease has long been disputed, several genes involved in autosomal dominant and recessive forms of the disease have been localized. Mutations associated with early-onset autosomal recessive parkinsonism have been identified in the Parkin gene, and recently a second gene, PARK6, involved in early-onset recessive parkinsonism was localized on chromosome 1p35-36. We identified a family segregating early-onset parkinsonism with multiple consanguinity loops in a genetically isolated population. Homozygosity mapping resulted in significant evidence for linkage on chromosome 1p36. Multipoint linkage analysis using MAPMAKER-HOMOZ generated a maximum LOD-score of 4.3, with nine markers spanning a disease haplotype of 16 cM. On the basis of several recombination events, the region defining the disease haplotype can be clearly separated, by &gt; or =25 cM, from the more centromeric PARK6 locus on chromosome 1p35-36. Therefore, we conclude that we have identified on chromosome 1 a second locus, PARK7, involved in autosomal recessive, early-onset parkinsonism.","author":[{"dropping-particle":"","family":"Duijn","given":"C.M.","non-dropping-particle":"van","parse-names":false,"suffix":""},{"dropping-particle":"","family":"Dekker","given":"M.C.J.","non-dropping-particle":"","parse-names":false,"suffix":""},{"dropping-particle":"","family":"Bonifati","given":"V.","non-dropping-particle":"","parse-names":false,"suffix":""},{"dropping-particle":"","family":"Galjaard","given":"R.J.","non-dropping-particle":"","parse-names":false,"suffix":""},{"dropping-particle":"","family":"Houwing-Duistermaat","given":"J.J.","non-dropping-particle":"","parse-names":false,"suffix":""},{"dropping-particle":"","family":"Snijders","given":"P.J.L.M.","non-dropping-particle":"","parse-names":false,"suffix":""},{"dropping-particle":"","family":"Testers","given":"L.","non-dropping-particle":"","parse-names":false,"suffix":""},{"dropping-particle":"","family":"Breedveld","given":"G.J.","non-dropping-particle":"","parse-names":false,"suffix":""},{"dropping-particle":"","family":"Horstink","given":"M.","non-dropping-particle":"","parse-names":false,"suffix":""},{"dropping-particle":"","family":"Sandkuijl","given":"L.A.","non-dropping-particle":"","parse-names":false,"suffix":""},{"dropping-particle":"","family":"Swieten","given":"J.C.","non-dropping-particle":"van","parse-names":false,"suffix":""},{"dropping-particle":"","family":"Oostra","given":"B.A.","non-dropping-particle":"","parse-names":false,"suffix":""},{"dropping-particle":"","family":"Heutink","given":"P.","non-dropping-particle":"","parse-names":false,"suffix":""}],"container-title":"The American Journal of Human Genetics","id":"ITEM-1","issue":"3","issued":{"date-parts":[["2001","9"]]},"page":"629-634","title":"PARK7, a Novel Locus for Autosomal Recessive Early-Onset Parkinsonism, on Chromosome 1p36","type":"article-journal","volume":"69"},"uris":["http://www.mendeley.com/documents/?uuid=213a2302-c00b-37b0-a9f8-30df46f2264e"]},{"id":"ITEM-2","itemData":{"DOI":"10.1126/science.1077209","ISSN":"00368075","PMID":"12446870","abstract":"The DJ-1 gene encodes a ubiquitous, highly conserved protein. Here, we show that DJ-1 mutations are associated with PARK7, a monogenic form of human parkinsonism. The function of the DJ-1 protein remains unknown, but evidence suggests its involvement in the oxidative stress response. Our findings indicate that loss of DJ-1 function leads to neurodegeneration. Elucidating the physiological role of DJ-1 protein may promote understanding of the mechanisms of brain neuronal maintenance and pathogenesis of Parkinson's disease.","author":[{"dropping-particle":"","family":"Bonifati","given":"V.","non-dropping-particle":"","parse-names":false,"suffix":""},{"dropping-particle":"","family":"Rizzu","given":"Patrizia","non-dropping-particle":"","parse-names":false,"suffix":""},{"dropping-particle":"","family":"Baren","given":"Marijke J","non-dropping-particle":"van","parse-names":false,"suffix":""},{"dropping-particle":"","family":"Schaap","given":"Onno","non-dropping-particle":"","parse-names":false,"suffix":""},{"dropping-particle":"","family":"Breedveld","given":"Guido J","non-dropping-particle":"","parse-names":false,"suffix":""},{"dropping-particle":"","family":"Krieger","given":"Elmar","non-dropping-particle":"","parse-names":false,"suffix":""},{"dropping-particle":"","family":"Dekker","given":"Marieke C J","non-dropping-particle":"","parse-names":false,"suffix":""},{"dropping-particle":"","family":"Squitieri","given":"Ferdinando","non-dropping-particle":"","parse-names":false,"suffix":""},{"dropping-particle":"","family":"Ibanez","given":"Pablo","non-dropping-particle":"","parse-names":false,"suffix":""},{"dropping-particle":"","family":"Joosse","given":"Marijke","non-dropping-particle":"","parse-names":false,"suffix":""},{"dropping-particle":"","family":"Dongen","given":"Jeroen W","non-dropping-particle":"van","parse-names":false,"suffix":""},{"dropping-particle":"","family":"Vanacore","given":"Nicola","non-dropping-particle":"","parse-names":false,"suffix":""},{"dropping-particle":"","family":"Swieten","given":"John C","non-dropping-particle":"van","parse-names":false,"suffix":""},{"dropping-particle":"","family":"Brice","given":"Alexis","non-dropping-particle":"","parse-names":false,"suffix":""},{"dropping-particle":"","family":"Meco","given":"Giuseppe","non-dropping-particle":"","parse-names":false,"suffix":""},{"dropping-particle":"","family":"Duijn","given":"Cornelia M","non-dropping-particle":"van","parse-names":false,"suffix":""},{"dropping-particle":"","family":"Oostra","given":"Ben A","non-dropping-particle":"","parse-names":false,"suffix":""},{"dropping-particle":"","family":"Heutink","given":"Peter","non-dropping-particle":"","parse-names":false,"suffix":""}],"container-title":"Science","id":"ITEM-2","issue":"5604","issued":{"date-parts":[["2003","1","10"]]},"page":"256-259","title":"Mutations in the DJ-1 Gene Associated with Autosomal Recessive Early-Onset Parkinsonism","type":"article-journal","volume":"299"},"uris":["http://www.mendeley.com/documents/?uuid=908b6930-3678-34be-bc42-fb27660700c5"]}],"mendeley":{"formattedCitation":"&lt;sup&gt;288,289&lt;/sup&gt;","plainTextFormattedCitation":"288,289","previouslyFormattedCitation":"&lt;sup&gt;288,289&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288,289</w:t>
      </w:r>
      <w:r w:rsidR="003B49F9" w:rsidRPr="0082680A">
        <w:rPr>
          <w:lang w:val="en-GB"/>
        </w:rPr>
        <w:fldChar w:fldCharType="end"/>
      </w:r>
      <w:r w:rsidRPr="0082680A">
        <w:rPr>
          <w:lang w:val="en-GB"/>
        </w:rPr>
        <w:t xml:space="preserve">. Mutations in </w:t>
      </w:r>
      <w:r w:rsidRPr="0082680A">
        <w:rPr>
          <w:i/>
          <w:lang w:val="en-GB"/>
        </w:rPr>
        <w:t>DJ-1</w:t>
      </w:r>
      <w:r w:rsidRPr="0082680A">
        <w:rPr>
          <w:lang w:val="en-GB"/>
        </w:rPr>
        <w:t xml:space="preserve"> are generally </w:t>
      </w:r>
      <w:r w:rsidR="003B49F9" w:rsidRPr="0082680A">
        <w:rPr>
          <w:lang w:val="en-GB"/>
        </w:rPr>
        <w:t>missense but</w:t>
      </w:r>
      <w:r w:rsidRPr="0082680A">
        <w:rPr>
          <w:lang w:val="en-GB"/>
        </w:rPr>
        <w:t xml:space="preserve"> can also be deletion or duplication CNVs </w:t>
      </w:r>
      <w:r w:rsidR="003B49F9" w:rsidRPr="0082680A">
        <w:rPr>
          <w:lang w:val="en-GB"/>
        </w:rPr>
        <w:fldChar w:fldCharType="begin" w:fldLock="1"/>
      </w:r>
      <w:r w:rsidR="000507BA">
        <w:rPr>
          <w:lang w:val="en-GB"/>
        </w:rPr>
        <w:instrText>ADDIN CSL_CITATION {"citationItems":[{"id":"ITEM-1","itemData":{"DOI":"10.1002/humu.21277","ISSN":"1098-1004","PMID":"20506312","abstract":"To date, molecular genetic analyses have identified over 500 distinct DNA variants in five disease genes associated with familial Parkinson disease; alpha-synuclein (SNCA), parkin (PARK2), PTEN-induced putative kinase 1 (PINK1), DJ-1 (PARK7), and Leucine-rich repeat kinase 2 (LRRK2). These genetic variants include approximately 82% simple mutations and approximately 18% copy number variations. Some mutation subtypes are likely underestimated because only few studies reported extensive mutation analyses of all five genes, by both exonic sequencing and dosage analyses. Here we present an update of all mutations published to date in the literature, systematically organized in a novel mutation database (http://www.molgen.ua.ac.be/PDmutDB). In addition, we address the biological relevance of putative pathogenic mutations. This review emphasizes the need for comprehensive genetic screening of Parkinson patients followed by an insightful study of the functional relevance of observed genetic variants. Moreover, while capturing existing data from the literature it became apparent that several of the five Parkinson genes were also contributing to the genetic etiology of other Lewy Body Diseases and Parkinson-plus syndromes, indicating that mutation screening is recommendable in these patient groups.","author":[{"dropping-particle":"","family":"Nuytemans","given":"Karen","non-dropping-particle":"","parse-names":false,"suffix":""},{"dropping-particle":"","family":"Theuns","given":"Jessie","non-dropping-particle":"","parse-names":false,"suffix":""},{"dropping-particle":"","family":"Cruts","given":"Marc","non-dropping-particle":"","parse-names":false,"suffix":""},{"dropping-particle":"","family":"Broeckhoven","given":"Christine","non-dropping-particle":"Van","parse-names":false,"suffix":""}],"container-title":"Human mutation","id":"ITEM-1","issue":"7","issued":{"date-parts":[["2010","7"]]},"page":"763-80","publisher":"Wiley-Blackwell","title":"Genetic etiology of Parkinson disease associated with mutations in the SNCA, PARK2, PINK1, PARK7, and LRRK2 genes: a mutation update.","type":"article-journal","volume":"31"},"uris":["http://www.mendeley.com/documents/?uuid=bd47f288-2d80-338a-917c-059ec315ea1d"]}],"mendeley":{"formattedCitation":"&lt;sup&gt;290&lt;/sup&gt;","plainTextFormattedCitation":"290","previouslyFormattedCitation":"&lt;sup&gt;290&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290</w:t>
      </w:r>
      <w:r w:rsidR="003B49F9" w:rsidRPr="0082680A">
        <w:rPr>
          <w:lang w:val="en-GB"/>
        </w:rPr>
        <w:fldChar w:fldCharType="end"/>
      </w:r>
      <w:r w:rsidRPr="0082680A">
        <w:rPr>
          <w:lang w:val="en-GB"/>
        </w:rPr>
        <w:t xml:space="preserve">. </w:t>
      </w:r>
      <w:r w:rsidRPr="0082680A">
        <w:rPr>
          <w:i/>
          <w:lang w:val="en-GB"/>
        </w:rPr>
        <w:t>DJ-1</w:t>
      </w:r>
      <w:r w:rsidRPr="0082680A">
        <w:rPr>
          <w:lang w:val="en-GB"/>
        </w:rPr>
        <w:t xml:space="preserve"> is known to play a role in protecting neurons against oxidative stress, as well as implicated roles in mitochondrial function and the proteasome, alongside </w:t>
      </w:r>
      <w:r w:rsidRPr="0082680A">
        <w:rPr>
          <w:i/>
          <w:lang w:val="en-GB"/>
        </w:rPr>
        <w:t>PRKN</w:t>
      </w:r>
      <w:r w:rsidRPr="0082680A">
        <w:rPr>
          <w:lang w:val="en-GB"/>
        </w:rPr>
        <w:t xml:space="preserve"> and </w:t>
      </w:r>
      <w:r w:rsidRPr="0082680A">
        <w:rPr>
          <w:i/>
          <w:lang w:val="en-GB"/>
        </w:rPr>
        <w:t>PINK1</w:t>
      </w:r>
      <w:r w:rsidRPr="0082680A">
        <w:rPr>
          <w:lang w:val="en-GB"/>
        </w:rPr>
        <w:t xml:space="preserve"> </w:t>
      </w:r>
      <w:r w:rsidR="003B49F9" w:rsidRPr="0082680A">
        <w:rPr>
          <w:lang w:val="en-GB"/>
        </w:rPr>
        <w:fldChar w:fldCharType="begin" w:fldLock="1"/>
      </w:r>
      <w:r w:rsidR="000507BA">
        <w:rPr>
          <w:lang w:val="en-GB"/>
        </w:rPr>
        <w:instrText>ADDIN CSL_CITATION {"citationItems":[{"id":"ITEM-1","itemData":{"DOI":"10.1073/pnas.0501282102","ISSN":"0027-8424","PMID":"15784737","abstract":"Mutations of the DJ-1 (PARK7) gene are linked to familial Parkinson's disease. We used gene targeting to generate DJ-1-deficient mice that were viable, fertile, and showed no gross anatomical or neuronal abnormalities. Dopaminergic neuron numbers in the substantia nigra and fiber densities and dopamine levels in the striatum were normal. However, DJ-1-/- mice showed hypolocomotion when subjected to amphetamine challenge and increased striatal denervation and dopaminergic neuron loss induced by 1-methyl-4-phenyl-1,2,3,6-tetrahydropyrindine. DJ-1-/-embryonic cortical neurons showed increased sensitivity to oxidative, but not nonoxidative, insults. Restoration of DJ-1 expression to DJ-1-/- mice or cells via adenoviral vector delivery mitigated all phenotypes. WT mice that received adenoviral delivery of DJ-1 resisted 1-methyl-4-phenyl-1,2,3,6-tetrahydropyrindine-induced striatal damage, and neurons overexpressing DJ-1 were protected from oxidative stress in vitro. Thus, DJ-1 protects against neuronal oxidative stress, and loss of DJ-1 may lead to Parkinson's disease by conferring hypersensitivity to dopaminergic insults.","author":[{"dropping-particle":"","family":"Kim","given":"R. H.","non-dropping-particle":"","parse-names":false,"suffix":""},{"dropping-particle":"","family":"Smith","given":"P. D.","non-dropping-particle":"","parse-names":false,"suffix":""},{"dropping-particle":"","family":"Aleyasin","given":"H.","non-dropping-particle":"","parse-names":false,"suffix":""},{"dropping-particle":"","family":"Hayley","given":"S.","non-dropping-particle":"","parse-names":false,"suffix":""},{"dropping-particle":"","family":"Mount","given":"M. P.","non-dropping-particle":"","parse-names":false,"suffix":""},{"dropping-particle":"","family":"Pownall","given":"S.","non-dropping-particle":"","parse-names":false,"suffix":""},{"dropping-particle":"","family":"Wakeham","given":"A.","non-dropping-particle":"","parse-names":false,"suffix":""},{"dropping-particle":"","family":"You-Ten","given":"A. J.","non-dropping-particle":"","parse-names":false,"suffix":""},{"dropping-particle":"","family":"Kalia","given":"S. K.","non-dropping-particle":"","parse-names":false,"suffix":""},{"dropping-particle":"","family":"Horne","given":"P.","non-dropping-particle":"","parse-names":false,"suffix":""},{"dropping-particle":"","family":"Westaway","given":"D.","non-dropping-particle":"","parse-names":false,"suffix":""},{"dropping-particle":"","family":"Lozano","given":"A. M.","non-dropping-particle":"","parse-names":false,"suffix":""},{"dropping-particle":"","family":"Anisman","given":"H.","non-dropping-particle":"","parse-names":false,"suffix":""},{"dropping-particle":"","family":"Park","given":"D. S.","non-dropping-particle":"","parse-names":false,"suffix":""},{"dropping-particle":"","family":"Mak","given":"T. W.","non-dropping-particle":"","parse-names":false,"suffix":""}],"container-title":"Proceedings of the National Academy of Sciences","id":"ITEM-1","issue":"14","issued":{"date-parts":[["2005","4","5"]]},"page":"5215-5220","title":"Hypersensitivity of DJ-1-deficient mice to 1-methyl-4-phenyl-1,2,3,6-tetrahydropyrindine (MPTP) and oxidative stress","type":"article-journal","volume":"102"},"uris":["http://www.mendeley.com/documents/?uuid=15cf82fa-e91d-3ec7-849e-2c03ffbd156f"]},{"id":"ITEM-2","itemData":{"DOI":"10.1172/JCI37617","ISSN":"1558-8238","PMID":"19229105","abstract":"Mutations in PARKIN, pten-induced putative kinase 1 (PINK1), and DJ-1 are individually linked to autosomal recessive early-onset familial forms of Parkinson disease (PD). Although mutations in these genes lead to the same disease state, the functional relationships between them and how their respective disease-associated mutations cause PD are largely unknown. Here, we show that Parkin, PINK1, and DJ-1 formed a complex (termed PPD complex) to promote ubiquitination and degradation of Parkin substrates, including Parkin itself and Synphilin-1 in neuroblastoma cells and human brain lysates. Genetic ablation of either Pink1 or Dj-1 resulted in reduced ubiquitination of endogenous Parkin as well as decreased degradation and increased accumulation of aberrantly expressed Parkin substrates. Expression of PINK1 enhanced Parkin-mediated degradation of heat shock-induced misfolded protein. In contrast, PD-pathogenic Parkin and PINK1 mutations showed reduced ability to promote degradation of Parkin substrates. This study identified a functional ubiquitin E3 ligase complex consisting of PD-associated Parkin, PINK1, and DJ-1 to promote degradation of un-/misfolded proteins and suggests that their PD-pathogenic mutations impair E3 ligase activity of the complex, which may constitute a mechanism underlying PD pathogenesis.","author":[{"dropping-particle":"","family":"Xiong","given":"Hui","non-dropping-particle":"","parse-names":false,"suffix":""},{"dropping-particle":"","family":"Wang","given":"Danling","non-dropping-particle":"","parse-names":false,"suffix":""},{"dropping-particle":"","family":"Chen","given":"Linan","non-dropping-particle":"","parse-names":false,"suffix":""},{"dropping-particle":"","family":"Choo","given":"Yeun Su","non-dropping-particle":"","parse-names":false,"suffix":""},{"dropping-particle":"","family":"Ma","given":"Hong","non-dropping-particle":"","parse-names":false,"suffix":""},{"dropping-particle":"","family":"Tang","given":"Chengyuan","non-dropping-particle":"","parse-names":false,"suffix":""},{"dropping-particle":"","family":"Xia","given":"Kun","non-dropping-particle":"","parse-names":false,"suffix":""},{"dropping-particle":"","family":"Jiang","given":"Wei","non-dropping-particle":"","parse-names":false,"suffix":""},{"dropping-particle":"","family":"Ronai","given":"Ze'ev","non-dropping-particle":"","parse-names":false,"suffix":""},{"dropping-particle":"","family":"Zhuang","given":"Xiaoxi","non-dropping-particle":"","parse-names":false,"suffix":""},{"dropping-particle":"","family":"Zhang","given":"Zhuohua","non-dropping-particle":"","parse-names":false,"suffix":""}],"container-title":"The Journal of clinical investigation","id":"ITEM-2","issue":"3","issued":{"date-parts":[["2009","3","2"]]},"page":"650-60","publisher":"American Society for Clinical Investigation","title":"Parkin, PINK1, and DJ-1 form a ubiquitin E3 ligase complex promoting unfolded protein degradation.","type":"article-journal","volume":"119"},"uris":["http://www.mendeley.com/documents/?uuid=1b167245-b8a3-4466-905d-abbf362e428a"]}],"mendeley":{"formattedCitation":"&lt;sup&gt;230,291&lt;/sup&gt;","plainTextFormattedCitation":"230,291","previouslyFormattedCitation":"&lt;sup&gt;230,291&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230,291</w:t>
      </w:r>
      <w:r w:rsidR="003B49F9" w:rsidRPr="0082680A">
        <w:rPr>
          <w:lang w:val="en-GB"/>
        </w:rPr>
        <w:fldChar w:fldCharType="end"/>
      </w:r>
      <w:r w:rsidRPr="0082680A">
        <w:rPr>
          <w:lang w:val="en-GB"/>
        </w:rPr>
        <w:t xml:space="preserve">. Oxidised </w:t>
      </w:r>
      <w:r w:rsidRPr="0082680A">
        <w:rPr>
          <w:i/>
          <w:lang w:val="en-GB"/>
        </w:rPr>
        <w:t>DJ-1</w:t>
      </w:r>
      <w:r w:rsidRPr="0082680A">
        <w:rPr>
          <w:lang w:val="en-GB"/>
        </w:rPr>
        <w:t xml:space="preserve"> has also been identified in the brains of sporadic PD patients </w:t>
      </w:r>
      <w:r w:rsidR="003B49F9" w:rsidRPr="0082680A">
        <w:rPr>
          <w:lang w:val="en-GB"/>
        </w:rPr>
        <w:fldChar w:fldCharType="begin" w:fldLock="1"/>
      </w:r>
      <w:r w:rsidR="000507BA">
        <w:rPr>
          <w:lang w:val="en-GB"/>
        </w:rPr>
        <w:instrText>ADDIN CSL_CITATION {"citationItems":[{"id":"ITEM-1","itemData":{"DOI":"10.1074/jbc.M509079200","ISSN":"0021-9258","PMID":"16517609","abstract":"Mutations in DJ-1 cause an autosomal recessive, early onset familial form of Parkinson disease (PD). However, little is presently known about the role of DJ-1 in the more common sporadic form of PD and in other age-related neurodegenerative diseases, such as Alzheimer disease (AD). Here we report that DJ-1 is oxidatively damaged in the brains of patients with idiopathic PD and AD. By using a combination of two-dimensional gel electrophoresis and mass spectrometry, we have identified 10 different DJ-1 isoforms, of which the acidic isoforms (pI 5.5 and 5.7) of DJ-1 monomer and the basic isoforms (pI 8.0 and 8.4) of SDS-resistant DJ-1 dimer are selectively accumulated in PD and AD frontal cortex tissues compared with age-matched controls. Quantitative Western blot analysis shows that the total level of DJ-1 protein is significantly increased in PD and AD brains. Mass spectrometry analyses reveal that DJ-1 is not only susceptible to cysteine oxidation but also to previously unsuspected methionine oxidation. Furthermore, we show that DJ-1 protein is irreversibly oxidized by carbonylation as well as by methionine oxidation to methionine sulfone in PD and AD. Our study provides new insights into the oxidative modifications of DJ-1 and indicates association of oxidative damage to DJ-1 with sporadic PD and AD.","author":[{"dropping-particle":"","family":"Choi","given":"Joungil","non-dropping-particle":"","parse-names":false,"suffix":""},{"dropping-particle":"","family":"Sullards","given":"M Cameron","non-dropping-particle":"","parse-names":false,"suffix":""},{"dropping-particle":"","family":"Olzmann","given":"James A","non-dropping-particle":"","parse-names":false,"suffix":""},{"dropping-particle":"","family":"Rees","given":"Howard D","non-dropping-particle":"","parse-names":false,"suffix":""},{"dropping-particle":"","family":"Weintraub","given":"Susan T","non-dropping-particle":"","parse-names":false,"suffix":""},{"dropping-particle":"","family":"Bostwick","given":"David E","non-dropping-particle":"","parse-names":false,"suffix":""},{"dropping-particle":"","family":"Gearing","given":"Marla","non-dropping-particle":"","parse-names":false,"suffix":""},{"dropping-particle":"","family":"Levey","given":"Allan I","non-dropping-particle":"","parse-names":false,"suffix":""},{"dropping-particle":"","family":"Chin","given":"Lih-Shen","non-dropping-particle":"","parse-names":false,"suffix":""},{"dropping-particle":"","family":"Li","given":"Lian","non-dropping-particle":"","parse-names":false,"suffix":""}],"container-title":"The Journal of biological chemistry","id":"ITEM-1","issue":"16","issued":{"date-parts":[["2006","4","21"]]},"page":"10816-24","publisher":"NIH Public Access","title":"Oxidative damage of DJ-1 is linked to sporadic Parkinson and Alzheimer diseases.","type":"article-journal","volume":"281"},"uris":["http://www.mendeley.com/documents/?uuid=a01bb4af-7c05-3fc1-9671-d4784518183a"]}],"mendeley":{"formattedCitation":"&lt;sup&gt;292&lt;/sup&gt;","plainTextFormattedCitation":"292","previouslyFormattedCitation":"&lt;sup&gt;292&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292</w:t>
      </w:r>
      <w:r w:rsidR="003B49F9" w:rsidRPr="0082680A">
        <w:rPr>
          <w:lang w:val="en-GB"/>
        </w:rPr>
        <w:fldChar w:fldCharType="end"/>
      </w:r>
      <w:r w:rsidRPr="0082680A">
        <w:rPr>
          <w:lang w:val="en-GB"/>
        </w:rPr>
        <w:t>.</w:t>
      </w:r>
    </w:p>
    <w:p w14:paraId="152ABA4A" w14:textId="77777777" w:rsidR="000D27A7" w:rsidRPr="0082680A" w:rsidRDefault="000D27A7" w:rsidP="00842FD0">
      <w:pPr>
        <w:pStyle w:val="Heading4"/>
        <w:rPr>
          <w:lang w:val="en-GB"/>
        </w:rPr>
      </w:pPr>
      <w:bookmarkStart w:id="230" w:name="_c4xpldguhiad" w:colFirst="0" w:colLast="0"/>
      <w:bookmarkStart w:id="231" w:name="_Toc3211395"/>
      <w:bookmarkEnd w:id="230"/>
      <w:r w:rsidRPr="0082680A">
        <w:rPr>
          <w:lang w:val="en-GB"/>
        </w:rPr>
        <w:t>LRRK2 (PARK8)</w:t>
      </w:r>
      <w:bookmarkEnd w:id="231"/>
    </w:p>
    <w:p w14:paraId="233977C9" w14:textId="0DCFCD42" w:rsidR="000D27A7" w:rsidRPr="0082680A" w:rsidRDefault="000D27A7" w:rsidP="000D27A7">
      <w:pPr>
        <w:rPr>
          <w:lang w:val="en-GB"/>
        </w:rPr>
      </w:pPr>
      <w:r w:rsidRPr="0082680A">
        <w:rPr>
          <w:lang w:val="en-GB"/>
        </w:rPr>
        <w:t>Leucine-rich repeat kinase 2 (</w:t>
      </w:r>
      <w:r w:rsidRPr="0082680A">
        <w:rPr>
          <w:i/>
          <w:lang w:val="en-GB"/>
        </w:rPr>
        <w:t>LRRK2</w:t>
      </w:r>
      <w:r w:rsidRPr="0082680A">
        <w:rPr>
          <w:lang w:val="en-GB"/>
        </w:rPr>
        <w:t xml:space="preserve">) was the second gene to be associated with PD after </w:t>
      </w:r>
      <w:r w:rsidRPr="0082680A">
        <w:rPr>
          <w:i/>
          <w:lang w:val="en-GB"/>
        </w:rPr>
        <w:t>SNCA</w:t>
      </w:r>
      <w:r w:rsidRPr="0082680A">
        <w:rPr>
          <w:lang w:val="en-GB"/>
        </w:rPr>
        <w:t xml:space="preserve">. Through recombination mapping and candidate gene sequencing in forty-six families, locus PARK8 was shown to be associated to PD through a number of autosomal dominant </w:t>
      </w:r>
      <w:r w:rsidRPr="0082680A">
        <w:rPr>
          <w:i/>
          <w:lang w:val="en-GB"/>
        </w:rPr>
        <w:t>LRRK2</w:t>
      </w:r>
      <w:r w:rsidRPr="0082680A">
        <w:rPr>
          <w:lang w:val="en-GB"/>
        </w:rPr>
        <w:t xml:space="preserve"> mutations </w:t>
      </w:r>
      <w:r w:rsidR="003B49F9" w:rsidRPr="0082680A">
        <w:rPr>
          <w:lang w:val="en-GB"/>
        </w:rPr>
        <w:fldChar w:fldCharType="begin" w:fldLock="1"/>
      </w:r>
      <w:r w:rsidR="000507BA">
        <w:rPr>
          <w:lang w:val="en-GB"/>
        </w:rPr>
        <w:instrText>ADDIN CSL_CITATION {"citationItems":[{"id":"ITEM-1","itemData":{"ISSN":"0364-5134","PMID":"11891824","abstract":"We performed genomewide linkage analysis of a Japanese family with autosomal dominant parkinsonism, which exhibits clinical features compatible with those of common Parkinson's disease. Parametric two-point linkage analysis yielded a highest log odds (LOD) score of 4.32 at D12S345 (12p11.21). Parametric multipoint linkage analysis of the 13.6cM interval around this marker yielded LOD scores almost uniformly of &gt;4.0 with a Z(max) of 4.71 at D12S85 (12q12). Haplotype analysis detected two obligate recombination events at D12S1631 and D12S339 and defined the disease-associated haplotype in the 13.6cM interval in 12p11.2-q13.1. This haplotype was shared by all the patients and by some unaffected carriers, suggesting that disease penetration in this family is incomplete. This low penetrance suggests that environmental or other genetic factors modify expression of the disease. Nonparametric two-point and multipoint linkage analyses, which are penetrance-independent, yielded Z(max) LOD scores of 14.2 and 24.9 at D12S345, respectively, strongly supporting the mapping of the parkinsonism locus in this family to 12p11.23-q13.11. This chromosome region is different from any known locus for hereditary parkinsonism, in keeping with the unique genetic features of the parkinsonism in this family. The nomenclature of PARK8 was assigned to the new locus.","author":[{"dropping-particle":"","family":"Funayama","given":"Manabu","non-dropping-particle":"","parse-names":false,"suffix":""},{"dropping-particle":"","family":"Hasegawa","given":"Kazuko","non-dropping-particle":"","parse-names":false,"suffix":""},{"dropping-particle":"","family":"Kowa","given":"Hisayuki","non-dropping-particle":"","parse-names":false,"suffix":""},{"dropping-particle":"","family":"Saito","given":"Masaaki","non-dropping-particle":"","parse-names":false,"suffix":""},{"dropping-particle":"","family":"Tsuji","given":"Shoji","non-dropping-particle":"","parse-names":false,"suffix":""},{"dropping-particle":"","family":"Obata","given":"Fumiya","non-dropping-particle":"","parse-names":false,"suffix":""}],"container-title":"Annals of neurology","id":"ITEM-1","issue":"3","issued":{"date-parts":[["2002","3"]]},"page":"296-301","title":"A new locus for Parkinson's disease (PARK8) maps to chromosome 12p11.2-q13.1.","type":"article-journal","volume":"51"},"uris":["http://www.mendeley.com/documents/?uuid=abce4e02-6ef4-3e9c-8d2e-e99f9c8eedef"]},{"id":"ITEM-2","itemData":{"DOI":"10.1016/j.neuron.2004.10.023","ISSN":"08966273","PMID":"15541308","abstract":"Parkinson's disease (PD; OMIM #168600) is the second most common neurodegenerative disorder in the Western world and presents as a progressive movement disorder. The hallmark pathological features of PD are loss of dopaminergic neurons from the substantia nigra and neuronal intracellular Lewy body inclusions. Parkinsonism is typically sporadic in nature; however, several rare familial forms are linked to genetic loci, and the identification of causal mutations has provided insight into the disease process. PARK8, identified in 2002 by Funayama and colleagues, appears to be a common cause of familial PD. We describe here the cloning of a novel gene that contains missense mutations segregating with PARK8-linked PD in five families from England and Spain. Because of the tremor observed in PD and because a number of the families are of Basque descent, we have named this protein dardarin, derived from the Basque word dardara, meaning tremor.","author":[{"dropping-particle":"","family":"Paisán-Ruı́z","given":"Coro","non-dropping-particle":"","parse-names":false,"suffix":""},{"dropping-particle":"","family":"Jain","given":"Shushant","non-dropping-particle":"","parse-names":false,"suffix":""},{"dropping-particle":"","family":"Evans","given":"E.Whitney","non-dropping-particle":"","parse-names":false,"suffix":""},{"dropping-particle":"","family":"Gilks","given":"William P.","non-dropping-particle":"","parse-names":false,"suffix":""},{"dropping-particle":"","family":"Simón","given":"Javier","non-dropping-particle":"","parse-names":false,"suffix":""},{"dropping-particle":"","family":"Brug","given":"Marcel","non-dropping-particle":"van der","parse-names":false,"suffix":""},{"dropping-particle":"","family":"Munain","given":"Adolfo López","non-dropping-particle":"de","parse-names":false,"suffix":""},{"dropping-particle":"","family":"Aparicio","given":"Silvia","non-dropping-particle":"","parse-names":false,"suffix":""},{"dropping-particle":"","family":"Gil","given":"Angel Martı́nez","non-dropping-particle":"","parse-names":false,"suffix":""},{"dropping-particle":"","family":"Khan","given":"Naheed","non-dropping-particle":"","parse-names":false,"suffix":""},{"dropping-particle":"","family":"Johnson","given":"Janel","non-dropping-particle":"","parse-names":false,"suffix":""},{"dropping-particle":"","family":"Martinez","given":"Javier Ruiz","non-dropping-particle":"","parse-names":false,"suffix":""},{"dropping-particle":"","family":"Nicholl","given":"David","non-dropping-particle":"","parse-names":false,"suffix":""},{"dropping-particle":"","family":"Carrera","given":"Itxaso Marti","non-dropping-particle":"","parse-names":false,"suffix":""},{"dropping-particle":"","family":"Peňa","given":"Amets Saénz","non-dropping-particle":"","parse-names":false,"suffix":""},{"dropping-particle":"","family":"Silva","given":"Rohan","non-dropping-particle":"de","parse-names":false,"suffix":""},{"dropping-particle":"","family":"Lees","given":"Andrew","non-dropping-particle":"","parse-names":false,"suffix":""},{"dropping-particle":"","family":"Martı́-Massó","given":"José Félix","non-dropping-particle":"","parse-names":false,"suffix":""},{"dropping-particle":"","family":"Pérez-Tur","given":"Jordi","non-dropping-particle":"","parse-names":false,"suffix":""},{"dropping-particle":"","family":"Wood","given":"Nick W.","non-dropping-particle":"","parse-names":false,"suffix":""},{"dropping-particle":"","family":"Singleton","given":"Andrew B.","non-dropping-particle":"","parse-names":false,"suffix":""}],"container-title":"Neuron","id":"ITEM-2","issue":"4","issued":{"date-parts":[["2004","11","18"]]},"page":"595-600","title":"Cloning of the Gene Containing Mutations that Cause PARK8-Linked Parkinson's Disease","type":"article-journal","volume":"44"},"uris":["http://www.mendeley.com/documents/?uuid=34801bb5-3c3a-3721-80aa-ec6668cdce0a"]},{"id":"ITEM-3","itemData":{"DOI":"10.1016/j.neuron.2004.11.005","ISSN":"08966273","PMID":"15541309","abstract":"We have previously linked families with autosomal-dominant, late-onset parkinsonism to chromosome 12p11.2-q13.1 (PARK8). By high-resolution recombination mapping and candidate gene sequencing in 46 families, we have found six disease-segregating mutations (five missense and one putative splice site mutation) in a gene encoding a large, multifunctional protein, LRRK2 (leucine-rich repeat kinase 2). It belongs to the ROCO protein family and includes a protein kinase domain of the MAPKKK class and several other major functional domains. Within affected carriers of families A and D, six post mortem diagnoses reveal brainstem dopaminergic degeneration accompanied by strikingly diverse pathologies. These include abnormalities consistent with Lewy body Parkinson's disease, diffuse Lewy body disease, nigral degeneration without distinctive histopathology, and progressive supranuclear palsy-like pathology. Clinical diagnoses of Parkinsonism with dementia or amyotrophy or both, with their associated pathologies, are also noted. Hence, LRRK2 may be central to the pathogenesis of several major neurodegenerative disorders associated with parkinsonism.","author":[{"dropping-particle":"","family":"Zimprich","given":"Alexander","non-dropping-particle":"","parse-names":false,"suffix":""},{"dropping-particle":"","family":"Biskup","given":"Saskia","non-dropping-particle":"","parse-names":false,"suffix":""},{"dropping-particle":"","family":"Leitner","given":"Petra","non-dropping-particle":"","parse-names":false,"suffix":""},{"dropping-particle":"","family":"Lichtner","given":"Peter","non-dropping-particle":"","parse-names":false,"suffix":""},{"dropping-particle":"","family":"Farrer","given":"Matthew","non-dropping-particle":"","parse-names":false,"suffix":""},{"dropping-particle":"","family":"Lincoln","given":"Sarah","non-dropping-particle":"","parse-names":false,"suffix":""},{"dropping-particle":"","family":"Kachergus","given":"Jennifer","non-dropping-particle":"","parse-names":false,"suffix":""},{"dropping-particle":"","family":"Hulihan","given":"Mary","non-dropping-particle":"","parse-names":false,"suffix":""},{"dropping-particle":"","family":"Uitti","given":"Ryan J.","non-dropping-particle":"","parse-names":false,"suffix":""},{"dropping-particle":"","family":"Calne","given":"Donald B.","non-dropping-particle":"","parse-names":false,"suffix":""},{"dropping-particle":"","family":"Stoessl","given":"A.Jon","non-dropping-particle":"","parse-names":false,"suffix":""},{"dropping-particle":"","family":"Pfeiffer","given":"Ronald F.","non-dropping-particle":"","parse-names":false,"suffix":""},{"dropping-particle":"","family":"Patenge","given":"Nadja","non-dropping-particle":"","parse-names":false,"suffix":""},{"dropping-particle":"","family":"Carbajal","given":"Iria Carballo","non-dropping-particle":"","parse-names":false,"suffix":""},{"dropping-particle":"","family":"Vieregge","given":"Peter","non-dropping-particle":"","parse-names":false,"suffix":""},{"dropping-particle":"","family":"Asmus","given":"Friedrich","non-dropping-particle":"","parse-names":false,"suffix":""},{"dropping-particle":"","family":"Müller-Myhsok","given":"Bertram","non-dropping-particle":"","parse-names":false,"suffix":""},{"dropping-particle":"","family":"Dickson","given":"Dennis W.","non-dropping-particle":"","parse-names":false,"suffix":""},{"dropping-particle":"","family":"Meitinger","given":"Thomas","non-dropping-particle":"","parse-names":false,"suffix":""},{"dropping-particle":"","family":"Strom","given":"Tim M.","non-dropping-particle":"","parse-names":false,"suffix":""},{"dropping-particle":"","family":"Wszolek","given":"Zbigniew K.","non-dropping-particle":"","parse-names":false,"suffix":""},{"dropping-particle":"","family":"Gasser","given":"Thomas","non-dropping-particle":"","parse-names":false,"suffix":""}],"container-title":"Neuron","id":"ITEM-3","issue":"4","issued":{"date-parts":[["2004","11","18"]]},"page":"601-607","title":"Mutations in LRRK2 Cause Autosomal-Dominant Parkinsonism with Pleomorphic Pathology","type":"article-journal","volume":"44"},"uris":["http://www.mendeley.com/documents/?uuid=dcfe241a-ea28-36fb-b45b-6d8dadb60c49"]}],"mendeley":{"formattedCitation":"&lt;sup&gt;293–295&lt;/sup&gt;","plainTextFormattedCitation":"293–295","previouslyFormattedCitation":"&lt;sup&gt;293–295&lt;/sup&gt;"},"properties":{"noteIndex":0},"schema":"https://github.com/citation-style-language/schema/raw/master/csl-citation.json"}</w:instrText>
      </w:r>
      <w:r w:rsidR="003B49F9" w:rsidRPr="0082680A">
        <w:rPr>
          <w:lang w:val="en-GB"/>
        </w:rPr>
        <w:fldChar w:fldCharType="separate"/>
      </w:r>
      <w:r w:rsidR="00426B19" w:rsidRPr="00426B19">
        <w:rPr>
          <w:noProof/>
          <w:vertAlign w:val="superscript"/>
          <w:lang w:val="en-GB"/>
        </w:rPr>
        <w:t>293–295</w:t>
      </w:r>
      <w:r w:rsidR="003B49F9" w:rsidRPr="0082680A">
        <w:rPr>
          <w:lang w:val="en-GB"/>
        </w:rPr>
        <w:fldChar w:fldCharType="end"/>
      </w:r>
      <w:r w:rsidRPr="0082680A">
        <w:rPr>
          <w:lang w:val="en-GB"/>
        </w:rPr>
        <w:t xml:space="preserve">. </w:t>
      </w:r>
      <w:r w:rsidRPr="0082680A">
        <w:rPr>
          <w:i/>
          <w:lang w:val="en-GB"/>
        </w:rPr>
        <w:t>LRRK2</w:t>
      </w:r>
      <w:r w:rsidRPr="0082680A">
        <w:rPr>
          <w:lang w:val="en-GB"/>
        </w:rPr>
        <w:t xml:space="preserve"> mutations affect approximately 4% of patients </w:t>
      </w:r>
      <w:r w:rsidRPr="0082680A">
        <w:rPr>
          <w:lang w:val="en-GB"/>
        </w:rPr>
        <w:lastRenderedPageBreak/>
        <w:t xml:space="preserve">with familial PD and 1% of sporadic PD patients </w:t>
      </w:r>
      <w:r w:rsidR="00230CAC" w:rsidRPr="0082680A">
        <w:rPr>
          <w:lang w:val="en-GB"/>
        </w:rPr>
        <w:fldChar w:fldCharType="begin" w:fldLock="1"/>
      </w:r>
      <w:r w:rsidR="000507BA">
        <w:rPr>
          <w:lang w:val="en-GB"/>
        </w:rPr>
        <w:instrText>ADDIN CSL_CITATION {"citationItems":[{"id":"ITEM-1","itemData":{"DOI":"10.1016/S1474-4422(08)70117-0","ISSN":"14744422","PMID":"18539534","abstract":"BACKGROUND Mutations in LRRK2, the gene that encodes leucine-rich repeat kinase 2, are a cause of Parkinson's disease (PD). The International LRRK2 Consortium was established to answer three key clinical questions: can LRRK2-associated PD be distinguished from idiopathic PD; which mutations in LRRK2 are pathogenic; and what is the age-specific cumulative risk of PD for individuals who inherit or are at risk of inheriting a deleterious mutation in LRRK2? METHODS Researchers from 21 centres across the world collaborated on this study. The frequency of the common LRRK2 Gly2019Ser mutation was estimated on the basis of data from 24 populations worldwide, and the penetrance of the mutation was defined in 1045 people with mutations in LRRK2 from 133 families. The LRRK2 phenotype was defined on the basis of 59 motor and non-motor symptoms in 356 patients with LRRK2-associated PD and compared with the symptoms of 543 patients with pathologically proven idiopathic PD. FINDINGS Six mutations met the consortium's criteria for being proven pathogenic. The frequency of the common LRRK2 Gly2019Ser mutation was 1% of patients with sporadic PD and 4% of patients with hereditary PD; the frequency was highest in the middle east and higher in southern Europe than in northern Europe. The risk of PD for a person who inherits the LRRK2 Gly2019Ser mutation was 28% at age 59 years, 51% at 69 years, and 74% at 79 years. The motor symptoms (eg, disease severity, rate of progression, occurrence of falls, and dyskinesia) and non-motor symptoms (eg, cognition and olfaction) of LRRK2-associated PD were more benign than those of idiopathic PD. INTERPRETATION Mutations in LRRK2 are a clinically relevant cause of PD that merit testing in patients with hereditary PD and in subgroups of patients with PD. However, this knowledge should be applied with caution in the diagnosis and counselling of patients. FUNDING UK Medical Research Council; UK Parkinson's Disease Society; UK Brain Research Trust; Internationaal Parkinson Fonds; Volkswagen Foundation; National Institutes of Health: National Institute of Neurological Disorders and Stroke and National Institute of Aging; Udall Parkinson's Disease Centre of Excellence; Pacific Alzheimer Research Foundation Centre; Italian Telethon Foundation; Fondazione Grigioni per il Morbo di Parkinson; Michael J Fox Foundation for Parkinson's Research; Safra Global Genetics Consortium; US Department of Veterans Affairs; French Agence Nationale de la Recher…","author":[{"dropping-particle":"","family":"Healy","given":"Daniel G","non-dropping-particle":"","parse-names":false,"suffix":""},{"dropping-particle":"","family":"Falchi","given":"Mario","non-dropping-particle":"","parse-names":false,"suffix":""},{"dropping-particle":"","family":"O'Sullivan","given":"Sean S","non-dropping-particle":"","parse-names":false,"suffix":""},{"dropping-particle":"","family":"Bonifati","given":"Vincenzo","non-dropping-particle":"","parse-names":false,"suffix":""},{"dropping-particle":"","family":"Durr","given":"Alexandra","non-dropping-particle":"","parse-names":false,"suffix":""},{"dropping-particle":"","family":"Bressman","given":"Susan","non-dropping-particle":"","parse-names":false,"suffix":""},{"dropping-particle":"","family":"Brice","given":"Alexis","non-dropping-particle":"","parse-names":false,"suffix":""},{"dropping-particle":"","family":"Aasly","given":"Jan","non-dropping-particle":"","parse-names":false,"suffix":""},{"dropping-particle":"","family":"Zabetian","given":"Cyrus P","non-dropping-particle":"","parse-names":false,"suffix":""},{"dropping-particle":"","family":"Goldwurm","given":"Stefano","non-dropping-particle":"","parse-names":false,"suffix":""},{"dropping-particle":"","family":"Ferreira","given":"Joaquim J","non-dropping-particle":"","parse-names":false,"suffix":""},{"dropping-particle":"","family":"Tolosa","given":"Eduardo","non-dropping-particle":"","parse-names":false,"suffix":""},{"dropping-particle":"","family":"Kay","given":"Denise M","non-dropping-particle":"","parse-names":false,"suffix":""},{"dropping-particle":"","family":"Klein","given":"Christine","non-dropping-particle":"","parse-names":false,"suffix":""},{"dropping-particle":"","family":"Williams","given":"David R","non-dropping-particle":"","parse-names":false,"suffix":""},{"dropping-particle":"","family":"Marras","given":"Connie","non-dropping-particle":"","parse-names":false,"suffix":""},{"dropping-particle":"","family":"Lang","given":"Anthony E","non-dropping-particle":"","parse-names":false,"suffix":""},{"dropping-particle":"","family":"Wszolek","given":"Zbigniew K","non-dropping-particle":"","parse-names":false,"suffix":""},{"dropping-particle":"","family":"Berciano","given":"Jose","non-dropping-particle":"","parse-names":false,"suffix":""},{"dropping-particle":"","family":"Schapira","given":"Anthony HV","non-dropping-particle":"","parse-names":false,"suffix":""},{"dropping-particle":"","family":"Lynch","given":"Timothy","non-dropping-particle":"","parse-names":false,"suffix":""},{"dropping-particle":"","family":"Bhatia","given":"Kailash P","non-dropping-particle":"","parse-names":false,"suffix":""},{"dropping-particle":"","family":"Gasser","given":"Thomas","non-dropping-particle":"","parse-names":false,"suffix":""},{"dropping-particle":"","family":"Lees","given":"Andrew J","non-dropping-particle":"","parse-names":false,"suffix":""},{"dropping-particle":"","family":"Wood","given":"Nicholas W","non-dropping-particle":"","parse-names":false,"suffix":""},{"dropping-particle":"","family":"International LRRK2 Consortium","given":"","non-dropping-particle":"","parse-names":false,"suffix":""}],"container-title":"The Lancet Neurology","id":"ITEM-1","issue":"7","issued":{"date-parts":[["2008","7"]]},"page":"583-590","title":"Phenotype, genotype, and worldwide genetic penetrance of LRRK2-associated Parkinson's disease: a case-control study","type":"article-journal","volume":"7"},"uris":["http://www.mendeley.com/documents/?uuid=0ab410f9-e8ab-3899-baac-ee559deb9942"]}],"mendeley":{"formattedCitation":"&lt;sup&gt;296&lt;/sup&gt;","plainTextFormattedCitation":"296","previouslyFormattedCitation":"&lt;sup&gt;296&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296</w:t>
      </w:r>
      <w:r w:rsidR="00230CAC" w:rsidRPr="0082680A">
        <w:rPr>
          <w:lang w:val="en-GB"/>
        </w:rPr>
        <w:fldChar w:fldCharType="end"/>
      </w:r>
      <w:r w:rsidRPr="0082680A">
        <w:rPr>
          <w:lang w:val="en-GB"/>
        </w:rPr>
        <w:t xml:space="preserve">. </w:t>
      </w:r>
      <w:r w:rsidRPr="0082680A">
        <w:rPr>
          <w:i/>
          <w:lang w:val="en-GB"/>
        </w:rPr>
        <w:t>LRRK2</w:t>
      </w:r>
      <w:r w:rsidRPr="0082680A">
        <w:rPr>
          <w:lang w:val="en-GB"/>
        </w:rPr>
        <w:t xml:space="preserve"> is typically a cytoplasmic protein, however it has been observed to bind to mitochondrial membranes </w:t>
      </w:r>
      <w:r w:rsidR="00230CAC" w:rsidRPr="0082680A">
        <w:rPr>
          <w:lang w:val="en-GB"/>
        </w:rPr>
        <w:fldChar w:fldCharType="begin" w:fldLock="1"/>
      </w:r>
      <w:r w:rsidR="000507BA">
        <w:rPr>
          <w:lang w:val="en-GB"/>
        </w:rPr>
        <w:instrText>ADDIN CSL_CITATION {"citationItems":[{"id":"ITEM-1","itemData":{"DOI":"10.1002/ana.21019","ISSN":"03645134","author":[{"dropping-particle":"","family":"Biskup","given":"Saskia","non-dropping-particle":"","parse-names":false,"suffix":""},{"dropping-particle":"","family":"Moore","given":"Darren J.","non-dropping-particle":"","parse-names":false,"suffix":""},{"dropping-particle":"","family":"Celsi","given":"Fulvio","non-dropping-particle":"","parse-names":false,"suffix":""},{"dropping-particle":"","family":"Higashi","given":"Shinji","non-dropping-particle":"","parse-names":false,"suffix":""},{"dropping-particle":"","family":"West","given":"Andrew B.","non-dropping-particle":"","parse-names":false,"suffix":""},{"dropping-particle":"","family":"Andrabi","given":"Shaida A.","non-dropping-particle":"","parse-names":false,"suffix":""},{"dropping-particle":"","family":"Kurkinen","given":"Kaisa","non-dropping-particle":"","parse-names":false,"suffix":""},{"dropping-particle":"","family":"Yu","given":"Seong-Woon","non-dropping-particle":"","parse-names":false,"suffix":""},{"dropping-particle":"","family":"Savitt","given":"Joseph M.","non-dropping-particle":"","parse-names":false,"suffix":""},{"dropping-particle":"","family":"Waldvogel","given":"Henry J.","non-dropping-particle":"","parse-names":false,"suffix":""},{"dropping-particle":"","family":"Faull","given":"Richard L. M.","non-dropping-particle":"","parse-names":false,"suffix":""},{"dropping-particle":"","family":"Emson","given":"Piers C.","non-dropping-particle":"","parse-names":false,"suffix":""},{"dropping-particle":"","family":"Torp","given":"Reidun","non-dropping-particle":"","parse-names":false,"suffix":""},{"dropping-particle":"","family":"Ottersen","given":"Ole P.","non-dropping-particle":"","parse-names":false,"suffix":""},{"dropping-particle":"","family":"Dawson","given":"Ted M.","non-dropping-particle":"","parse-names":false,"suffix":""},{"dropping-particle":"","family":"Dawson","given":"Valina L.","non-dropping-particle":"","parse-names":false,"suffix":""}],"container-title":"Annals of Neurology","id":"ITEM-1","issue":"5","issued":{"date-parts":[["2006","11","1"]]},"page":"557-569","publisher":"Wiley-Blackwell","title":"Localization of LRRK2 to membranous and vesicular structures in mammalian brain","type":"article-journal","volume":"60"},"uris":["http://www.mendeley.com/documents/?uuid=5a51cd44-7115-41b0-83ab-296a3c6260f9"]}],"mendeley":{"formattedCitation":"&lt;sup&gt;297&lt;/sup&gt;","plainTextFormattedCitation":"297","previouslyFormattedCitation":"&lt;sup&gt;297&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297</w:t>
      </w:r>
      <w:r w:rsidR="00230CAC" w:rsidRPr="0082680A">
        <w:rPr>
          <w:lang w:val="en-GB"/>
        </w:rPr>
        <w:fldChar w:fldCharType="end"/>
      </w:r>
      <w:r w:rsidRPr="0082680A">
        <w:rPr>
          <w:lang w:val="en-GB"/>
        </w:rPr>
        <w:t xml:space="preserve">. Due to the number of different domains encoded in </w:t>
      </w:r>
      <w:r w:rsidRPr="0082680A">
        <w:rPr>
          <w:i/>
          <w:lang w:val="en-GB"/>
        </w:rPr>
        <w:t>LRRK2’s</w:t>
      </w:r>
      <w:r w:rsidRPr="0082680A">
        <w:rPr>
          <w:lang w:val="en-GB"/>
        </w:rPr>
        <w:t xml:space="preserve"> protein </w:t>
      </w:r>
      <w:proofErr w:type="spellStart"/>
      <w:r w:rsidRPr="0082680A">
        <w:rPr>
          <w:lang w:val="en-GB"/>
        </w:rPr>
        <w:t>Dardarin</w:t>
      </w:r>
      <w:proofErr w:type="spellEnd"/>
      <w:r w:rsidRPr="0082680A">
        <w:rPr>
          <w:lang w:val="en-GB"/>
        </w:rPr>
        <w:t xml:space="preserve">, it is a member of multiple enzyme families, including ROC-COR (ROCO), mixed-lineage kinase (MLK), and receptor-interacting protein kinase (RIPK). Other members of the ROCO family have been shown to contribute to cell motility and adhesion, cell death processes, and inflammatory response </w:t>
      </w:r>
      <w:r w:rsidR="00230CAC" w:rsidRPr="0082680A">
        <w:rPr>
          <w:lang w:val="en-GB"/>
        </w:rPr>
        <w:fldChar w:fldCharType="begin" w:fldLock="1"/>
      </w:r>
      <w:r w:rsidR="000507BA">
        <w:rPr>
          <w:lang w:val="en-GB"/>
        </w:rPr>
        <w:instrText>ADDIN CSL_CITATION {"citationItems":[{"id":"ITEM-1","itemData":{"DOI":"10.1242/jcs.00794","ISSN":"0021-9533","PMID":"14600263","abstract":"Death-associated protein kinase (DAP kinase) is a proapoptotic, calcium/calmodulin-dependent serine/threonine kinase. Here, we report that DAP kinase phosphorylates the regulatory light chain of myosin II (MLC) both in vitro and in vivo, and that this phosphorylation occurs preferentially at residue Ser19. In quiescent fibroblasts, DAP kinase stabilizes stress fibers through phosphorylation of MLC, but it is dispensable for the formation of peripheral microfilament bundles. This cytoskeletal effect of DAP kinase occurs before the onset of apoptosis and does not require an intact death domain. In addition, DAP kinase is required for serum-induced stress-fiber formation, which is associated with the upregulation of its catalytic activity. Despite being both sufficient and necessary for the assembly or maintenance of stress fibers, DAP kinase is incapable of stimulating the formation of focal adhesions in quiescent cells. Moreover, it promotes the disassembly of focal adhesions but not stress fibers in cells receiving serum factors. Together, our results identify a novel and unique function of DAP kinase in the uncoupling of stress fibers and focal adhesions. Such uncoupling would lead to a perturbation of the balance between contractile and adhesion forces and subsequent cell detachment, which might contribute to its pro-apoptotic activity.","author":[{"dropping-particle":"","family":"Kuo","given":"J.-C.","non-dropping-particle":"","parse-names":false,"suffix":""},{"dropping-particle":"","family":"Lin","given":"Jia-Ren","non-dropping-particle":"","parse-names":false,"suffix":""},{"dropping-particle":"","family":"Staddon","given":"James M","non-dropping-particle":"","parse-names":false,"suffix":""},{"dropping-particle":"","family":"Hosoya","given":"Hiroshi","non-dropping-particle":"","parse-names":false,"suffix":""},{"dropping-particle":"","family":"Chen","given":"Ruey-Hwa","non-dropping-particle":"","parse-names":false,"suffix":""}],"container-title":"Journal of Cell Science","id":"ITEM-1","issue":"23","issued":{"date-parts":[["2003","12","1"]]},"page":"4777-4790","title":"Uncoordinated regulation of stress fibers and focal adhesions by DAP kinase","type":"article-journal","volume":"116"},"uris":["http://www.mendeley.com/documents/?uuid=7c2f879c-1a8e-3662-a484-17b2fc801e5e"]},{"id":"ITEM-2","itemData":{"DOI":"10.1083/jcb.200505138","ISSN":"0021-9525","PMID":"16476779","abstract":"Death-associated protein kinase (DAPK) is a calmodulin-regulated serine/threonine kinase and possesses apoptotic and tumor-suppressive functions. However, it is unclear whether DAPK elicits apoptosis-independent activity to suppress tumor progression. We show that DAPK inhibits random migration by reducing directional persistence and directed migration by blocking cell polarization. These effects are mainly mediated by an inhibitory role of DAPK in talin head domain association with integrin, thereby suppressing the integrin-Cdc42 polarity pathway. We present evidence indicating that the antimigratory effect of DAPK represents a mechanism through which DAPK suppresses tumors. First, DAPK can block migration and invasion in certain tumor cells that are resistant to DAPK-induced apoptosis. Second, using an adenocarcinoma cell line and its highly invasive derivative, we demonstrate DAPK level as a determining factor in tumor invasiveness. Collectively, our study identifies a novel function of DAPK in regulating cell polarity during migration, which may act together with its apoptotic function to suppress tumor progression.","author":[{"dropping-particle":"","family":"Kuo","given":"Jean-Cheng","non-dropping-particle":"","parse-names":false,"suffix":""},{"dropping-particle":"","family":"Wang","given":"Won-Jing","non-dropping-particle":"","parse-names":false,"suffix":""},{"dropping-particle":"","family":"Yao","given":"Chung-Chen","non-dropping-particle":"","parse-names":false,"suffix":""},{"dropping-particle":"","family":"Wu","given":"Pei-Rung","non-dropping-particle":"","parse-names":false,"suffix":""},{"dropping-particle":"","family":"Chen","given":"Ruey-Hwa","non-dropping-particle":"","parse-names":false,"suffix":""}],"container-title":"The Journal of Cell Biology","id":"ITEM-2","issue":"4","issued":{"date-parts":[["2006","2","13"]]},"page":"619-631","title":"The tumor suppressor DAPK inhibits cell motility by blocking the integrin-mediated polarity pathway","type":"article-journal","volume":"172"},"uris":["http://www.mendeley.com/documents/?uuid=32d95794-ebd0-34a2-acbd-9973635cd738"]},{"id":"ITEM-3","itemData":{"ISSN":"0022-1767","PMID":"18292548","abstract":"Death-associated protein kinase (DAPK) is a unique multidomain kinase acting both as a tumor suppressor and an apoptosis inducer. The molecular mechanism underlying the effector function of DAPK is not fully understood, while the role of DAPK in T lymphocyte activation is mostly unknown. DAPK was activated after TCR stimulation. Through the expression of a dominant-negative and a constitutively active form of DAPK in T cells, we found that DAPK negatively regulated T cell activation. DAPK markedly affected T cell proliferation and IL-2 production. We identified TCR-induced NF-kappaB activation as a target of DAPK. In contrast, IL-1beta- and TNF-alpha-triggered NF-kappaB activation was not affected by DAPK. We further found that DAPK selectively modulated the TCR-induced translocation of protein kinase Ctheta, Bcl-10, and IkappaB kinase into membrane rafts. Notably, the effect of DAPK on the raft entry was specific for the NF-kappaB pathway, as other raft-associated molecules, such as linker for activation of T cells, were not affected. Our results clearly demonstrate that DAPK is a novel regulator targeted to TCR-activated NF-kappaB and T cell activation.","author":[{"dropping-particle":"","family":"Chuang","given":"Ya-Ting","non-dropping-particle":"","parse-names":false,"suffix":""},{"dropping-particle":"","family":"Fang","given":"Li-Wen","non-dropping-particle":"","parse-names":false,"suffix":""},{"dropping-particle":"","family":"Lin-Feng","given":"Ming-Hsien","non-dropping-particle":"","parse-names":false,"suffix":""},{"dropping-particle":"","family":"Chen","given":"Ruey-Hwa","non-dropping-particle":"","parse-names":false,"suffix":""},{"dropping-particle":"","family":"Lai","given":"Ming-Zong","non-dropping-particle":"","parse-names":false,"suffix":""}],"container-title":"Journal of immunology (Baltimore, Md. : 1950)","id":"ITEM-3","issue":"5","issued":{"date-parts":[["2008","3","1"]]},"page":"3238-49","title":"The tumor suppressor death-associated protein kinase targets to TCR-stimulated NF-kappa B activation.","type":"article-journal","volume":"180"},"uris":["http://www.mendeley.com/documents/?uuid=90792a66-8d20-322e-97bb-8ceee337017e"]},{"id":"ITEM-4","itemData":{"DOI":"10.1016/j.ceb.2009.11.004","ISSN":"09550674","PMID":"20005690","abstract":"Recently, DAP-kinase was identified as one of the essential regulators of autophagy, activated by signals such as cytokines and ER stress. DAP-kinase is a tumor suppressor that mediates several cell death pathways, such as apoptosis and programmed necrosis. Likewise, functional studies suggest that DAP-kinase may direct autophagy specifically towards autophagic cell death. Several recent studies have mapped DAP-kinase function to distinct stages in autophagy signaling. These include the Beclin-1/phosphatidylinositol 3-kinase (PI(3)K) complex, which is necessary for autophagosome formation, and an interaction with the LC3 binding protein, MAP1B, which may regulate vesicle trafficking. This review will summarize the functional and mechanistic studies that have linked DAP-kinase to the regulation of autophagy in general, and autophagic cell death, in particular.","author":[{"dropping-particle":"","family":"Bialik","given":"Shani","non-dropping-particle":"","parse-names":false,"suffix":""},{"dropping-particle":"","family":"Kimchi","given":"Adi","non-dropping-particle":"","parse-names":false,"suffix":""}],"container-title":"Current Opinion in Cell Biology","id":"ITEM-4","issue":"2","issued":{"date-parts":[["2010","4"]]},"page":"199-205","title":"Lethal weapons: DAP-kinase, autophagy and cell death","type":"article-journal","volume":"22"},"uris":["http://www.mendeley.com/documents/?uuid=40d93dfa-ee3e-37e8-8924-b8277bc55c85"]}],"mendeley":{"formattedCitation":"&lt;sup&gt;298–301&lt;/sup&gt;","plainTextFormattedCitation":"298–301","previouslyFormattedCitation":"&lt;sup&gt;298–301&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298–301</w:t>
      </w:r>
      <w:r w:rsidR="00230CAC" w:rsidRPr="0082680A">
        <w:rPr>
          <w:lang w:val="en-GB"/>
        </w:rPr>
        <w:fldChar w:fldCharType="end"/>
      </w:r>
      <w:r w:rsidRPr="0082680A">
        <w:rPr>
          <w:lang w:val="en-GB"/>
        </w:rPr>
        <w:t xml:space="preserve">. MLKs are also mediators of neuronal cell death </w:t>
      </w:r>
      <w:r w:rsidR="00230CAC" w:rsidRPr="0082680A">
        <w:rPr>
          <w:lang w:val="en-GB"/>
        </w:rPr>
        <w:fldChar w:fldCharType="begin" w:fldLock="1"/>
      </w:r>
      <w:r w:rsidR="000507BA">
        <w:rPr>
          <w:lang w:val="en-GB"/>
        </w:rPr>
        <w:instrText>ADDIN CSL_CITATION {"citationItems":[{"id":"ITEM-1","itemData":{"DOI":"10.1128/MCB.21.14.4713-4724.2001","ISSN":"0270-7306","PMID":"11416147","abstract":"Neuronal apoptotic death induced by nerve growth factor (NGF) deprivation is reported to be in part mediated through a pathway that includes Rac1 and Cdc42, mitogen-activated protein kinase kinases 4 and 7 (MKK4 and -7), c-Jun N-terminal kinases (JNKs), and c-Jun. However, additional components of the pathway remain to be defined. We show here that members of the mixed-lineage kinase (MLK) family (including MLK1, MLK2, MLK3, and dual leucine zipper kinase [DLK]) are expressed in neuronal cells and are likely to act between Rac1/Cdc42 and MKK4 and -7 in death signaling. Overexpression of MLKs effectively induces apoptotic death of cultured neuronal PC12 cells and sympathetic neurons, while expression of dominant-negative forms of MLKs suppresses death evoked by NGF deprivation or expression of activated forms of Rac1 and Cdc42. CEP-1347 (KT7515), which blocks neuronal death caused by NGF deprivation and a variety of additional apoptotic stimuli and which selectively inhibits the activities of MLKs, effectively protects neuronal PC12 cells from death induced by overexpression of MLK family members. In addition, NGF deprivation or UV irradiation leads to an increase in both level and phosphorylation of endogenous DLK. These observations support a role for MLKs in the neuronal death mechanism. With respect to ordering the death pathway, dominant-negative forms of MKK4 and -7 and c-Jun are protective against death induced by MLK overexpression, placing MLKs upstream of these kinases. Additional findings place the MLKs upstream of mitochondrial cytochrome c release and caspase activation.","author":[{"dropping-particle":"","family":"Xu","given":"Z.","non-dropping-particle":"","parse-names":false,"suffix":""},{"dropping-particle":"","family":"Maroney","given":"A. C.","non-dropping-particle":"","parse-names":false,"suffix":""},{"dropping-particle":"","family":"Dobrzanski","given":"P.","non-dropping-particle":"","parse-names":false,"suffix":""},{"dropping-particle":"V.","family":"Kukekov","given":"N.","non-dropping-particle":"","parse-names":false,"suffix":""},{"dropping-particle":"","family":"Greene","given":"L. A.","non-dropping-particle":"","parse-names":false,"suffix":""}],"container-title":"Molecular and Cellular Biology","id":"ITEM-1","issue":"14","issued":{"date-parts":[["2001","7","15"]]},"page":"4713-4724","title":"The MLK Family Mediates c-Jun N-Terminal Kinase Activation in Neuronal Apoptosis","type":"article-journal","volume":"21"},"uris":["http://www.mendeley.com/documents/?uuid=e89f9d58-cf08-3bce-885a-27695ac225ae"]}],"mendeley":{"formattedCitation":"&lt;sup&gt;302&lt;/sup&gt;","plainTextFormattedCitation":"302","previouslyFormattedCitation":"&lt;sup&gt;302&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302</w:t>
      </w:r>
      <w:r w:rsidR="00230CAC" w:rsidRPr="0082680A">
        <w:rPr>
          <w:lang w:val="en-GB"/>
        </w:rPr>
        <w:fldChar w:fldCharType="end"/>
      </w:r>
      <w:r w:rsidRPr="0082680A">
        <w:rPr>
          <w:lang w:val="en-GB"/>
        </w:rPr>
        <w:t xml:space="preserve">, and RIPK members are also involved in immune signalling pathways </w:t>
      </w:r>
      <w:r w:rsidR="00230CAC" w:rsidRPr="0082680A">
        <w:rPr>
          <w:lang w:val="en-GB"/>
        </w:rPr>
        <w:fldChar w:fldCharType="begin" w:fldLock="1"/>
      </w:r>
      <w:r w:rsidR="000507BA">
        <w:rPr>
          <w:lang w:val="en-GB"/>
        </w:rPr>
        <w:instrText>ADDIN CSL_CITATION {"citationItems":[{"id":"ITEM-1","itemData":{"DOI":"10.1038/cmi.2010.10","ISSN":"1672-7681","PMID":"20383176","abstract":"Receptor-interacting protein (RIP) kinases are a group of threonine/serine protein kinases with a relatively conserved kinase domain but distinct non-kinase regions. A number of different domain structures, such as death and caspase activation and recruitment domain (CARD) domains, were found in different RIP family members, and these domains should be keys in determining the specific function of each RIP kinase. It is known that RIP kinases participate in different biological processes, including those in innate immunity, but their downstream substrates are largely unknown. This review will give an overview of the structures and functions of RIP family members, and an update of recent progress in RIP kinase research.","author":[{"dropping-particle":"","family":"Zhang","given":"Duanwu","non-dropping-particle":"","parse-names":false,"suffix":""},{"dropping-particle":"","family":"Lin","given":"Juan","non-dropping-particle":"","parse-names":false,"suffix":""},{"dropping-particle":"","family":"Han","given":"Jiahuai","non-dropping-particle":"","parse-names":false,"suffix":""}],"container-title":"Cellular &amp; Molecular Immunology","id":"ITEM-1","issue":"4","issued":{"date-parts":[["2010","7","12"]]},"page":"243-249","title":"Receptor-interacting protein (RIP) kinase family","type":"article-journal","volume":"7"},"uris":["http://www.mendeley.com/documents/?uuid=39223041-6e8a-311a-a056-c0cc5511871c"]}],"mendeley":{"formattedCitation":"&lt;sup&gt;303&lt;/sup&gt;","plainTextFormattedCitation":"303","previouslyFormattedCitation":"&lt;sup&gt;303&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303</w:t>
      </w:r>
      <w:r w:rsidR="00230CAC" w:rsidRPr="0082680A">
        <w:rPr>
          <w:lang w:val="en-GB"/>
        </w:rPr>
        <w:fldChar w:fldCharType="end"/>
      </w:r>
      <w:r w:rsidRPr="0082680A">
        <w:rPr>
          <w:lang w:val="en-GB"/>
        </w:rPr>
        <w:t xml:space="preserve">. </w:t>
      </w:r>
      <w:r w:rsidRPr="0082680A">
        <w:rPr>
          <w:i/>
          <w:lang w:val="en-GB"/>
        </w:rPr>
        <w:t>LRRK2</w:t>
      </w:r>
      <w:r w:rsidRPr="0082680A">
        <w:rPr>
          <w:lang w:val="en-GB"/>
        </w:rPr>
        <w:t>’s own involvement in immunity pathways is validated by its interactions with NOD proteins and NF-</w:t>
      </w:r>
      <w:r w:rsidRPr="0082680A">
        <w:rPr>
          <w:i/>
          <w:lang w:val="en-GB"/>
        </w:rPr>
        <w:t>k</w:t>
      </w:r>
      <w:r w:rsidRPr="0082680A">
        <w:rPr>
          <w:lang w:val="en-GB"/>
        </w:rPr>
        <w:t xml:space="preserve">B </w:t>
      </w:r>
      <w:r w:rsidR="00230CAC" w:rsidRPr="0082680A">
        <w:rPr>
          <w:lang w:val="en-GB"/>
        </w:rPr>
        <w:fldChar w:fldCharType="begin" w:fldLock="1"/>
      </w:r>
      <w:r w:rsidR="000507BA">
        <w:rPr>
          <w:lang w:val="en-GB"/>
        </w:rPr>
        <w:instrText>ADDIN CSL_CITATION {"citationItems":[{"id":"ITEM-1","itemData":{"DOI":"10.1371/journal.pone.0039132","ISSN":"1932-6203","PMID":"22723946","abstract":"Mutations in leucine-rich repeat kinase 2 (LRRK2) are strongly associated with late-onset autosomal dominant Parkinson's disease. LRRK2 is highly expressed in immune cells and recent work points towards a link between LRRK2 and innate immunity. Here we demonstrate that stimulation of the Toll-Like Receptor (TLR) pathway by MyD88-dependent agonists in bone marrow-derived macrophages (BMDMs) or RAW264.7 macrophages induces marked phosphorylation of LRRK2 at Ser910 and Ser935, the phosphorylation sites that regulate the binding of 14-3-3 to LRRK2. Phosphorylation of these residues is prevented by knock-out of MyD88 in BMDMs, but not the alternative TLR adaptor protein TRIF. Utilising both pharmacological inhibitors, including a new TAK1 inhibitor, NG25, and genetic models, we provide evidence that both the canonical (IKKα and IKKβ) and IKK-related (IKKε and TBK1) kinases mediate TLR agonist induced phosphorylation of LRRK2 in vivo. Moreover, all four IKK members directly phosphorylate LRRK2 at Ser910 and Ser935 in vitro. Consistent with previous work describing Ser910 and Ser935 as pharmacodynamic biomarkers of LRRK2 activity, we find that the TLR independent basal phosphorylation of LRRK2 at Ser910 and Ser935 is abolished following treatment of macrophages with LRRK2 kinase inhibitors. However, the increased phosphorylation of Ser910 and Ser935 induced by activation of the MyD88 pathway is insensitive to LRRK2 kinase inhibitors. Finally, employing LRRK2-deficient BMDMs, we present data indicating that LRRK2 does not play a major role in regulating the secretion of inflammatory cytokines induced by activation of the MyD88 pathway. Our findings provide the first direct link between LRRK2 and the IKKs that mediate many immune responses. Further work is required to uncover the physiological roles that phosphorylation of LRRK2 by IKKs play in controlling macrophage biology and to determine how phosphorylation of LRRK2 by IKKs impacts upon the use of Ser910 and Ser935 as pharmacodynamic biomarkers.","author":[{"dropping-particle":"","family":"Dzamko","given":"Nicolas","non-dropping-particle":"","parse-names":false,"suffix":""},{"dropping-particle":"","family":"Inesta-Vaquera","given":"Francisco","non-dropping-particle":"","parse-names":false,"suffix":""},{"dropping-particle":"","family":"Zhang","given":"Jiazhen","non-dropping-particle":"","parse-names":false,"suffix":""},{"dropping-particle":"","family":"Xie","given":"Chengsong","non-dropping-particle":"","parse-names":false,"suffix":""},{"dropping-particle":"","family":"Cai","given":"Huaibin","non-dropping-particle":"","parse-names":false,"suffix":""},{"dropping-particle":"","family":"Arthur","given":"Simon","non-dropping-particle":"","parse-names":false,"suffix":""},{"dropping-particle":"","family":"Tan","given":"Li","non-dropping-particle":"","parse-names":false,"suffix":""},{"dropping-particle":"","family":"Choi","given":"Hwanguen","non-dropping-particle":"","parse-names":false,"suffix":""},{"dropping-particle":"","family":"Gray","given":"Nathanael","non-dropping-particle":"","parse-names":false,"suffix":""},{"dropping-particle":"","family":"Cohen","given":"Philip","non-dropping-particle":"","parse-names":false,"suffix":""},{"dropping-particle":"","family":"Pedrioli","given":"Patrick","non-dropping-particle":"","parse-names":false,"suffix":""},{"dropping-particle":"","family":"Clark","given":"Kristopher","non-dropping-particle":"","parse-names":false,"suffix":""},{"dropping-particle":"","family":"Alessi","given":"Dario R.","non-dropping-particle":"","parse-names":false,"suffix":""}],"container-title":"PLoS ONE","editor":[{"dropping-particle":"","family":"Dawson","given":"Ted M.","non-dropping-particle":"","parse-names":false,"suffix":""}],"id":"ITEM-1","issue":"6","issued":{"date-parts":[["2012","6","18"]]},"page":"e39132","title":"The IkappaB Kinase Family Phosphorylates the Parkinson’s Disease Kinase LRRK2 at Ser935 and Ser910 during Toll-Like Receptor Signaling","type":"article-journal","volume":"7"},"uris":["http://www.mendeley.com/documents/?uuid=d7b456d1-9a51-3eab-9c4c-e6bd0ed24289"]},{"id":"ITEM-2","itemData":{"DOI":"10.4049/jimmunol.1000548","ISSN":"0022-1767","PMID":"20921534","abstract":"LRRK2 was previously identified as a defective gene in Parkinson's disease, and it is also located in a risk region for Crohn's disease. In this study, we aim to determine whether LRRK2 could be involved in immune responses. We show that LRRK2 expression is enriched in human immune cells. LRRK2 is an IFN-γ target gene, and its expression increased in intestinal tissues upon Crohn's disease inflammation. In inflamed intestinal tissues, LRRK2 is detected in the lamina propria macrophages, B-lymphocytes, and CD103-positive dendritic cells. Furthermore, LRRK2 expression enhances NF-κB-dependent transcription, suggesting its role in immune response signaling. Endogenous LRRK2 rapidly translocates near bacterial membranes, and knockdown of LRRK2 interferes with reactive oxygen species production during phagocytosis and bacterial killing. These observations indicate that LRRK2 is an IFN-γ target gene, and it might be involved in signaling pathways relevant to Crohn's disease pathogenesis.","author":[{"dropping-particle":"","family":"Gardet","given":"A.","non-dropping-particle":"","parse-names":false,"suffix":""},{"dropping-particle":"","family":"Benita","given":"Y.","non-dropping-particle":"","parse-names":false,"suffix":""},{"dropping-particle":"","family":"Li","given":"C.","non-dropping-particle":"","parse-names":false,"suffix":""},{"dropping-particle":"","family":"Sands","given":"B. E.","non-dropping-particle":"","parse-names":false,"suffix":""},{"dropping-particle":"","family":"Ballester","given":"I.","non-dropping-particle":"","parse-names":false,"suffix":""},{"dropping-particle":"","family":"Stevens","given":"C.","non-dropping-particle":"","parse-names":false,"suffix":""},{"dropping-particle":"","family":"Korzenik","given":"J. R.","non-dropping-particle":"","parse-names":false,"suffix":""},{"dropping-particle":"","family":"Rioux","given":"J. D.","non-dropping-particle":"","parse-names":false,"suffix":""},{"dropping-particle":"","family":"Daly","given":"M. J.","non-dropping-particle":"","parse-names":false,"suffix":""},{"dropping-particle":"","family":"Xavier","given":"R. J.","non-dropping-particle":"","parse-names":false,"suffix":""},{"dropping-particle":"","family":"Podolsky","given":"D. K.","non-dropping-particle":"","parse-names":false,"suffix":""}],"container-title":"The Journal of Immunology","id":"ITEM-2","issue":"9","issued":{"date-parts":[["2010","11","1"]]},"page":"5577-5585","title":"LRRK2 Is Involved in the IFN-  Response and Host Response to Pathogens","type":"article-journal","volume":"185"},"uris":["http://www.mendeley.com/documents/?uuid=aaffc35e-f48b-3584-aa74-26e776412ebd"]}],"mendeley":{"formattedCitation":"&lt;sup&gt;304,305&lt;/sup&gt;","plainTextFormattedCitation":"304,305","previouslyFormattedCitation":"&lt;sup&gt;304,305&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304,305</w:t>
      </w:r>
      <w:r w:rsidR="00230CAC" w:rsidRPr="0082680A">
        <w:rPr>
          <w:lang w:val="en-GB"/>
        </w:rPr>
        <w:fldChar w:fldCharType="end"/>
      </w:r>
      <w:r w:rsidRPr="0082680A">
        <w:rPr>
          <w:lang w:val="en-GB"/>
        </w:rPr>
        <w:t xml:space="preserve">. In PD models, </w:t>
      </w:r>
      <w:r w:rsidRPr="0082680A">
        <w:rPr>
          <w:i/>
          <w:lang w:val="en-GB"/>
        </w:rPr>
        <w:t>LRRK2</w:t>
      </w:r>
      <w:r w:rsidRPr="0082680A">
        <w:rPr>
          <w:lang w:val="en-GB"/>
        </w:rPr>
        <w:t xml:space="preserve"> has been implicated in dysfunction in autophagy and lysosomal processes </w:t>
      </w:r>
      <w:r w:rsidR="00230CAC" w:rsidRPr="0082680A">
        <w:rPr>
          <w:lang w:val="en-GB"/>
        </w:rPr>
        <w:fldChar w:fldCharType="begin" w:fldLock="1"/>
      </w:r>
      <w:r w:rsidR="000507BA">
        <w:rPr>
          <w:lang w:val="en-GB"/>
        </w:rPr>
        <w:instrText>ADDIN CSL_CITATION {"citationItems":[{"id":"ITEM-1","itemData":{"DOI":"10.1002/emmm.201200215","ISSN":"17574676","PMID":"22407749","abstract":"Induced pluripotent stem cells (iPSC) offer an unprecedented opportunity to model human disease in relevant cell types, but it is unclear whether they could successfully model age-related diseases such as Parkinson's disease (PD). Here, we generated iPSC lines from seven patients with idiopathic PD (ID-PD), four patients with familial PD associated to the G2019S mutation in the Leucine-Rich Repeat Kinase 2 (LRRK2) gene (LRRK2-PD) and four age- and sex-matched healthy individuals (Ctrl). Over long-time culture, dopaminergic neurons (DAn) differentiated from either ID-PD- or LRRK2-PD-iPSC showed morphological alterations, including reduced numbers of neurites and neurite arborization, as well as accumulation of autophagic vacuoles, which were not evident in DAn differentiated from Ctrl-iPSC. Further induction of autophagy and/or inhibition of lysosomal proteolysis greatly exacerbated the DAn morphological alterations, indicating autophagic compromise in DAn from ID-PD- and LRRK2-PD-iPSC, which we demonstrate occurs at the level of autophagosome clearance. Our study provides an iPSC-based in vitro model that captures the patients' genetic complexity and allows investigation of the pathogenesis of both sporadic and familial PD cases in a disease-relevant cell type.","author":[{"dropping-particle":"","family":"Sánchez-Danés","given":"Adriana","non-dropping-particle":"","parse-names":false,"suffix":""},{"dropping-particle":"","family":"Richaud-Patin","given":"Yvonne","non-dropping-particle":"","parse-names":false,"suffix":""},{"dropping-particle":"","family":"Carballo-Carbajal","given":"Iria","non-dropping-particle":"","parse-names":false,"suffix":""},{"dropping-particle":"","family":"Jiménez-Delgado","given":"Senda","non-dropping-particle":"","parse-names":false,"suffix":""},{"dropping-particle":"","family":"Caig","given":"Carles","non-dropping-particle":"","parse-names":false,"suffix":""},{"dropping-particle":"","family":"Mora","given":"Sergio","non-dropping-particle":"","parse-names":false,"suffix":""},{"dropping-particle":"","family":"Guglielmo","given":"Claudia","non-dropping-particle":"Di","parse-names":false,"suffix":""},{"dropping-particle":"","family":"Ezquerra","given":"Mario","non-dropping-particle":"","parse-names":false,"suffix":""},{"dropping-particle":"","family":"Patel","given":"Bindiben","non-dropping-particle":"","parse-names":false,"suffix":""},{"dropping-particle":"","family":"Giralt","given":"Albert","non-dropping-particle":"","parse-names":false,"suffix":""},{"dropping-particle":"","family":"Canals","given":"Josep M.","non-dropping-particle":"","parse-names":false,"suffix":""},{"dropping-particle":"","family":"Memo","given":"Maurizio","non-dropping-particle":"","parse-names":false,"suffix":""},{"dropping-particle":"","family":"Alberch","given":"Jordi","non-dropping-particle":"","parse-names":false,"suffix":""},{"dropping-particle":"","family":"López-Barneo","given":"José","non-dropping-particle":"","parse-names":false,"suffix":""},{"dropping-particle":"","family":"Vila","given":"Miquel","non-dropping-particle":"","parse-names":false,"suffix":""},{"dropping-particle":"","family":"Cuervo","given":"Ana Maria","non-dropping-particle":"","parse-names":false,"suffix":""},{"dropping-particle":"","family":"Tolosa","given":"Eduard","non-dropping-particle":"","parse-names":false,"suffix":""},{"dropping-particle":"","family":"Consiglio","given":"Antonella","non-dropping-particle":"","parse-names":false,"suffix":""},{"dropping-particle":"","family":"Raya","given":"Angel","non-dropping-particle":"","parse-names":false,"suffix":""}],"container-title":"EMBO Molecular Medicine","id":"ITEM-1","issue":"5","issued":{"date-parts":[["2012","5"]]},"page":"380-395","title":"Disease-specific phenotypes in dopamine neurons from human iPS-based models of genetic and sporadic Parkinson's disease","type":"article-journal","volume":"4"},"uris":["http://www.mendeley.com/documents/?uuid=2a7f43d1-663e-3f9e-80c0-57a8d46e4951"]},{"id":"ITEM-2","itemData":{"DOI":"10.1242/jcs.164152","ISSN":"0021-9533","PMID":"25416817","abstract":"Two-pore channels (TPCs) are endolysosomal ion channels implicated in Ca(2+) signalling from acidic organelles. The relevance of these ubiquitous proteins for human disease, however, is unclear. Here, we report that lysosomes are enlarged and aggregated in fibroblasts from Parkinson disease patients with the common G2019S mutation in LRRK2. Defects were corrected by molecular silencing of TPC2, pharmacological inhibition of TPC regulators [Rab7, NAADP and PtdIns(3,5)P2] and buffering local Ca(2+) increases. NAADP-evoked Ca(2+) signals were exaggerated in diseased cells. TPC2 is thus a potential drug target within a pathogenic LRRK2 cascade that disrupts Ca(2+)-dependent trafficking in Parkinson disease.","author":[{"dropping-particle":"","family":"Hockey","given":"L. N.","non-dropping-particle":"","parse-names":false,"suffix":""},{"dropping-particle":"","family":"Kilpatrick","given":"B. S.","non-dropping-particle":"","parse-names":false,"suffix":""},{"dropping-particle":"","family":"Eden","given":"E. R.","non-dropping-particle":"","parse-names":false,"suffix":""},{"dropping-particle":"","family":"Lin-Moshier","given":"Y.","non-dropping-particle":"","parse-names":false,"suffix":""},{"dropping-particle":"","family":"Brailoiu","given":"G. C.","non-dropping-particle":"","parse-names":false,"suffix":""},{"dropping-particle":"","family":"Brailoiu","given":"E.","non-dropping-particle":"","parse-names":false,"suffix":""},{"dropping-particle":"","family":"Futter","given":"C. E.","non-dropping-particle":"","parse-names":false,"suffix":""},{"dropping-particle":"","family":"Schapira","given":"A. H.","non-dropping-particle":"","parse-names":false,"suffix":""},{"dropping-particle":"","family":"Marchant","given":"J. S.","non-dropping-particle":"","parse-names":false,"suffix":""},{"dropping-particle":"","family":"Patel","given":"S.","non-dropping-particle":"","parse-names":false,"suffix":""}],"container-title":"Journal of Cell Science","id":"ITEM-2","issue":"2","issued":{"date-parts":[["2015","1","15"]]},"page":"232-238","title":"Dysregulation of lysosomal morphology by pathogenic LRRK2 is corrected by TPC2 inhibition","type":"article-journal","volume":"128"},"uris":["http://www.mendeley.com/documents/?uuid=8e11c0ff-47e9-30f0-b69b-213d3d73ba04"]}],"mendeley":{"formattedCitation":"&lt;sup&gt;306,307&lt;/sup&gt;","plainTextFormattedCitation":"306,307","previouslyFormattedCitation":"&lt;sup&gt;306,307&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306,307</w:t>
      </w:r>
      <w:r w:rsidR="00230CAC" w:rsidRPr="0082680A">
        <w:rPr>
          <w:lang w:val="en-GB"/>
        </w:rPr>
        <w:fldChar w:fldCharType="end"/>
      </w:r>
      <w:r w:rsidRPr="0082680A">
        <w:rPr>
          <w:lang w:val="en-GB"/>
        </w:rPr>
        <w:t xml:space="preserve">. Interestingly, </w:t>
      </w:r>
      <w:r w:rsidRPr="0082680A">
        <w:rPr>
          <w:i/>
          <w:lang w:val="en-GB"/>
        </w:rPr>
        <w:t>LRRK2</w:t>
      </w:r>
      <w:r w:rsidRPr="0082680A">
        <w:rPr>
          <w:lang w:val="en-GB"/>
        </w:rPr>
        <w:t xml:space="preserve"> mutations have been identified in healthy individuals without PD, referred to as non-manifesting </w:t>
      </w:r>
      <w:r w:rsidRPr="0082680A">
        <w:rPr>
          <w:i/>
          <w:lang w:val="en-GB"/>
        </w:rPr>
        <w:t>LRRK2</w:t>
      </w:r>
      <w:r w:rsidRPr="0082680A">
        <w:rPr>
          <w:lang w:val="en-GB"/>
        </w:rPr>
        <w:t xml:space="preserve"> </w:t>
      </w:r>
      <w:r w:rsidR="00230CAC" w:rsidRPr="0082680A">
        <w:rPr>
          <w:lang w:val="en-GB"/>
        </w:rPr>
        <w:t>carriers</w:t>
      </w:r>
      <w:r w:rsidRPr="0082680A">
        <w:rPr>
          <w:lang w:val="en-GB"/>
        </w:rPr>
        <w:t xml:space="preserve"> </w:t>
      </w:r>
      <w:r w:rsidR="00230CAC" w:rsidRPr="0082680A">
        <w:rPr>
          <w:lang w:val="en-GB"/>
        </w:rPr>
        <w:fldChar w:fldCharType="begin" w:fldLock="1"/>
      </w:r>
      <w:r w:rsidR="000507BA">
        <w:rPr>
          <w:lang w:val="en-GB"/>
        </w:rPr>
        <w:instrText>ADDIN CSL_CITATION {"citationItems":[{"id":"ITEM-1","itemData":{"DOI":"10.1007/s00702-009-0303-0","ISSN":"0300-9564","author":[{"dropping-particle":"","family":"Thaler","given":"Avner","non-dropping-particle":"","parse-names":false,"suffix":""},{"dropping-particle":"","family":"Ash","given":"Elissa","non-dropping-particle":"","parse-names":false,"suffix":""},{"dropping-particle":"","family":"Gan-Or","given":"Ziv","non-dropping-particle":"","parse-names":false,"suffix":""},{"dropping-particle":"","family":"Orr-Urtreger","given":"Avi","non-dropping-particle":"","parse-names":false,"suffix":""},{"dropping-particle":"","family":"Giladi","given":"Nir","non-dropping-particle":"","parse-names":false,"suffix":""}],"container-title":"Journal of Neural Transmission","id":"ITEM-1","issue":"11","issued":{"date-parts":[["2009","11","15"]]},"page":"1473-1482","publisher":"Springer Vienna","title":"The LRRK2 G2019S mutation as the cause of Parkinson’s disease in Ashkenazi Jews","type":"article-journal","volume":"116"},"uris":["http://www.mendeley.com/documents/?uuid=18da8bc7-9bc2-3058-9601-3e77c60a928c"]}],"mendeley":{"formattedCitation":"&lt;sup&gt;308&lt;/sup&gt;","plainTextFormattedCitation":"308","previouslyFormattedCitation":"&lt;sup&gt;308&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308</w:t>
      </w:r>
      <w:r w:rsidR="00230CAC" w:rsidRPr="0082680A">
        <w:rPr>
          <w:lang w:val="en-GB"/>
        </w:rPr>
        <w:fldChar w:fldCharType="end"/>
      </w:r>
      <w:r w:rsidRPr="0082680A">
        <w:rPr>
          <w:lang w:val="en-GB"/>
        </w:rPr>
        <w:t>.</w:t>
      </w:r>
    </w:p>
    <w:p w14:paraId="6EB517C2" w14:textId="77777777" w:rsidR="000D27A7" w:rsidRPr="0082680A" w:rsidRDefault="000D27A7" w:rsidP="00842FD0">
      <w:pPr>
        <w:pStyle w:val="Heading4"/>
        <w:rPr>
          <w:lang w:val="en-GB"/>
        </w:rPr>
      </w:pPr>
      <w:bookmarkStart w:id="232" w:name="_k98dpif757ra" w:colFirst="0" w:colLast="0"/>
      <w:bookmarkStart w:id="233" w:name="_Toc3211396"/>
      <w:bookmarkEnd w:id="232"/>
      <w:r w:rsidRPr="0082680A">
        <w:rPr>
          <w:lang w:val="en-GB"/>
        </w:rPr>
        <w:t>ATP13A2 (PARK9)</w:t>
      </w:r>
      <w:bookmarkEnd w:id="233"/>
    </w:p>
    <w:p w14:paraId="345D6118" w14:textId="500A2BDD" w:rsidR="000D27A7" w:rsidRPr="0082680A" w:rsidRDefault="000D27A7" w:rsidP="000D27A7">
      <w:pPr>
        <w:rPr>
          <w:lang w:val="en-GB"/>
        </w:rPr>
      </w:pPr>
      <w:r w:rsidRPr="0082680A">
        <w:rPr>
          <w:lang w:val="en-GB"/>
        </w:rPr>
        <w:t>ATPase Cation Transporting 13A2 (</w:t>
      </w:r>
      <w:r w:rsidRPr="0082680A">
        <w:rPr>
          <w:i/>
          <w:lang w:val="en-GB"/>
        </w:rPr>
        <w:t>ATP13A2</w:t>
      </w:r>
      <w:r w:rsidRPr="0082680A">
        <w:rPr>
          <w:lang w:val="en-GB"/>
        </w:rPr>
        <w:t xml:space="preserve">) was first associated with PD after it was found to be causative of the condition Kufor-Rakeb syndrome, a form of juvenile-onset PD. The name Kufor-Rakeb refers to the Jordanian community in which genetic linkage studies implicated locus PARK9 </w:t>
      </w:r>
      <w:r w:rsidR="00230CAC" w:rsidRPr="0082680A">
        <w:rPr>
          <w:lang w:val="en-GB"/>
        </w:rPr>
        <w:fldChar w:fldCharType="begin" w:fldLock="1"/>
      </w:r>
      <w:r w:rsidR="000507BA">
        <w:rPr>
          <w:lang w:val="en-GB"/>
        </w:rPr>
        <w:instrText>ADDIN CSL_CITATION {"citationItems":[{"id":"ITEM-1","itemData":{"ISSN":"0001-6314","PMID":"8085432","abstract":"An unusual neurological syndrome in an Arab family with five affected siblings, is reported. Autosomal recessive inheritance is suggested by having multiple affected siblings born to phenotypically normal consanguineous parents. Similar to Davison's Pallido-pyramidal syndrome, they presented with the clinical signs and symptoms of severe parkinsonism as well as evidence of cortico-spinal tract disease. In addition, they had dementia and supranuclear upgaze paresis. MRI studies showed significant atrophy of the globus pallidus and the pyramids, as well as generalized brain atrophy in later stages. Therapy with levodopa resulted in significant improvement in the extrapyramidal dysfunction. We suggest that this probably represents a new syndrome which is closely related but not identical to the pallido-pyramidal syndrome.","author":[{"dropping-particle":"","family":"Najim al-Din","given":"A S","non-dropping-particle":"","parse-names":false,"suffix":""},{"dropping-particle":"","family":"Wriekat","given":"A","non-dropping-particle":"","parse-names":false,"suffix":""},{"dropping-particle":"","family":"Mubaidin","given":"A","non-dropping-particle":"","parse-names":false,"suffix":""},{"dropping-particle":"","family":"Dasouki","given":"M","non-dropping-particle":"","parse-names":false,"suffix":""},{"dropping-particle":"","family":"Hiari","given":"M","non-dropping-particle":"","parse-names":false,"suffix":""}],"container-title":"Acta neurologica Scandinavica","id":"ITEM-1","issue":"5","issued":{"date-parts":[["1994","5"]]},"page":"347-52","title":"Pallido-pyramidal degeneration, supranuclear upgaze paresis and dementia: Kufor-Rakeb syndrome.","type":"article-journal","volume":"89"},"uris":["http://www.mendeley.com/documents/?uuid=e9502550-7feb-3a49-9ebc-c12a4aeaef7f"]}],"mendeley":{"formattedCitation":"&lt;sup&gt;309&lt;/sup&gt;","plainTextFormattedCitation":"309","previouslyFormattedCitation":"&lt;sup&gt;309&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309</w:t>
      </w:r>
      <w:r w:rsidR="00230CAC" w:rsidRPr="0082680A">
        <w:rPr>
          <w:lang w:val="en-GB"/>
        </w:rPr>
        <w:fldChar w:fldCharType="end"/>
      </w:r>
      <w:r w:rsidRPr="0082680A">
        <w:rPr>
          <w:lang w:val="en-GB"/>
        </w:rPr>
        <w:t xml:space="preserve">. </w:t>
      </w:r>
      <w:r w:rsidRPr="0082680A">
        <w:rPr>
          <w:i/>
          <w:lang w:val="en-GB"/>
        </w:rPr>
        <w:t>ATP13A2</w:t>
      </w:r>
      <w:r w:rsidRPr="0082680A">
        <w:rPr>
          <w:lang w:val="en-GB"/>
        </w:rPr>
        <w:t xml:space="preserve"> itself was later associated with Kufor-Rakeb/PD through study of a Chilean family with the same condition </w:t>
      </w:r>
      <w:r w:rsidR="00230CAC" w:rsidRPr="0082680A">
        <w:rPr>
          <w:lang w:val="en-GB"/>
        </w:rPr>
        <w:fldChar w:fldCharType="begin" w:fldLock="1"/>
      </w:r>
      <w:r w:rsidR="000507BA">
        <w:rPr>
          <w:lang w:val="en-GB"/>
        </w:rPr>
        <w:instrText>ADDIN CSL_CITATION {"citationItems":[{"id":"ITEM-1","itemData":{"DOI":"10.1038/ng1884","ISSN":"1061-4036","PMID":"16964263","abstract":"Neurodegenerative disorders such as Parkinson and Alzheimer disease cause motor and cognitive dysfunction and belong to a heterogeneous group of common and disabling disorders. Although the complex molecular pathophysiology of neurodegeneration is largely unknown, major advances have been achieved by elucidating the genetic defects underlying mendelian forms of these diseases. This has led to the discovery of common pathophysiological pathways such as enhanced oxidative stress, protein misfolding and aggregation and dysfunction of the ubiquitin-proteasome system. Here, we describe loss-of-function mutations in a previously uncharacterized, predominantly neuronal P-type ATPase gene, ATP13A2, underlying an autosomal recessive form of early-onset parkinsonism with pyramidal degeneration and dementia (PARK9, Kufor-Rakeb syndrome). Whereas the wild-type protein was located in the lysosome of transiently transfected cells, the unstable truncated mutants were retained in the endoplasmic reticulum and degraded by the proteasome. Our findings link a class of proteins with unknown function and substrate specificity to the protein networks implicated in neurodegeneration and parkinsonism.","author":[{"dropping-particle":"","family":"Ramirez","given":"Alfredo","non-dropping-particle":"","parse-names":false,"suffix":""},{"dropping-particle":"","family":"Heimbach","given":"André","non-dropping-particle":"","parse-names":false,"suffix":""},{"dropping-particle":"","family":"Gründemann","given":"Jan","non-dropping-particle":"","parse-names":false,"suffix":""},{"dropping-particle":"","family":"Stiller","given":"Barbara","non-dropping-particle":"","parse-names":false,"suffix":""},{"dropping-particle":"","family":"Hampshire","given":"Dan","non-dropping-particle":"","parse-names":false,"suffix":""},{"dropping-particle":"","family":"Cid","given":"L Pablo","non-dropping-particle":"","parse-names":false,"suffix":""},{"dropping-particle":"","family":"Goebel","given":"Ingrid","non-dropping-particle":"","parse-names":false,"suffix":""},{"dropping-particle":"","family":"Mubaidin","given":"Ammar F","non-dropping-particle":"","parse-names":false,"suffix":""},{"dropping-particle":"","family":"Wriekat","given":"Abdul-Latif","non-dropping-particle":"","parse-names":false,"suffix":""},{"dropping-particle":"","family":"Roeper","given":"Jochen","non-dropping-particle":"","parse-names":false,"suffix":""},{"dropping-particle":"","family":"Al-Din","given":"Amir","non-dropping-particle":"","parse-names":false,"suffix":""},{"dropping-particle":"","family":"Hillmer","given":"Axel M","non-dropping-particle":"","parse-names":false,"suffix":""},{"dropping-particle":"","family":"Karsak","given":"Meliha","non-dropping-particle":"","parse-names":false,"suffix":""},{"dropping-particle":"","family":"Liss","given":"Birgit","non-dropping-particle":"","parse-names":false,"suffix":""},{"dropping-particle":"","family":"Woods","given":"C Geoffrey","non-dropping-particle":"","parse-names":false,"suffix":""},{"dropping-particle":"","family":"Behrens","given":"Maria I","non-dropping-particle":"","parse-names":false,"suffix":""},{"dropping-particle":"","family":"Kubisch","given":"Christian","non-dropping-particle":"","parse-names":false,"suffix":""}],"container-title":"Nature Genetics","id":"ITEM-1","issue":"10","issued":{"date-parts":[["2006","10","10"]]},"page":"1184-1191","title":"Hereditary parkinsonism with dementia is caused by mutations in ATP13A2, encoding a lysosomal type 5 P-type ATPase","type":"article-journal","volume":"38"},"uris":["http://www.mendeley.com/documents/?uuid=f9708c70-1ca8-37d7-88fd-6b3c42fd99c4"]}],"mendeley":{"formattedCitation":"&lt;sup&gt;310&lt;/sup&gt;","plainTextFormattedCitation":"310","previouslyFormattedCitation":"&lt;sup&gt;310&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310</w:t>
      </w:r>
      <w:r w:rsidR="00230CAC" w:rsidRPr="0082680A">
        <w:rPr>
          <w:lang w:val="en-GB"/>
        </w:rPr>
        <w:fldChar w:fldCharType="end"/>
      </w:r>
      <w:r w:rsidRPr="0082680A">
        <w:rPr>
          <w:lang w:val="en-GB"/>
        </w:rPr>
        <w:t xml:space="preserve">. Mutations identified have been both missense and frameshift, each with varying severity of disease progression </w:t>
      </w:r>
      <w:r w:rsidR="00230CAC" w:rsidRPr="0082680A">
        <w:rPr>
          <w:lang w:val="en-GB"/>
        </w:rPr>
        <w:fldChar w:fldCharType="begin" w:fldLock="1"/>
      </w:r>
      <w:r w:rsidR="000507BA">
        <w:rPr>
          <w:lang w:val="en-GB"/>
        </w:rPr>
        <w:instrText>ADDIN CSL_CITATION {"citationItems":[{"id":"ITEM-1","itemData":{"DOI":"10.1002/mds.26243","ISSN":"08853185","author":[{"dropping-particle":"","family":"Park","given":"Jin-Sung","non-dropping-particle":"","parse-names":false,"suffix":""},{"dropping-particle":"","family":"Blair","given":"Nicholas F.","non-dropping-particle":"","parse-names":false,"suffix":""},{"dropping-particle":"","family":"Sue","given":"Carolyn M.","non-dropping-particle":"","parse-names":false,"suffix":""}],"container-title":"Movement Disorders","id":"ITEM-1","issue":"6","issued":{"date-parts":[["2015","5","1"]]},"page":"770-779","publisher":"Wiley-Blackwell","title":"The role of ATP13A2 in Parkinson's disease: Clinical phenotypes and molecular mechanisms","type":"article-journal","volume":"30"},"uris":["http://www.mendeley.com/documents/?uuid=82ec4a18-33d1-4527-8b4f-28dfbc778505"]}],"mendeley":{"formattedCitation":"&lt;sup&gt;311&lt;/sup&gt;","plainTextFormattedCitation":"311","previouslyFormattedCitation":"&lt;sup&gt;311&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311</w:t>
      </w:r>
      <w:r w:rsidR="00230CAC" w:rsidRPr="0082680A">
        <w:rPr>
          <w:lang w:val="en-GB"/>
        </w:rPr>
        <w:fldChar w:fldCharType="end"/>
      </w:r>
      <w:r w:rsidRPr="0082680A">
        <w:rPr>
          <w:lang w:val="en-GB"/>
        </w:rPr>
        <w:t xml:space="preserve">. </w:t>
      </w:r>
      <w:r w:rsidRPr="0082680A">
        <w:rPr>
          <w:i/>
          <w:lang w:val="en-GB"/>
        </w:rPr>
        <w:t>ATP13A2</w:t>
      </w:r>
      <w:r w:rsidRPr="0082680A">
        <w:rPr>
          <w:lang w:val="en-GB"/>
        </w:rPr>
        <w:t xml:space="preserve"> has been associated with both mitochondrial and lysosomal function and dysfunction, and has been shown to regulate alpha-synuclein metabolism </w:t>
      </w:r>
      <w:r w:rsidR="00230CAC" w:rsidRPr="0082680A">
        <w:rPr>
          <w:lang w:val="en-GB"/>
        </w:rPr>
        <w:fldChar w:fldCharType="begin" w:fldLock="1"/>
      </w:r>
      <w:r w:rsidR="000507BA">
        <w:rPr>
          <w:lang w:val="en-GB"/>
        </w:rPr>
        <w:instrText>ADDIN CSL_CITATION {"citationItems":[{"id":"ITEM-1","itemData":{"DOI":"10.1016/j.nbd.2011.12.015","ISSN":"09699961","PMID":"22198378","abstract":"Mitochondrial dysfunction and autophagy are centrally implicated in Parkinson's disease (PD). Mutations in ATP13A2, which encodes a lysosomal P-type ATPase of unknown function, cause a rare, autosomal recessive parkinsonian syndrome. Lysosomes are essential for autophagy, and autophagic clearance of dysfunctional mitochondria represents an important element of mitochondrial quality control. In this study, we tested the hypothesis that loss of ATP13A2 function will affect mitochondrial function. Knockdown of ATP13A2 led to an increase in mitochondrial mass in primary mouse cortical neurons and in SH-SY5Y cells forced into mitochondrial dependence. ATP13A2-deficient cells exhibited increased oxygen consumption without a significant change in steady-state levels of ATP. Mitochondria in knockdown cells exhibited increased fragmentation and increased production of reactive oxygen species (ROS). Basal levels of the autophagosome marker LC3-II were not significantly changed, however, ATP13A2 knockdown cells exhibited decreased autophagic flux, associated with increased levels of phospho-mTOR, and resistance to autophagy induction by rapamycin. The effects of ATP13A2 siRNA on oxygen consumption, mitochondrial mass and ROS production could be mimicked by inhibiting autophagy induction using siRNA to Atg7. We propose that decreased autophagy associated with ATP13A2 deficiency affects mitochondrial quality control, resulting in increased ROS production. These data are the first to implicate loss of ATP13A2 function in mitochondrial maintenance and oxidative stress, lending further support to converging genetic and environmental evidence for mitochondrial dysregulation in PD pathogenesis.","author":[{"dropping-particle":"","family":"Gusdon","given":"Aaron M.","non-dropping-particle":"","parse-names":false,"suffix":""},{"dropping-particle":"","family":"Zhu","given":"Jianhui","non-dropping-particle":"","parse-names":false,"suffix":""},{"dropping-particle":"","family":"Houten","given":"Bennett","non-dropping-particle":"Van","parse-names":false,"suffix":""},{"dropping-particle":"","family":"Chu","given":"Charleen T.","non-dropping-particle":"","parse-names":false,"suffix":""}],"container-title":"Neurobiology of Disease","id":"ITEM-1","issue":"3","issued":{"date-parts":[["2012","3"]]},"page":"962-972","title":"ATP13A2 regulates mitochondrial bioenergetics through macroautophagy","type":"article-journal","volume":"45"},"uris":["http://www.mendeley.com/documents/?uuid=34deb9a8-1976-385b-899c-0f78ec5d3253"]},{"id":"ITEM-2","itemData":{"DOI":"10.1073/pnas.1112368109","ISSN":"0027-8424","PMID":"22647602","abstract":"Parkinson disease (PD) is a progressive neurodegenerative disorder pathologically characterized by the loss of dopaminergic neurons from the substantia nigra pars compacta and the presence, in affected brain regions, of protein inclusions named Lewy bodies (LBs). The ATP13A2 gene (locus PARK9) encodes the protein ATP13A2, a lysosomal type 5 P-type ATPase that is linked to autosomal recessive familial parkinsonism. The physiological function of ATP13A2, and hence its role in PD, remains to be elucidated. Here, we show that PD-linked mutations in ATP13A2 lead to several lysosomal alterations in ATP13A2 PD patient-derived fibroblasts, including impaired lysosomal acidification, decreased proteolytic processing of lysosomal enzymes, reduced degradation of lysosomal substrates, and diminished lysosomal-mediated clearance of autophagosomes. Similar alterations are observed in stable ATP13A2-knockdown dopaminergic cell lines, which are associated with cell death. Restoration of ATP13A2 levels in ATP13A2-mutant/depleted cells restores lysosomal function and attenuates cell death. Relevant to PD, ATP13A2 levels are decreased in dopaminergic nigral neurons from patients with PD, in which ATP13A2 mostly accumulates within Lewy bodies. Our results unravel an instrumental role of ATP13A2 deficiency on lysosomal function and cell viability and demonstrate the feasibility and therapeutic potential of modulating ATP13A2 levels in the context of PD.","author":[{"dropping-particle":"","family":"Dehay","given":"B.","non-dropping-particle":"","parse-names":false,"suffix":""},{"dropping-particle":"","family":"Ramirez","given":"A.","non-dropping-particle":"","parse-names":false,"suffix":""},{"dropping-particle":"","family":"Martinez-Vicente","given":"M.","non-dropping-particle":"","parse-names":false,"suffix":""},{"dropping-particle":"","family":"Perier","given":"C.","non-dropping-particle":"","parse-names":false,"suffix":""},{"dropping-particle":"","family":"Canron","given":"M.-H.","non-dropping-particle":"","parse-names":false,"suffix":""},{"dropping-particle":"","family":"Doudnikoff","given":"E.","non-dropping-particle":"","parse-names":false,"suffix":""},{"dropping-particle":"","family":"Vital","given":"A.","non-dropping-particle":"","parse-names":false,"suffix":""},{"dropping-particle":"","family":"Vila","given":"M.","non-dropping-particle":"","parse-names":false,"suffix":""},{"dropping-particle":"","family":"Klein","given":"C.","non-dropping-particle":"","parse-names":false,"suffix":""},{"dropping-particle":"","family":"Bezard","given":"E.","non-dropping-particle":"","parse-names":false,"suffix":""}],"container-title":"Proceedings of the National Academy of Sciences","id":"ITEM-2","issue":"24","issued":{"date-parts":[["2012","6","12"]]},"page":"9611-9616","title":"Loss of P-type ATPase ATP13A2/PARK9 function induces general lysosomal deficiency and leads to Parkinson disease neurodegeneration","type":"article-journal","volume":"109"},"uris":["http://www.mendeley.com/documents/?uuid=2938bea2-551c-3f83-a330-23ff2b42e244"]},{"id":"ITEM-3","itemData":{"DOI":"10.1523/JNEUROSCI.5575-11.2012","ISSN":"0270-6474","PMID":"22442086","abstract":"The autophagy-lysosomal pathway plays an important role in the clearance of long-lived proteins and dysfunctional organelles. Lysosomal dysfunction has been implicated in several neurodegenerative disorders including Parkinson's disease and related synucleinopathies that are characterized by accumulations of α-synuclein in Lewy bodies. Recent identification of mutations in genes linked to lysosomal function and neurodegeneration has offered a unique opportunity to directly examine the role of lysosomes in disease pathogenesis. Mutations in lysosomal membrane protein ATP13A2 (PARK9) cause familial Kufor-Rakeb syndrome characterized by early-onset parkinsonism, pyramidal degeneration and dementia. While previous data suggested a role of ATP13A2 in α-synuclein misfolding and toxicity, the mechanistic link has not been established. Here we report that loss of ATP13A2 in human fibroblasts from patients with Kufor-Rakeb syndrome or in mouse primary neurons leads to impaired lysosomal degradation capacity. This lysosomal dysfunction results in accumulation of α-synuclein and toxicity in primary cortical neurons. Importantly, silencing of endogenous α-synuclein attenuated the toxicity in ATP13A2-depleted neurons, suggesting that loss of ATP13A2 mediates neurotoxicity at least in part via the accumulation of α-synuclein. Our findings implicate lysosomal dysfunction in the pathogenesis of Kufor-Rakeb syndrome and suggest that upregulation of lysosomal function and downregulation of α-synuclein represent important therapeutic strategies for this disorder.","author":[{"dropping-particle":"","family":"Usenovic","given":"M.","non-dropping-particle":"","parse-names":false,"suffix":""},{"dropping-particle":"","family":"Tresse","given":"E.","non-dropping-particle":"","parse-names":false,"suffix":""},{"dropping-particle":"","family":"Mazzulli","given":"J. R.","non-dropping-particle":"","parse-names":false,"suffix":""},{"dropping-particle":"","family":"Taylor","given":"J. P.","non-dropping-particle":"","parse-names":false,"suffix":""},{"dropping-particle":"","family":"Krainc","given":"D.","non-dropping-particle":"","parse-names":false,"suffix":""}],"container-title":"Journal of Neuroscience","id":"ITEM-3","issue":"12","issued":{"date-parts":[["2012","3","21"]]},"page":"4240-4246","title":"Deficiency of ATP13A2 Leads to Lysosomal Dysfunction,  -Synuclein Accumulation, and Neurotoxicity","type":"article-journal","volume":"32"},"uris":["http://www.mendeley.com/documents/?uuid=1654049e-09d7-3b52-a74f-d41ae1bebc57"]}],"mendeley":{"formattedCitation":"&lt;sup&gt;234,312,313&lt;/sup&gt;","plainTextFormattedCitation":"234,312,313","previouslyFormattedCitation":"&lt;sup&gt;234,312,313&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234,312,313</w:t>
      </w:r>
      <w:r w:rsidR="00230CAC" w:rsidRPr="0082680A">
        <w:rPr>
          <w:lang w:val="en-GB"/>
        </w:rPr>
        <w:fldChar w:fldCharType="end"/>
      </w:r>
      <w:r w:rsidRPr="0082680A">
        <w:rPr>
          <w:lang w:val="en-GB"/>
        </w:rPr>
        <w:t xml:space="preserve">. </w:t>
      </w:r>
    </w:p>
    <w:p w14:paraId="7D6293AE" w14:textId="77777777" w:rsidR="000D27A7" w:rsidRPr="0082680A" w:rsidRDefault="000D27A7" w:rsidP="00842FD0">
      <w:pPr>
        <w:pStyle w:val="Heading4"/>
        <w:rPr>
          <w:lang w:val="en-GB"/>
        </w:rPr>
      </w:pPr>
      <w:bookmarkStart w:id="234" w:name="_o00ld5udczez" w:colFirst="0" w:colLast="0"/>
      <w:bookmarkStart w:id="235" w:name="_Toc3211397"/>
      <w:bookmarkEnd w:id="234"/>
      <w:r w:rsidRPr="0082680A">
        <w:rPr>
          <w:lang w:val="en-GB"/>
        </w:rPr>
        <w:t>VPS35 (PARK17)</w:t>
      </w:r>
      <w:bookmarkEnd w:id="235"/>
    </w:p>
    <w:p w14:paraId="49C882BB" w14:textId="3C813CBF" w:rsidR="000D27A7" w:rsidRPr="0082680A" w:rsidRDefault="000D27A7" w:rsidP="000D27A7">
      <w:pPr>
        <w:rPr>
          <w:lang w:val="en-GB"/>
        </w:rPr>
      </w:pPr>
      <w:r w:rsidRPr="0082680A">
        <w:rPr>
          <w:lang w:val="en-GB"/>
        </w:rPr>
        <w:t xml:space="preserve">Vacuolar Protein Sorting-Associated Protein 35 (VPS35) represents one of the most recent genes to be associated with PD. Its association was identified by two separate groups through whole exome sequencing of Austrian and Swiss families exhibiting autosomal dominant inheritance </w:t>
      </w:r>
      <w:r w:rsidR="00230CAC" w:rsidRPr="0082680A">
        <w:rPr>
          <w:lang w:val="en-GB"/>
        </w:rPr>
        <w:fldChar w:fldCharType="begin" w:fldLock="1"/>
      </w:r>
      <w:r w:rsidR="000507BA">
        <w:rPr>
          <w:lang w:val="en-GB"/>
        </w:rPr>
        <w:instrText>ADDIN CSL_CITATION {"citationItems":[{"id":"ITEM-1","itemData":{"PMID":"21763483","abstract":"To identify rare causal variants in late-onset Parkinson disease (PD), we investigated an Austrian family with 16 affected individuals by exome sequencing. We found a missense mutation, c.1858G&gt;A (p.Asp620Asn), in the VPS35 gene in all seven affected family members who are alive. By screening additional PD cases, we saw the same variant cosegregating with the disease in an autosomal-dominant mode with high but incomplete penetrance in two further families with five and ten affected members, respectively. The mean age of onset in the affected individuals was 53 years. Genotyping showed that the shared haplotype extends across 65 kilobases around VPS35. Screening the entire VPS35 coding sequence in an additional 860 cases and 1014 controls revealed six further nonsynonymous missense variants. Three were only present in cases, two were only present in controls, and one was present in cases and controls. The familial mutation p.Asp620Asn and a further variant, c.1570C&gt;T (p.Arg524Trp), detected in a sporadic PD case were predicted to be damaging by sequence-based and molecular-dynamics analyses. VPS35 is a component of the retromer complex and mediates retrograde transport between endosomes and the trans-Golgi network, and it has recently been found to be involved in Alzheimer disease.","author":[{"dropping-particle":"","family":"Zimprich","given":"Alexander","non-dropping-particle":"","parse-names":false,"suffix":""},{"dropping-particle":"","family":"Benet-Pagès","given":"Anna","non-dropping-particle":"","parse-names":false,"suffix":""},{"dropping-particle":"","family":"Struhal","given":"Walter","non-dropping-particle":"","parse-names":false,"suffix":""},{"dropping-particle":"","family":"Graf","given":"Elisabeth","non-dropping-particle":"","parse-names":false,"suffix":""},{"dropping-particle":"","family":"Eck","given":"Sebastian H.","non-dropping-particle":"","parse-names":false,"suffix":""},{"dropping-particle":"","family":"Offman","given":"Marc N.","non-dropping-particle":"","parse-names":false,"suffix":""},{"dropping-particle":"","family":"Haubenberger","given":"Dietrich","non-dropping-particle":"","parse-names":false,"suffix":""},{"dropping-particle":"","family":"Spielberger","given":"Sabine","non-dropping-particle":"","parse-names":false,"suffix":""},{"dropping-particle":"","family":"Schulte","given":"Eva C.","non-dropping-particle":"","parse-names":false,"suffix":""},{"dropping-particle":"","family":"Lichtner","given":"Peter","non-dropping-particle":"","parse-names":false,"suffix":""},{"dropping-particle":"","family":"Rossle","given":"Shaila C.","non-dropping-particle":"","parse-names":false,"suffix":""},{"dropping-particle":"","family":"Klopp","given":"Norman","non-dropping-particle":"","parse-names":false,"suffix":""},{"dropping-particle":"","family":"Wolf","given":"Elisabeth","non-dropping-particle":"","parse-names":false,"suffix":""},{"dropping-particle":"","family":"Seppi","given":"Klaus","non-dropping-particle":"","parse-names":false,"suffix":""},{"dropping-particle":"","family":"Pirker","given":"Walter","non-dropping-particle":"","parse-names":false,"suffix":""},{"dropping-particle":"","family":"Presslauer","given":"Stefan","non-dropping-particle":"","parse-names":false,"suffix":""},{"dropping-particle":"","family":"Mollenhauer","given":"Brit","non-dropping-particle":"","parse-names":false,"suffix":""},{"dropping-particle":"","family":"Katzenschlager","given":"Regina","non-dropping-particle":"","parse-names":false,"suffix":""},{"dropping-particle":"","family":"Foki","given":"Thomas","non-dropping-particle":"","parse-names":false,"suffix":""},{"dropping-particle":"","family":"Hotzy","given":"Christoph","non-dropping-particle":"","parse-names":false,"suffix":""},{"dropping-particle":"","family":"Reinthaler","given":"Eva","non-dropping-particle":"","parse-names":false,"suffix":""},{"dropping-particle":"","family":"Harutyunyan","given":"Ashot","non-dropping-particle":"","parse-names":false,"suffix":""},{"dropping-particle":"","family":"Kralovics","given":"Robert","non-dropping-particle":"","parse-names":false,"suffix":""},{"dropping-particle":"","family":"Peters","given":"Annette","non-dropping-particle":"","parse-names":false,"suffix":""},{"dropping-particle":"","family":"Zimprich","given":"Fritz","non-dropping-particle":"","parse-names":false,"suffix":""},{"dropping-particle":"","family":"Brücke","given":"Thomas","non-dropping-particle":"","parse-names":false,"suffix":""},{"dropping-particle":"","family":"Poewe","given":"Werner","non-dropping-particle":"","parse-names":false,"suffix":""},{"dropping-particle":"","family":"Auff","given":"Eduard","non-dropping-particle":"","parse-names":false,"suffix":""},{"dropping-particle":"","family":"Trenkwalder","given":"Claudia","non-dropping-particle":"","parse-names":false,"suffix":""},{"dropping-particle":"","family":"Rost","given":"Burkhard","non-dropping-particle":"","parse-names":false,"suffix":""},{"dropping-particle":"","family":"Ransmayr","given":"Gerhard","non-dropping-particle":"","parse-names":false,"suffix":""},{"dropping-particle":"","family":"Winkelmann","given":"Juliane","non-dropping-particle":"","parse-names":false,"suffix":""},{"dropping-particle":"","family":"Meitinger","given":"Thomas","non-dropping-particle":"","parse-names":false,"suffix":""},{"dropping-particle":"","family":"Strom","given":"Tim M.","non-dropping-particle":"","parse-names":false,"suffix":""}],"container-title":"The American Journal of Human Genetics","id":"ITEM-1","issue":"1","issued":{"date-parts":[["2011","7","15"]]},"page":"168-175","publisher":"Cell Press","title":"A Mutation in VPS35, Encoding a Subunit of the Retromer Complex, Causes Late-Onset Parkinson Disease","type":"article-journal","volume":"89"},"uris":["http://www.mendeley.com/documents/?uuid=5c79d9da-7fb8-4d88-a70e-1594597ea38f"]},{"id":"ITEM-2","itemData":{"DOI":"10.1016/J.AJHG.2011.06.001","ISSN":"0002-9297","abstract":"The identification of genetic causes for Mendelian disorders has been based on the collection of multi-incident families, linkage analysis, and sequencing of genes in candidate intervals. This study describes the application of next-generation sequencing technologies to a Swiss kindred presenting with autosomal-dominant, late-onset Parkinson disease (PD). The family has tremor-predominant dopa-responsive parkinsonism with a mean onset of 50.6 ± 7.3 years. Exome analysis suggests that an aspartic-acid-to-asparagine mutation within vacuolar protein sorting 35 (VPS35 c.1858G&gt;A; p.Asp620Asn) is the genetic determinant of disease. VPS35 is a central component of the retromer cargo-recognition complex, is critical for endosome-trans-golgi trafficking and membrane-protein recycling, and is evolutionarily highly conserved. VPS35 c.1858G&gt;A was found in all affected members of the Swiss kindred and in three more families and one patient with sporadic PD, but it was not observed in 3,309 controls. Further sequencing of familial affected probands revealed only one other missense variant, VPS35 c.946C&gt;T; (p.Pro316Ser), in a pedigree with one unaffected and two affected carriers, and thus the pathogenicity of this mutation remains uncertain. Retromer-mediated sorting and transport is best characterized for acid hydrolase receptors. However, the complex has many types of cargo and is involved in a diverse array of biologic pathways from developmental Wnt signaling to lysosome biogenesis. Our study implicates disruption of VPS35 and retromer-mediated trans-membrane protein sorting, rescue, and recycling in the neurodegenerative process leading to PD.","author":[{"dropping-particle":"","family":"Vilariño-Güell","given":"Carles","non-dropping-particle":"","parse-names":false,"suffix":""},{"dropping-particle":"","family":"Wider","given":"Christian","non-dropping-particle":"","parse-names":false,"suffix":""},{"dropping-particle":"","family":"Ross","given":"Owen A.","non-dropping-particle":"","parse-names":false,"suffix":""},{"dropping-particle":"","family":"Dachsel","given":"Justus C.","non-dropping-particle":"","parse-names":false,"suffix":""},{"dropping-particle":"","family":"Kachergus","given":"Jennifer M.","non-dropping-particle":"","parse-names":false,"suffix":""},{"dropping-particle":"","family":"Lincoln","given":"Sarah J.","non-dropping-particle":"","parse-names":false,"suffix":""},{"dropping-particle":"","family":"Soto-Ortolaza","given":"Alexandra I.","non-dropping-particle":"","parse-names":false,"suffix":""},{"dropping-particle":"","family":"Cobb","given":"Stephanie A.","non-dropping-particle":"","parse-names":false,"suffix":""},{"dropping-particle":"","family":"Wilhoite","given":"Greggory J.","non-dropping-particle":"","parse-names":false,"suffix":""},{"dropping-particle":"","family":"Bacon","given":"Justin A.","non-dropping-particle":"","parse-names":false,"suffix":""},{"dropping-particle":"","family":"Behrouz","given":"Bahareh","non-dropping-particle":"","parse-names":false,"suffix":""},{"dropping-particle":"","family":"Melrose","given":"Heather L.","non-dropping-particle":"","parse-names":false,"suffix":""},{"dropping-particle":"","family":"Hentati","given":"Emna","non-dropping-particle":"","parse-names":false,"suffix":""},{"dropping-particle":"","family":"Puschmann","given":"Andreas","non-dropping-particle":"","parse-names":false,"suffix":""},{"dropping-particle":"","family":"Evans","given":"Daniel M.","non-dropping-particle":"","parse-names":false,"suffix":""},{"dropping-particle":"","family":"Conibear","given":"Elizabeth","non-dropping-particle":"","parse-names":false,"suffix":""},{"dropping-particle":"","family":"Wasserman","given":"Wyeth W.","non-dropping-particle":"","parse-names":false,"suffix":""},{"dropping-particle":"","family":"Aasly","given":"Jan O.","non-dropping-particle":"","parse-names":false,"suffix":""},{"dropping-particle":"","family":"Burkhard","given":"Pierre R.","non-dropping-particle":"","parse-names":false,"suffix":""},{"dropping-particle":"","family":"Djaldetti","given":"Ruth","non-dropping-particle":"","parse-names":false,"suffix":""},{"dropping-particle":"","family":"Ghika","given":"Joseph","non-dropping-particle":"","parse-names":false,"suffix":""},{"dropping-particle":"","family":"Hentati","given":"Faycal","non-dropping-particle":"","parse-names":false,"suffix":""},{"dropping-particle":"","family":"Krygowska-Wajs","given":"Anna","non-dropping-particle":"","parse-names":false,"suffix":""},{"dropping-particle":"","family":"Lynch","given":"Tim","non-dropping-particle":"","parse-names":false,"suffix":""},{"dropping-particle":"","family":"Melamed","given":"Eldad","non-dropping-particle":"","parse-names":false,"suffix":""},{"dropping-particle":"","family":"Rajput","given":"Alex","non-dropping-particle":"","parse-names":false,"suffix":""},{"dropping-particle":"","family":"Rajput","given":"Ali H.","non-dropping-particle":"","parse-names":false,"suffix":""},{"dropping-particle":"","family":"Solida","given":"Alessandra","non-dropping-particle":"","parse-names":false,"suffix":""},{"dropping-particle":"","family":"Wu","given":"Ruey-Meei","non-dropping-particle":"","parse-names":false,"suffix":""},{"dropping-particle":"","family":"Uitti","given":"Ryan J.","non-dropping-particle":"","parse-names":false,"suffix":""},{"dropping-particle":"","family":"Wszolek","given":"Zbigniew K.","non-dropping-particle":"","parse-names":false,"suffix":""},{"dropping-particle":"","family":"Vingerhoets","given":"François","non-dropping-particle":"","parse-names":false,"suffix":""},{"dropping-particle":"","family":"Farrer","given":"Matthew J.","non-dropping-particle":"","parse-names":false,"suffix":""}],"container-title":"The American Journal of Human Genetics","id":"ITEM-2","issue":"1","issued":{"date-parts":[["2011","7","15"]]},"page":"162-167","publisher":"Cell Press","title":"VPS35 Mutations in Parkinson Disease","type":"article-journal","volume":"89"},"uris":["http://www.mendeley.com/documents/?uuid=d0302c2a-c8d1-3807-82cf-47cceb183b68"]}],"mendeley":{"formattedCitation":"&lt;sup&gt;314,315&lt;/sup&gt;","plainTextFormattedCitation":"314,315","previouslyFormattedCitation":"&lt;sup&gt;314,315&lt;/sup&gt;"},"properties":{"noteIndex":0},"schema":"https://github.com/citation-style-language/schema/raw/master/csl-citation.json"}</w:instrText>
      </w:r>
      <w:r w:rsidR="00230CAC" w:rsidRPr="0082680A">
        <w:rPr>
          <w:lang w:val="en-GB"/>
        </w:rPr>
        <w:fldChar w:fldCharType="separate"/>
      </w:r>
      <w:r w:rsidR="00426B19" w:rsidRPr="00426B19">
        <w:rPr>
          <w:noProof/>
          <w:vertAlign w:val="superscript"/>
          <w:lang w:val="en-GB"/>
        </w:rPr>
        <w:t>314,315</w:t>
      </w:r>
      <w:r w:rsidR="00230CAC" w:rsidRPr="0082680A">
        <w:rPr>
          <w:lang w:val="en-GB"/>
        </w:rPr>
        <w:fldChar w:fldCharType="end"/>
      </w:r>
      <w:r w:rsidRPr="0082680A">
        <w:rPr>
          <w:lang w:val="en-GB"/>
        </w:rPr>
        <w:t xml:space="preserve">. VPS35 is a member of the retromer, a complex that mediates transport of endosomes to the trans-Golgi network </w:t>
      </w:r>
      <w:r w:rsidR="002E3736" w:rsidRPr="0082680A">
        <w:rPr>
          <w:lang w:val="en-GB"/>
        </w:rPr>
        <w:fldChar w:fldCharType="begin" w:fldLock="1"/>
      </w:r>
      <w:r w:rsidR="000507BA">
        <w:rPr>
          <w:lang w:val="en-GB"/>
        </w:rPr>
        <w:instrText>ADDIN CSL_CITATION {"citationItems":[{"id":"ITEM-1","itemData":{"DOI":"10.1016/j.ceb.2008.03.009","ISSN":"09550674","PMID":"18472259","abstract":"The retromer is a heteropentameric complex that associates with the cytosolic face of endosomes and mediates retrograde transport of transmembrane cargo from endosomes to the trans-Golgi network. The mammalian retromer complex comprises a sorting nexin dimer composed of a still undefined combination of SNX1, SNX2, SNX5 and SNX6, and a cargo-recognition trimer composed of Vps26, Vps29 and Vps35. The SNX subunits contain PX and BAR domains that allow binding to PI(3)P enriched, highly curved membranes of endosomal vesicles and tubules, while Vps26, Vps29 and Vps35 have arrestin, phosphoesterase and alpha-solenoid folds, respectively. Recent studies have implicated retromer in a broad range of physiological, developmental and pathological processes, underscoring the critical nature of retrograde transport mediated by this complex.","author":[{"dropping-particle":"","family":"Bonifacino","given":"Juan S","non-dropping-particle":"","parse-names":false,"suffix":""},{"dropping-particle":"","family":"Hurley","given":"James H","non-dropping-particle":"","parse-names":false,"suffix":""}],"container-title":"Current Opinion in Cell Biology","id":"ITEM-1","issue":"4","issued":{"date-parts":[["2008","8"]]},"page":"427-436","title":"Retromer","type":"article-journal","volume":"20"},"uris":["http://www.mendeley.com/documents/?uuid=999db36f-7872-36cd-a93e-320ed2346f1d"]}],"mendeley":{"formattedCitation":"&lt;sup&gt;316&lt;/sup&gt;","plainTextFormattedCitation":"316","previouslyFormattedCitation":"&lt;sup&gt;316&lt;/sup&gt;"},"properties":{"noteIndex":0},"schema":"https://github.com/citation-style-language/schema/raw/master/csl-citation.json"}</w:instrText>
      </w:r>
      <w:r w:rsidR="002E3736" w:rsidRPr="0082680A">
        <w:rPr>
          <w:lang w:val="en-GB"/>
        </w:rPr>
        <w:fldChar w:fldCharType="separate"/>
      </w:r>
      <w:r w:rsidR="00426B19" w:rsidRPr="00426B19">
        <w:rPr>
          <w:noProof/>
          <w:vertAlign w:val="superscript"/>
          <w:lang w:val="en-GB"/>
        </w:rPr>
        <w:t>316</w:t>
      </w:r>
      <w:r w:rsidR="002E3736" w:rsidRPr="0082680A">
        <w:rPr>
          <w:lang w:val="en-GB"/>
        </w:rPr>
        <w:fldChar w:fldCharType="end"/>
      </w:r>
      <w:r w:rsidRPr="0082680A">
        <w:rPr>
          <w:lang w:val="en-GB"/>
        </w:rPr>
        <w:t xml:space="preserve">. Models of PD have shown </w:t>
      </w:r>
      <w:r w:rsidRPr="0082680A">
        <w:rPr>
          <w:i/>
          <w:lang w:val="en-GB"/>
        </w:rPr>
        <w:t>VPS35</w:t>
      </w:r>
      <w:r w:rsidRPr="0082680A">
        <w:rPr>
          <w:lang w:val="en-GB"/>
        </w:rPr>
        <w:t xml:space="preserve"> mutations induce lysosomal degradation and dopaminergic neurodegeneration </w:t>
      </w:r>
      <w:r w:rsidR="007E1875" w:rsidRPr="0082680A">
        <w:rPr>
          <w:lang w:val="en-GB"/>
        </w:rPr>
        <w:fldChar w:fldCharType="begin" w:fldLock="1"/>
      </w:r>
      <w:r w:rsidR="000507BA">
        <w:rPr>
          <w:lang w:val="en-GB"/>
        </w:rPr>
        <w:instrText>ADDIN CSL_CITATION {"citationItems":[{"id":"ITEM-1","itemData":{"DOI":"10.1016/j.nbd.2014.07.014","ISSN":"09699961","PMID":"25107340","abstract":"Mutations in vacuolar protein sorting 35 (VPS35) have been linked to familial Parkinson's disease (PD). VPS35, a component of the retromer, mediates the retrograde transport of cargo from the endosome to the trans-Golgi network. Here we showed that retromer depletion increases the lysosomal turnover of the mannose 6-phosphate receptor, thereby affecting the trafficking of cathepsin D (CTSD), a lysosome protease involved in α-synuclein (αSYN) degradation. VPS35 knockdown perturbed the maturation step of CTSD in parallel with the accumulation of αSYN in the lysosomes. Furthermore, we found that the knockdown of Drosophila VPS35 not only induced the accumulation of the detergent-insoluble αSYN species in the brain but also exacerbated both locomotor impairments and mild compound eye disorganization and interommatidial bristle loss in flies expressing human αSYN. These findings indicate that the retromer may play a crucial role in αSYN degradation by modulating the maturation of CTSD and might thereby contribute to the pathogenesis of the disease.","author":[{"dropping-particle":"","family":"Miura","given":"Emiko","non-dropping-particle":"","parse-names":false,"suffix":""},{"dropping-particle":"","family":"Hasegawa","given":"Takafumi","non-dropping-particle":"","parse-names":false,"suffix":""},{"dropping-particle":"","family":"Konno","given":"Masatoshi","non-dropping-particle":"","parse-names":false,"suffix":""},{"dropping-particle":"","family":"Suzuki","given":"Mari","non-dropping-particle":"","parse-names":false,"suffix":""},{"dropping-particle":"","family":"Sugeno","given":"Naoto","non-dropping-particle":"","parse-names":false,"suffix":""},{"dropping-particle":"","family":"Fujikake","given":"Nobuhiro","non-dropping-particle":"","parse-names":false,"suffix":""},{"dropping-particle":"","family":"Geisler","given":"Sven","non-dropping-particle":"","parse-names":false,"suffix":""},{"dropping-particle":"","family":"Tabuchi","given":"Mitsuaki","non-dropping-particle":"","parse-names":false,"suffix":""},{"dropping-particle":"","family":"Oshima","given":"Ryuji","non-dropping-particle":"","parse-names":false,"suffix":""},{"dropping-particle":"","family":"Kikuchi","given":"Akio","non-dropping-particle":"","parse-names":false,"suffix":""},{"dropping-particle":"","family":"Baba","given":"Toru","non-dropping-particle":"","parse-names":false,"suffix":""},{"dropping-particle":"","family":"Wada","given":"Keiji","non-dropping-particle":"","parse-names":false,"suffix":""},{"dropping-particle":"","family":"Nagai","given":"Yoshitaka","non-dropping-particle":"","parse-names":false,"suffix":""},{"dropping-particle":"","family":"Takeda","given":"Atsushi","non-dropping-particle":"","parse-names":false,"suffix":""},{"dropping-particle":"","family":"Aoki","given":"Masashi","non-dropping-particle":"","parse-names":false,"suffix":""}],"container-title":"Neurobiology of Disease","id":"ITEM-1","issued":{"date-parts":[["2014","11"]]},"page":"1-13","title":"VPS35 dysfunction impairs lysosomal degradation of α-synuclein and exacerbates neurotoxicity in a Drosophila model of Parkinson's disease","type":"article-journal","volume":"71"},"uris":["http://www.mendeley.com/documents/?uuid=8949bd1a-d1f0-3a38-9cec-ad269d49b831"]},{"id":"ITEM-2","itemData":{"DOI":"10.1093/hmg/ddu178","ISSN":"0964-6906","PMID":"24740878","abstract":"Mutations in the vacuolar protein sorting 35 homolog (VPS35) gene at the PARK17 locus, encoding a key component of the retromer complex, were recently identified as a new cause of late-onset, autosomal dominant Parkinson's disease (PD). Here we explore the pathogenic consequences of PD-associated mutations in VPS35 using a number of model systems. VPS35 exhibits a broad neuronal distribution throughout the rodent brain, including within the nigrostriatal dopaminergic pathway. In the human brain, VPS35 protein levels and distribution are similar in tissues from control and PD subjects, and VPS35 is not associated with Lewy body pathology. The common D620N missense mutation in VPS35 does not compromise its protein stability or localization to endosomal and lysosomal vesicles, or the vesicular sorting of the retromer cargo, sortilin, SorLA and cation-independent mannose 6-phosphate receptor, in rodent primary neurons or patient-derived human fibroblasts. In yeast we show that PD-linked VPS35 mutations are functional and can normally complement VPS35 null phenotypes suggesting that they do not result in a loss-of-function. In rat primary cortical cultures the overexpression of human VPS35 induces neuronal cell death and increases neuronal vulnerability to PD-relevant cellular stress. In a novel viral-mediated gene transfer rat model, the expression of D620N VPS35 induces the marked degeneration of substantia nigra dopaminergic neurons and axonal pathology, a cardinal pathological hallmark of PD. Collectively, these studies establish that dominant VPS35 mutations lead to neurodegeneration in PD consistent with a gain-of-function mechanism, and support a key role for VPS35 in the development of PD.","author":[{"dropping-particle":"","family":"Tsika","given":"E.","non-dropping-particle":"","parse-names":false,"suffix":""},{"dropping-particle":"","family":"Glauser","given":"L.","non-dropping-particle":"","parse-names":false,"suffix":""},{"dropping-particle":"","family":"Moser","given":"R.","non-dropping-particle":"","parse-names":false,"suffix":""},{"dropping-particle":"","family":"Fiser","given":"A.","non-dropping-particle":"","parse-names":false,"suffix":""},{"dropping-particle":"","family":"Daniel","given":"G.","non-dropping-particle":"","parse-names":false,"suffix":""},{"dropping-particle":"","family":"Sheerin","given":"U.-M.","non-dropping-particle":"","parse-names":false,"suffix":""},{"dropping-particle":"","family":"Lees","given":"A.","non-dropping-particle":"","parse-names":false,"suffix":""},{"dropping-particle":"","family":"Troncoso","given":"J. C.","non-dropping-particle":"","parse-names":false,"suffix":""},{"dropping-particle":"","family":"Lewis","given":"P. A.","non-dropping-particle":"","parse-names":false,"suffix":""},{"dropping-particle":"","family":"Bandopadhyay","given":"R.","non-dropping-particle":"","parse-names":false,"suffix":""},{"dropping-particle":"","family":"Schneider","given":"B. L.","non-dropping-particle":"","parse-names":false,"suffix":""},{"dropping-particle":"","family":"Moore","given":"D. J.","non-dropping-particle":"","parse-names":false,"suffix":""}],"container-title":"Human Molecular Genetics","id":"ITEM-2","issue":"17","issued":{"date-parts":[["2014","9","1"]]},"page":"4621-4638","title":"Parkinson's disease-linked mutations in VPS35 induce dopaminergic neurodegeneration","type":"article-journal","volume":"23"},"uris":["http://www.mendeley.com/documents/?uuid=fa1eb780-b453-3e53-aa16-22602c6a66fd"]}],"mendeley":{"formattedCitation":"&lt;sup&gt;317,318&lt;/sup&gt;","plainTextFormattedCitation":"317,318","previouslyFormattedCitation":"&lt;sup&gt;317,318&lt;/sup&gt;"},"properties":{"noteIndex":0},"schema":"https://github.com/citation-style-language/schema/raw/master/csl-citation.json"}</w:instrText>
      </w:r>
      <w:r w:rsidR="007E1875" w:rsidRPr="0082680A">
        <w:rPr>
          <w:lang w:val="en-GB"/>
        </w:rPr>
        <w:fldChar w:fldCharType="separate"/>
      </w:r>
      <w:r w:rsidR="00426B19" w:rsidRPr="00426B19">
        <w:rPr>
          <w:noProof/>
          <w:vertAlign w:val="superscript"/>
          <w:lang w:val="en-GB"/>
        </w:rPr>
        <w:t>317,318</w:t>
      </w:r>
      <w:r w:rsidR="007E1875" w:rsidRPr="0082680A">
        <w:rPr>
          <w:lang w:val="en-GB"/>
        </w:rPr>
        <w:fldChar w:fldCharType="end"/>
      </w:r>
      <w:r w:rsidRPr="0082680A">
        <w:rPr>
          <w:lang w:val="en-GB"/>
        </w:rPr>
        <w:t>.</w:t>
      </w:r>
    </w:p>
    <w:p w14:paraId="7E4095B4" w14:textId="0CB4795A" w:rsidR="000D27A7" w:rsidRPr="0082680A" w:rsidRDefault="000D27A7" w:rsidP="000D27A7">
      <w:pPr>
        <w:rPr>
          <w:rFonts w:ascii="Arial" w:eastAsia="Arial" w:hAnsi="Arial" w:cs="Arial"/>
          <w:lang w:val="en-GB"/>
        </w:rPr>
      </w:pPr>
    </w:p>
    <w:p w14:paraId="0EBC09F6" w14:textId="1F805CB3" w:rsidR="000D27A7" w:rsidRPr="00691215" w:rsidRDefault="000D27A7" w:rsidP="00691215">
      <w:pPr>
        <w:pStyle w:val="Heading3"/>
      </w:pPr>
      <w:bookmarkStart w:id="236" w:name="_46k8rrk5013a" w:colFirst="0" w:colLast="0"/>
      <w:bookmarkStart w:id="237" w:name="_Toc3211398"/>
      <w:bookmarkEnd w:id="236"/>
      <w:r w:rsidRPr="00691215">
        <w:t>Similarities between LRRK2 and Sporadic P</w:t>
      </w:r>
      <w:r w:rsidR="009734F3" w:rsidRPr="00691215">
        <w:t>D</w:t>
      </w:r>
      <w:bookmarkEnd w:id="237"/>
      <w:r w:rsidRPr="00691215">
        <w:t xml:space="preserve"> </w:t>
      </w:r>
    </w:p>
    <w:p w14:paraId="5ED6E7AD" w14:textId="60621878" w:rsidR="000D27A7" w:rsidRPr="0082680A" w:rsidRDefault="000D27A7" w:rsidP="000D27A7">
      <w:pPr>
        <w:rPr>
          <w:lang w:val="en-GB"/>
        </w:rPr>
      </w:pPr>
      <w:r w:rsidRPr="0082680A">
        <w:rPr>
          <w:lang w:val="en-GB"/>
        </w:rPr>
        <w:t xml:space="preserve">Genes associated with PD are known to present with quite variable phenotypes; for example, </w:t>
      </w:r>
      <w:r w:rsidR="002961CB" w:rsidRPr="0082680A">
        <w:rPr>
          <w:lang w:val="en-GB"/>
        </w:rPr>
        <w:t>mutations in</w:t>
      </w:r>
      <w:r w:rsidRPr="0082680A">
        <w:rPr>
          <w:lang w:val="en-GB"/>
        </w:rPr>
        <w:t xml:space="preserve"> </w:t>
      </w:r>
      <w:r w:rsidRPr="0082680A">
        <w:rPr>
          <w:i/>
          <w:lang w:val="en-GB"/>
        </w:rPr>
        <w:t xml:space="preserve">ATP13A2 </w:t>
      </w:r>
      <w:r w:rsidRPr="0082680A">
        <w:rPr>
          <w:lang w:val="en-GB"/>
        </w:rPr>
        <w:t xml:space="preserve">or </w:t>
      </w:r>
      <w:r w:rsidRPr="0082680A">
        <w:rPr>
          <w:i/>
          <w:lang w:val="en-GB"/>
        </w:rPr>
        <w:t xml:space="preserve">DJ-1 </w:t>
      </w:r>
      <w:r w:rsidRPr="0082680A">
        <w:rPr>
          <w:lang w:val="en-GB"/>
        </w:rPr>
        <w:t xml:space="preserve">are associated with early-onset disease, defined as symptom onset before the age of 40 years-old. In fact, a frameshift mutation in </w:t>
      </w:r>
      <w:r w:rsidRPr="0082680A">
        <w:rPr>
          <w:i/>
          <w:lang w:val="en-GB"/>
        </w:rPr>
        <w:lastRenderedPageBreak/>
        <w:t>ATP13A2</w:t>
      </w:r>
      <w:r w:rsidRPr="0082680A">
        <w:rPr>
          <w:lang w:val="en-GB"/>
        </w:rPr>
        <w:t xml:space="preserve"> has been reported in a juvenile-onset PD patient as young as five years-old </w:t>
      </w:r>
      <w:r w:rsidR="002961CB" w:rsidRPr="0082680A">
        <w:rPr>
          <w:lang w:val="en-GB"/>
        </w:rPr>
        <w:fldChar w:fldCharType="begin" w:fldLock="1"/>
      </w:r>
      <w:r w:rsidR="000507BA">
        <w:rPr>
          <w:lang w:val="en-GB"/>
        </w:rPr>
        <w:instrText>ADDIN CSL_CITATION {"citationItems":[{"id":"ITEM-1","itemData":{"DOI":"10.1016/j.ejpn.2011.01.001","abstract":"We report a case of levodopa-responsive juvenile parkinsonism (JP) associated with a heterozygous ATP13A2 gene frameshift mutation. The clinical phenotype of our case is more severe when compared with other published reports of symptomatic heterozygous ATP13A2 mutation carriers. To our knowledge, this is the youngest reported patient with JP associated with a heterozygous ATP13A2 mutation. Our findings expand the clinical phenotypic spectrum of JP associated with heterozygous ATP13A2 mutation.","author":[{"dropping-particle":"","family":"Yi Fong","given":"Choong","non-dropping-particle":"","parse-names":false,"suffix":""},{"dropping-particle":"","family":"Rolfs","given":"Arndt","non-dropping-particle":"","parse-names":false,"suffix":""},{"dropping-particle":"","family":"Schwarzbraun","given":"Thomas","non-dropping-particle":"","parse-names":false,"suffix":""},{"dropping-particle":"","family":"Klein","given":"Christine","non-dropping-particle":"","parse-names":false,"suffix":""},{"dropping-particle":"","family":"O","given":"Finbar JK","non-dropping-particle":"","parse-names":false,"suffix":""}],"container-title":"European Journal of Paediatric Neurology","id":"ITEM-1","issued":{"date-parts":[["2011"]]},"title":"Case study Juvenile parkinsonism associated with heterozygous frameshift ATP13A2 gene mutation","type":"article-journal"},"uris":["http://www.mendeley.com/documents/?uuid=bfb60b4b-f1db-3841-bca2-ec2b070ac359"]}],"mendeley":{"formattedCitation":"&lt;sup&gt;319&lt;/sup&gt;","plainTextFormattedCitation":"319","previouslyFormattedCitation":"&lt;sup&gt;319&lt;/sup&gt;"},"properties":{"noteIndex":0},"schema":"https://github.com/citation-style-language/schema/raw/master/csl-citation.json"}</w:instrText>
      </w:r>
      <w:r w:rsidR="002961CB" w:rsidRPr="0082680A">
        <w:rPr>
          <w:lang w:val="en-GB"/>
        </w:rPr>
        <w:fldChar w:fldCharType="separate"/>
      </w:r>
      <w:r w:rsidR="00426B19" w:rsidRPr="00426B19">
        <w:rPr>
          <w:noProof/>
          <w:vertAlign w:val="superscript"/>
          <w:lang w:val="en-GB"/>
        </w:rPr>
        <w:t>319</w:t>
      </w:r>
      <w:r w:rsidR="002961CB" w:rsidRPr="0082680A">
        <w:rPr>
          <w:lang w:val="en-GB"/>
        </w:rPr>
        <w:fldChar w:fldCharType="end"/>
      </w:r>
      <w:r w:rsidRPr="0082680A">
        <w:rPr>
          <w:lang w:val="en-GB"/>
        </w:rPr>
        <w:t xml:space="preserve">. Other genes are associated with a later onset of disease symptoms, including </w:t>
      </w:r>
      <w:r w:rsidRPr="0082680A">
        <w:rPr>
          <w:i/>
          <w:lang w:val="en-GB"/>
        </w:rPr>
        <w:t xml:space="preserve">VPS35, </w:t>
      </w:r>
      <w:r w:rsidRPr="0082680A">
        <w:rPr>
          <w:lang w:val="en-GB"/>
        </w:rPr>
        <w:t xml:space="preserve">and </w:t>
      </w:r>
      <w:r w:rsidRPr="0082680A">
        <w:rPr>
          <w:i/>
          <w:lang w:val="en-GB"/>
        </w:rPr>
        <w:t>LRRK2</w:t>
      </w:r>
      <w:r w:rsidR="00F43981" w:rsidRPr="0082680A">
        <w:rPr>
          <w:i/>
          <w:lang w:val="en-GB"/>
        </w:rPr>
        <w:t xml:space="preserve"> </w:t>
      </w:r>
      <w:r w:rsidR="00F43981" w:rsidRPr="0082680A">
        <w:rPr>
          <w:i/>
          <w:lang w:val="en-GB"/>
        </w:rPr>
        <w:fldChar w:fldCharType="begin" w:fldLock="1"/>
      </w:r>
      <w:r w:rsidR="000507BA">
        <w:rPr>
          <w:i/>
          <w:lang w:val="en-GB"/>
        </w:rPr>
        <w:instrText>ADDIN CSL_CITATION {"citationItems":[{"id":"ITEM-1","itemData":{"PMID":"21763483","abstract":"To identify rare causal variants in late-onset Parkinson disease (PD), we investigated an Austrian family with 16 affected individuals by exome sequencing. We found a missense mutation, c.1858G&gt;A (p.Asp620Asn), in the VPS35 gene in all seven affected family members who are alive. By screening additional PD cases, we saw the same variant cosegregating with the disease in an autosomal-dominant mode with high but incomplete penetrance in two further families with five and ten affected members, respectively. The mean age of onset in the affected individuals was 53 years. Genotyping showed that the shared haplotype extends across 65 kilobases around VPS35. Screening the entire VPS35 coding sequence in an additional 860 cases and 1014 controls revealed six further nonsynonymous missense variants. Three were only present in cases, two were only present in controls, and one was present in cases and controls. The familial mutation p.Asp620Asn and a further variant, c.1570C&gt;T (p.Arg524Trp), detected in a sporadic PD case were predicted to be damaging by sequence-based and molecular-dynamics analyses. VPS35 is a component of the retromer complex and mediates retrograde transport between endosomes and the trans-Golgi network, and it has recently been found to be involved in Alzheimer disease.","author":[{"dropping-particle":"","family":"Zimprich","given":"Alexander","non-dropping-particle":"","parse-names":false,"suffix":""},{"dropping-particle":"","family":"Benet-Pagès","given":"Anna","non-dropping-particle":"","parse-names":false,"suffix":""},{"dropping-particle":"","family":"Struhal","given":"Walter","non-dropping-particle":"","parse-names":false,"suffix":""},{"dropping-particle":"","family":"Graf","given":"Elisabeth","non-dropping-particle":"","parse-names":false,"suffix":""},{"dropping-particle":"","family":"Eck","given":"Sebastian H.","non-dropping-particle":"","parse-names":false,"suffix":""},{"dropping-particle":"","family":"Offman","given":"Marc N.","non-dropping-particle":"","parse-names":false,"suffix":""},{"dropping-particle":"","family":"Haubenberger","given":"Dietrich","non-dropping-particle":"","parse-names":false,"suffix":""},{"dropping-particle":"","family":"Spielberger","given":"Sabine","non-dropping-particle":"","parse-names":false,"suffix":""},{"dropping-particle":"","family":"Schulte","given":"Eva C.","non-dropping-particle":"","parse-names":false,"suffix":""},{"dropping-particle":"","family":"Lichtner","given":"Peter","non-dropping-particle":"","parse-names":false,"suffix":""},{"dropping-particle":"","family":"Rossle","given":"Shaila C.","non-dropping-particle":"","parse-names":false,"suffix":""},{"dropping-particle":"","family":"Klopp","given":"Norman","non-dropping-particle":"","parse-names":false,"suffix":""},{"dropping-particle":"","family":"Wolf","given":"Elisabeth","non-dropping-particle":"","parse-names":false,"suffix":""},{"dropping-particle":"","family":"Seppi","given":"Klaus","non-dropping-particle":"","parse-names":false,"suffix":""},{"dropping-particle":"","family":"Pirker","given":"Walter","non-dropping-particle":"","parse-names":false,"suffix":""},{"dropping-particle":"","family":"Presslauer","given":"Stefan","non-dropping-particle":"","parse-names":false,"suffix":""},{"dropping-particle":"","family":"Mollenhauer","given":"Brit","non-dropping-particle":"","parse-names":false,"suffix":""},{"dropping-particle":"","family":"Katzenschlager","given":"Regina","non-dropping-particle":"","parse-names":false,"suffix":""},{"dropping-particle":"","family":"Foki","given":"Thomas","non-dropping-particle":"","parse-names":false,"suffix":""},{"dropping-particle":"","family":"Hotzy","given":"Christoph","non-dropping-particle":"","parse-names":false,"suffix":""},{"dropping-particle":"","family":"Reinthaler","given":"Eva","non-dropping-particle":"","parse-names":false,"suffix":""},{"dropping-particle":"","family":"Harutyunyan","given":"Ashot","non-dropping-particle":"","parse-names":false,"suffix":""},{"dropping-particle":"","family":"Kralovics","given":"Robert","non-dropping-particle":"","parse-names":false,"suffix":""},{"dropping-particle":"","family":"Peters","given":"Annette","non-dropping-particle":"","parse-names":false,"suffix":""},{"dropping-particle":"","family":"Zimprich","given":"Fritz","non-dropping-particle":"","parse-names":false,"suffix":""},{"dropping-particle":"","family":"Brücke","given":"Thomas","non-dropping-particle":"","parse-names":false,"suffix":""},{"dropping-particle":"","family":"Poewe","given":"Werner","non-dropping-particle":"","parse-names":false,"suffix":""},{"dropping-particle":"","family":"Auff","given":"Eduard","non-dropping-particle":"","parse-names":false,"suffix":""},{"dropping-particle":"","family":"Trenkwalder","given":"Claudia","non-dropping-particle":"","parse-names":false,"suffix":""},{"dropping-particle":"","family":"Rost","given":"Burkhard","non-dropping-particle":"","parse-names":false,"suffix":""},{"dropping-particle":"","family":"Ransmayr","given":"Gerhard","non-dropping-particle":"","parse-names":false,"suffix":""},{"dropping-particle":"","family":"Winkelmann","given":"Juliane","non-dropping-particle":"","parse-names":false,"suffix":""},{"dropping-particle":"","family":"Meitinger","given":"Thomas","non-dropping-particle":"","parse-names":false,"suffix":""},{"dropping-particle":"","family":"Strom","given":"Tim M.","non-dropping-particle":"","parse-names":false,"suffix":""}],"container-title":"The American Journal of Human Genetics","id":"ITEM-1","issue":"1","issued":{"date-parts":[["2011","7","15"]]},"page":"168-175","publisher":"Cell Press","title":"A Mutation in VPS35, Encoding a Subunit of the Retromer Complex, Causes Late-Onset Parkinson Disease","type":"article-journal","volume":"89"},"uris":["http://www.mendeley.com/documents/?uuid=5c79d9da-7fb8-4d88-a70e-1594597ea38f"]},{"id":"ITEM-2","itemData":{"ISSN":"1678-4227","PMID":"24863511","abstract":"UNLABELLED Mutations in the LRRK2 gene, predominantly G2019S, have been reported in individuals with autosomal dominant inheritance and sporadic Parkinson's disease (PD). The G2019S mutation has an age-dependent penetrance and evidence shows common ancestry. The clinical manifestations are indistinguishable from idiopathic PD. Its prevalence varies according to the population studied ranging from less than 0.1% in Asians to 41% in North African Arabs. This study aimed to identify G2019S mutation in Brazilian idiopathic PD patients. METHOD We sampled 100 PD patients and 100 age- and gender-matched controls. Genetical analysis was accomplished by polymerase chain reaction (PCR). RESULTS No G2019S mutations were found in both patients with sporadic PD and controls. CONCLUSIONS Our results may be explained by the relatively small sample size.","author":[{"dropping-particle":"","family":"Chien","given":"Hsin Fen","non-dropping-particle":"","parse-names":false,"suffix":""},{"dropping-particle":"","family":"Figueiredo","given":"Tamires Rocha","non-dropping-particle":"","parse-names":false,"suffix":""},{"dropping-particle":"","family":"Hollaender","given":"Marianna Almeida","non-dropping-particle":"","parse-names":false,"suffix":""},{"dropping-particle":"","family":"Tofoli","given":"Fabiano","non-dropping-particle":"","parse-names":false,"suffix":""},{"dropping-particle":"","family":"Takada","given":"Leonel Takao","non-dropping-particle":"","parse-names":false,"suffix":""},{"dropping-particle":"","family":"Pereira","given":"Lygia da Veiga","non-dropping-particle":"","parse-names":false,"suffix":""},{"dropping-particle":"","family":"Barbosa","given":"Egberto Reis","non-dropping-particle":"","parse-names":false,"suffix":""}],"container-title":"Arquivos de neuro-psiquiatria","id":"ITEM-2","issue":"5","issued":{"date-parts":[["2014","5"]]},"page":"356-9","title":"Frequency of the LRRK2 G2019S mutation in late-onset sporadic patients with Parkinson's disease.","type":"article-journal","volume":"72"},"uris":["http://www.mendeley.com/documents/?uuid=860fdd8b-6422-3ee4-b640-2b5458fec216"]}],"mendeley":{"formattedCitation":"&lt;sup&gt;314,320&lt;/sup&gt;","plainTextFormattedCitation":"314,320","previouslyFormattedCitation":"&lt;sup&gt;314,320&lt;/sup&gt;"},"properties":{"noteIndex":0},"schema":"https://github.com/citation-style-language/schema/raw/master/csl-citation.json"}</w:instrText>
      </w:r>
      <w:r w:rsidR="00F43981" w:rsidRPr="0082680A">
        <w:rPr>
          <w:i/>
          <w:lang w:val="en-GB"/>
        </w:rPr>
        <w:fldChar w:fldCharType="separate"/>
      </w:r>
      <w:r w:rsidR="00426B19" w:rsidRPr="00426B19">
        <w:rPr>
          <w:noProof/>
          <w:vertAlign w:val="superscript"/>
          <w:lang w:val="en-GB"/>
        </w:rPr>
        <w:t>314,320</w:t>
      </w:r>
      <w:r w:rsidR="00F43981" w:rsidRPr="0082680A">
        <w:rPr>
          <w:i/>
          <w:lang w:val="en-GB"/>
        </w:rPr>
        <w:fldChar w:fldCharType="end"/>
      </w:r>
      <w:r w:rsidRPr="0082680A">
        <w:rPr>
          <w:lang w:val="en-GB"/>
        </w:rPr>
        <w:t xml:space="preserve">. Some genes, such as </w:t>
      </w:r>
      <w:r w:rsidRPr="0082680A">
        <w:rPr>
          <w:i/>
          <w:lang w:val="en-GB"/>
        </w:rPr>
        <w:t>SCNA</w:t>
      </w:r>
      <w:r w:rsidRPr="0082680A">
        <w:rPr>
          <w:lang w:val="en-GB"/>
        </w:rPr>
        <w:t xml:space="preserve">, </w:t>
      </w:r>
      <w:r w:rsidRPr="0082680A">
        <w:rPr>
          <w:i/>
          <w:lang w:val="en-GB"/>
        </w:rPr>
        <w:t>PINK1</w:t>
      </w:r>
      <w:r w:rsidRPr="0082680A">
        <w:rPr>
          <w:lang w:val="en-GB"/>
        </w:rPr>
        <w:t xml:space="preserve"> and </w:t>
      </w:r>
      <w:r w:rsidRPr="0082680A">
        <w:rPr>
          <w:i/>
          <w:lang w:val="en-GB"/>
        </w:rPr>
        <w:t>PRKN</w:t>
      </w:r>
      <w:r w:rsidRPr="0082680A">
        <w:rPr>
          <w:lang w:val="en-GB"/>
        </w:rPr>
        <w:t xml:space="preserve">, can present with either early or late onset, depending on the nature of the mutation </w:t>
      </w:r>
      <w:r w:rsidR="00E65824" w:rsidRPr="0082680A">
        <w:rPr>
          <w:lang w:val="en-GB"/>
        </w:rPr>
        <w:fldChar w:fldCharType="begin" w:fldLock="1"/>
      </w:r>
      <w:r w:rsidR="000507BA">
        <w:rPr>
          <w:lang w:val="en-GB"/>
        </w:rPr>
        <w:instrText>ADDIN CSL_CITATION {"citationItems":[{"id":"ITEM-1","itemData":{"DOI":"10.1002/mds.21960","ISSN":"08853185","PMID":"18307263","abstract":"Homozygous or compound heterozygous mutations in the PINK1 gene represent the second most frequent cause of autosomal recessive parkinsonism after Parkin. The phenotype differs from idiopathic Parkinson's disease for earlier onset, slower disease progression, and better response to therapy. Indeed, the rare patients with onset above 50 years are usually relatives of early-onset probands. Here, we report the first occurrence of compound heterozygous PINK1 mutations in a sporadic patient with a phenotype indistinguishable from idiopathic Parkinson's disease (PD), with onset in the late seventh decade, rapid progression and good response to levodopa that waned with time. Both mutations (p.A244G and p.V317I) were found to abolish the protective effect of wild-type PINK1 against staurosporine-induced apoptosis. These findings further expand the clinical spectrum of PINK1-related parkinsonism to include late onset, typical PD, and underline the existing difficulties in discriminating between mendelian parkinsonism and idiopathic PD.","author":[{"dropping-particle":"","family":"Gelmetti","given":"Vania","non-dropping-particle":"","parse-names":false,"suffix":""},{"dropping-particle":"","family":"Ferraris","given":"Alessandro","non-dropping-particle":"","parse-names":false,"suffix":""},{"dropping-particle":"","family":"Brusa","given":"Livia","non-dropping-particle":"","parse-names":false,"suffix":""},{"dropping-particle":"","family":"Romano","given":"Francesca","non-dropping-particle":"","parse-names":false,"suffix":""},{"dropping-particle":"","family":"Lombardi","given":"Federica","non-dropping-particle":"","parse-names":false,"suffix":""},{"dropping-particle":"","family":"Barzaghi","given":"Chiara","non-dropping-particle":"","parse-names":false,"suffix":""},{"dropping-particle":"","family":"Stanzione","given":"Paolo","non-dropping-particle":"","parse-names":false,"suffix":""},{"dropping-particle":"","family":"Garavaglia","given":"Barbara","non-dropping-particle":"","parse-names":false,"suffix":""},{"dropping-particle":"","family":"Dallapiccola","given":"Bruno","non-dropping-particle":"","parse-names":false,"suffix":""},{"dropping-particle":"","family":"Valente","given":"Enza Maria","non-dropping-particle":"","parse-names":false,"suffix":""}],"container-title":"Movement Disorders","id":"ITEM-1","issue":"6","issued":{"date-parts":[["2008","4","30"]]},"page":"881-885","title":"Late onset sporadic Parkinson's disease caused by &lt;i&gt;PINK1&lt;/i&gt; mutations: Clinical and functional study","type":"article-journal","volume":"23"},"uris":["http://www.mendeley.com/documents/?uuid=95f55d5f-2c65-3faa-88d2-016bfcf29113"]},{"id":"ITEM-2","itemData":{"DOI":"10.1001/archneur.63.9.1257","ISSN":"0003-9942","PMID":"16966503","abstract":"BACKGROUND Mutations in the PTEN-induced putative kinase 1 (PINK1) gene at 1p36 have been involved in autosomal recessive early-onset parkinsonism. OBJECTIVE To describe the clinical and genetic features of the largest kindred reported to date with early-onset parkinsonism associated with the PINK1 gene. DESIGN Clinical and genetic study. SETTING Collaborative study. Patients Eight patients from Sudan with particularly early onset (ages 9-17 years) and phenotypes varying from dopa-responsive dystonia-like to typical early-onset parkinsonism. MAIN OUTCOME MEASURES The PINK1 genotype and Parkinson disease status of all available family members. RESULTS The disease was caused by a novel mutation, p.A217D, located in the highly conserved adenosine triphosphate orientation site of the PINK1 kinase domain. CONCLUSION This study extends the phenotypic and molecular spectrum of the PINK1 gene and the geographic origin of patients with PINK1 gene mutations.","author":[{"dropping-particle":"","family":"Leutenegger","given":"Anne-Louise","non-dropping-particle":"","parse-names":false,"suffix":""},{"dropping-particle":"","family":"Salih","given":"Mustafa A. M.","non-dropping-particle":"","parse-names":false,"suffix":""},{"dropping-particle":"","family":"Ibáñez","given":"Pablo","non-dropping-particle":"","parse-names":false,"suffix":""},{"dropping-particle":"","family":"Mukhtar","given":"Maowia M.","non-dropping-particle":"","parse-names":false,"suffix":""},{"dropping-particle":"","family":"Lesage","given":"Suzanne","non-dropping-particle":"","parse-names":false,"suffix":""},{"dropping-particle":"","family":"Arabi","given":"Ali","non-dropping-particle":"","parse-names":false,"suffix":""},{"dropping-particle":"","family":"Lohmann","given":"Ebba","non-dropping-particle":"","parse-names":false,"suffix":""},{"dropping-particle":"","family":"Dürr","given":"Alexandra","non-dropping-particle":"","parse-names":false,"suffix":""},{"dropping-particle":"","family":"Ahmed","given":"Ammar E. M.","non-dropping-particle":"","parse-names":false,"suffix":""},{"dropping-particle":"","family":"Brice","given":"Alexis","non-dropping-particle":"","parse-names":false,"suffix":""}],"container-title":"Archives of Neurology","id":"ITEM-2","issue":"9","issued":{"date-parts":[["2006","9","1"]]},"page":"1257","title":"Juvenile-Onset Parkinsonism as a Result of the First Mutation in the Adenosine Triphosphate Orientation Domain of PINK1","type":"article-journal","volume":"63"},"uris":["http://www.mendeley.com/documents/?uuid=a628ccac-a997-3532-91bb-152bdafdf2cf"]},{"id":"ITEM-3","itemData":{"DOI":"10.1002/ana.10524","ISSN":"0364-5134","PMID":"12730996","abstract":"Parkin, an E2-dependent ubiquitin protein ligase, carries pathogenic mutations in patients with autosomal recessive juvenile parkinsonism, but its role in the late-onset form of Parkinson's disease (PD) is not firmly established. Previously, we detected linkage of idiopathic PD to the region on chromosome 6 containing the Parkin gene (D6S305, logarithm of odds score, 5.47) in families with at least one subject with age at onset (AAO) younger than 40 years. Mutation analysis of the Parkin gene in the 174 multiplex families from the genomic screen and 133 additional PD families identified mutations in 18% of early-onset and 2% of late-onset families (5% of total families screened). The AAO of patients with Parkin mutations ranged from 12 to 71 years. Excluding exon 7 mutations, the mean AAO of patients with Parkin mutations was 31.5 years. However, mutations in exon 7, the first RING finger (Cys253Trp, Arg256Cys, Arg275Trp, and Asp280Asn) were observed primarily in heterozygous PD patients with a much later AAO (mean AAO, 49.2 years) but were not found in controls in this study or several previous reports (920 chromosomes). These findings suggest that mutations in Parkin contribute to the common form of PD and that heterozygous mutations, especially those lying in exon 7, act as susceptibility alleles for late-onset form of Parkinson disease.","author":[{"dropping-particle":"","family":"Oliveira","given":"Sofia A.","non-dropping-particle":"","parse-names":false,"suffix":""},{"dropping-particle":"","family":"Scott","given":"William K.","non-dropping-particle":"","parse-names":false,"suffix":""},{"dropping-particle":"","family":"Martin","given":"Eden R.","non-dropping-particle":"","parse-names":false,"suffix":""},{"dropping-particle":"","family":"Nance","given":"Martha A.","non-dropping-particle":"","parse-names":false,"suffix":""},{"dropping-particle":"","family":"Watts","given":"Ray L.","non-dropping-particle":"","parse-names":false,"suffix":""},{"dropping-particle":"","family":"Hubble","given":"Jean P.","non-dropping-particle":"","parse-names":false,"suffix":""},{"dropping-particle":"","family":"Koller","given":"William C.","non-dropping-particle":"","parse-names":false,"suffix":""},{"dropping-particle":"","family":"Pahwa","given":"Rajesh","non-dropping-particle":"","parse-names":false,"suffix":""},{"dropping-particle":"","family":"Stern","given":"Matthew B.","non-dropping-particle":"","parse-names":false,"suffix":""},{"dropping-particle":"","family":"Hiner","given":"Bradley C.","non-dropping-particle":"","parse-names":false,"suffix":""},{"dropping-particle":"","family":"Ondo","given":"William G.","non-dropping-particle":"","parse-names":false,"suffix":""},{"dropping-particle":"","family":"Allen","given":"Fred H.","non-dropping-particle":"","parse-names":false,"suffix":""},{"dropping-particle":"","family":"Scott","given":"Burton L.","non-dropping-particle":"","parse-names":false,"suffix":""},{"dropping-particle":"","family":"Goetz","given":"Christopher G.","non-dropping-particle":"","parse-names":false,"suffix":""},{"dropping-particle":"","family":"Small","given":"Gary W.","non-dropping-particle":"","parse-names":false,"suffix":""},{"dropping-particle":"","family":"Mastaglia","given":"Frank","non-dropping-particle":"","parse-names":false,"suffix":""},{"dropping-particle":"","family":"Stajich","given":"Jeffrey M.","non-dropping-particle":"","parse-names":false,"suffix":""},{"dropping-particle":"","family":"Zhang","given":"Fengyu","non-dropping-particle":"","parse-names":false,"suffix":""},{"dropping-particle":"","family":"Booze","given":"Michael W.","non-dropping-particle":"","parse-names":false,"suffix":""},{"dropping-particle":"","family":"Winn","given":"Michelle P.","non-dropping-particle":"","parse-names":false,"suffix":""},{"dropping-particle":"","family":"Middleton","given":"Lefkos T.","non-dropping-particle":"","parse-names":false,"suffix":""},{"dropping-particle":"","family":"Haines","given":"Jonathan L.","non-dropping-particle":"","parse-names":false,"suffix":""},{"dropping-particle":"","family":"Pericak-Vance","given":"Margaret A.","non-dropping-particle":"","parse-names":false,"suffix":""},{"dropping-particle":"","family":"Vance","given":"Jeffery M.","non-dropping-particle":"","parse-names":false,"suffix":""}],"container-title":"Annals of Neurology","id":"ITEM-3","issue":"5","issued":{"date-parts":[["2003","5"]]},"page":"624-629","title":"Parkin mutations and susceptibility alleles in late-onset Parkinson's disease","type":"article-journal","volume":"53"},"uris":["http://www.mendeley.com/documents/?uuid=869a99e0-eeb3-3673-a294-7e1fd89ab77e"]}],"mendeley":{"formattedCitation":"&lt;sup&gt;321–323&lt;/sup&gt;","plainTextFormattedCitation":"321–323","previouslyFormattedCitation":"&lt;sup&gt;321–323&lt;/sup&gt;"},"properties":{"noteIndex":0},"schema":"https://github.com/citation-style-language/schema/raw/master/csl-citation.json"}</w:instrText>
      </w:r>
      <w:r w:rsidR="00E65824" w:rsidRPr="0082680A">
        <w:rPr>
          <w:lang w:val="en-GB"/>
        </w:rPr>
        <w:fldChar w:fldCharType="separate"/>
      </w:r>
      <w:r w:rsidR="00426B19" w:rsidRPr="00426B19">
        <w:rPr>
          <w:noProof/>
          <w:vertAlign w:val="superscript"/>
          <w:lang w:val="en-GB"/>
        </w:rPr>
        <w:t>321–323</w:t>
      </w:r>
      <w:r w:rsidR="00E65824" w:rsidRPr="0082680A">
        <w:rPr>
          <w:lang w:val="en-GB"/>
        </w:rPr>
        <w:fldChar w:fldCharType="end"/>
      </w:r>
      <w:r w:rsidRPr="0082680A">
        <w:rPr>
          <w:lang w:val="en-GB"/>
        </w:rPr>
        <w:t xml:space="preserve">. The speed of disease progression is also variable; most </w:t>
      </w:r>
      <w:r w:rsidRPr="0082680A">
        <w:rPr>
          <w:i/>
          <w:lang w:val="en-GB"/>
        </w:rPr>
        <w:t>SCNA</w:t>
      </w:r>
      <w:r w:rsidRPr="0082680A">
        <w:rPr>
          <w:lang w:val="en-GB"/>
        </w:rPr>
        <w:t xml:space="preserve"> and </w:t>
      </w:r>
      <w:r w:rsidRPr="0082680A">
        <w:rPr>
          <w:i/>
          <w:lang w:val="en-GB"/>
        </w:rPr>
        <w:t>ATP13A2</w:t>
      </w:r>
      <w:r w:rsidRPr="0082680A">
        <w:rPr>
          <w:lang w:val="en-GB"/>
        </w:rPr>
        <w:t xml:space="preserve"> patients exhibit rapid disease progression, whereas patients with </w:t>
      </w:r>
      <w:r w:rsidRPr="0082680A">
        <w:rPr>
          <w:i/>
          <w:lang w:val="en-GB"/>
        </w:rPr>
        <w:t>PRKN</w:t>
      </w:r>
      <w:r w:rsidRPr="0082680A">
        <w:rPr>
          <w:lang w:val="en-GB"/>
        </w:rPr>
        <w:t xml:space="preserve">, </w:t>
      </w:r>
      <w:r w:rsidRPr="0082680A">
        <w:rPr>
          <w:i/>
          <w:lang w:val="en-GB"/>
        </w:rPr>
        <w:t>DJ-1</w:t>
      </w:r>
      <w:r w:rsidRPr="0082680A">
        <w:rPr>
          <w:lang w:val="en-GB"/>
        </w:rPr>
        <w:t xml:space="preserve"> or </w:t>
      </w:r>
      <w:r w:rsidRPr="0082680A">
        <w:rPr>
          <w:i/>
          <w:lang w:val="en-GB"/>
        </w:rPr>
        <w:t>PINK1</w:t>
      </w:r>
      <w:r w:rsidRPr="0082680A">
        <w:rPr>
          <w:lang w:val="en-GB"/>
        </w:rPr>
        <w:t xml:space="preserve"> mutations generally experience much slower deterioration </w:t>
      </w:r>
      <w:r w:rsidR="000544CA" w:rsidRPr="0082680A">
        <w:rPr>
          <w:lang w:val="en-GB"/>
        </w:rPr>
        <w:fldChar w:fldCharType="begin" w:fldLock="1"/>
      </w:r>
      <w:r w:rsidR="000507BA">
        <w:rPr>
          <w:lang w:val="en-GB"/>
        </w:rPr>
        <w:instrText>ADDIN CSL_CITATION {"citationItems":[{"id":"ITEM-1","itemData":{"DOI":"10.1016/J.EXGER.2014.09.014","ISSN":"0531-5565","abstract":"Parkinson's disease is a chronic, progressive neurodegenerative disorder with increased prevalence in the aging population. It is estimated that approximately 1.5 million individuals in the US alone suffer from Parkinson's disease and with the extension of life expectancy this number is expected to rise dramatically within the next twenty-five years. The majority of Parkinson's disease cases are sporadic. But mutations in genes such as α-synuclein, Parkin, PINK1, DJ-1 and LRRK2, have been conclusively associated with both early- and late-onset of the disease. Although the genetics of Parkinson's disease is starting to become unraveled, the interplay between genetic and environmental factors is largely unknown as are the underlying mechanisms that trigger the disease as the brain ages. The risk of Parkinson's disease increases dramatically in individuals over the age of 60 and it is estimated that more than 1% of all seniors have some form of the condition. In this review, we will highlight some of the central proteins associated with Parkinson's disease and how they may be linked to processes and factors associated with age.","author":[{"dropping-particle":"","family":"Abdullah","given":"Rashed","non-dropping-particle":"","parse-names":false,"suffix":""},{"dropping-particle":"","family":"Basak","given":"Indranil","non-dropping-particle":"","parse-names":false,"suffix":""},{"dropping-particle":"","family":"Patil","given":"Ketan S.","non-dropping-particle":"","parse-names":false,"suffix":""},{"dropping-particle":"","family":"Alves","given":"Guido","non-dropping-particle":"","parse-names":false,"suffix":""},{"dropping-particle":"","family":"Larsen","given":"Jan Petter","non-dropping-particle":"","parse-names":false,"suffix":""},{"dropping-particle":"","family":"Møller","given":"Simon Geir","non-dropping-particle":"","parse-names":false,"suffix":""}],"container-title":"Experimental Gerontology","id":"ITEM-1","issued":{"date-parts":[["2015","8","1"]]},"page":"33-38","publisher":"Pergamon","title":"Parkinson's disease and age: The obvious but largely unexplored link","type":"article-journal","volume":"68"},"uris":["http://www.mendeley.com/documents/?uuid=a7b9a421-5572-4559-b475-7c01994544ac"]},{"id":"ITEM-2","itemData":{"DOI":"10.1002/mds.26243","ISSN":"08853185","author":[{"dropping-particle":"","family":"Park","given":"Jin-Sung","non-dropping-particle":"","parse-names":false,"suffix":""},{"dropping-particle":"","family":"Blair","given":"Nicholas F.","non-dropping-particle":"","parse-names":false,"suffix":""},{"dropping-particle":"","family":"Sue","given":"Carolyn M.","non-dropping-particle":"","parse-names":false,"suffix":""}],"container-title":"Movement Disorders","id":"ITEM-2","issue":"6","issued":{"date-parts":[["2015","5","1"]]},"page":"770-779","publisher":"Wiley-Blackwell","title":"The role of ATP13A2 in Parkinson's disease: Clinical phenotypes and molecular mechanisms","type":"article-journal","volume":"30"},"uris":["http://www.mendeley.com/documents/?uuid=82ec4a18-33d1-4527-8b4f-28dfbc778505"]}],"mendeley":{"formattedCitation":"&lt;sup&gt;311,324&lt;/sup&gt;","plainTextFormattedCitation":"311,324","previouslyFormattedCitation":"&lt;sup&gt;311,324&lt;/sup&gt;"},"properties":{"noteIndex":0},"schema":"https://github.com/citation-style-language/schema/raw/master/csl-citation.json"}</w:instrText>
      </w:r>
      <w:r w:rsidR="000544CA" w:rsidRPr="0082680A">
        <w:rPr>
          <w:lang w:val="en-GB"/>
        </w:rPr>
        <w:fldChar w:fldCharType="separate"/>
      </w:r>
      <w:r w:rsidR="00426B19" w:rsidRPr="00426B19">
        <w:rPr>
          <w:noProof/>
          <w:vertAlign w:val="superscript"/>
          <w:lang w:val="en-GB"/>
        </w:rPr>
        <w:t>311,324</w:t>
      </w:r>
      <w:r w:rsidR="000544CA" w:rsidRPr="0082680A">
        <w:rPr>
          <w:lang w:val="en-GB"/>
        </w:rPr>
        <w:fldChar w:fldCharType="end"/>
      </w:r>
      <w:r w:rsidRPr="0082680A">
        <w:rPr>
          <w:lang w:val="en-GB"/>
        </w:rPr>
        <w:t xml:space="preserve">. Symptomatic differences include the cognitive impairments (e.g. dementia) only observed in </w:t>
      </w:r>
      <w:r w:rsidRPr="0082680A">
        <w:rPr>
          <w:i/>
          <w:lang w:val="en-GB"/>
        </w:rPr>
        <w:t xml:space="preserve">SNCA </w:t>
      </w:r>
      <w:r w:rsidRPr="0082680A">
        <w:rPr>
          <w:lang w:val="en-GB"/>
        </w:rPr>
        <w:t>and</w:t>
      </w:r>
      <w:r w:rsidRPr="0082680A">
        <w:rPr>
          <w:i/>
          <w:lang w:val="en-GB"/>
        </w:rPr>
        <w:t xml:space="preserve"> PINK1</w:t>
      </w:r>
      <w:r w:rsidRPr="0082680A">
        <w:rPr>
          <w:lang w:val="en-GB"/>
        </w:rPr>
        <w:t xml:space="preserve"> PD. Hallucinations are even more unique, occurring in </w:t>
      </w:r>
      <w:r w:rsidRPr="0082680A">
        <w:rPr>
          <w:i/>
          <w:lang w:val="en-GB"/>
        </w:rPr>
        <w:t>SNCA</w:t>
      </w:r>
      <w:r w:rsidRPr="0082680A">
        <w:rPr>
          <w:lang w:val="en-GB"/>
        </w:rPr>
        <w:t xml:space="preserve"> patients only </w:t>
      </w:r>
      <w:r w:rsidR="000544CA" w:rsidRPr="0082680A">
        <w:rPr>
          <w:lang w:val="en-GB"/>
        </w:rPr>
        <w:fldChar w:fldCharType="begin" w:fldLock="1"/>
      </w:r>
      <w:r w:rsidR="000507BA">
        <w:rPr>
          <w:lang w:val="en-GB"/>
        </w:rPr>
        <w:instrText>ADDIN CSL_CITATION {"citationItems":[{"id":"ITEM-1","itemData":{"DOI":"10.1016/J.EXGER.2014.09.014","ISSN":"0531-5565","abstract":"Parkinson's disease is a chronic, progressive neurodegenerative disorder with increased prevalence in the aging population. It is estimated that approximately 1.5 million individuals in the US alone suffer from Parkinson's disease and with the extension of life expectancy this number is expected to rise dramatically within the next twenty-five years. The majority of Parkinson's disease cases are sporadic. But mutations in genes such as α-synuclein, Parkin, PINK1, DJ-1 and LRRK2, have been conclusively associated with both early- and late-onset of the disease. Although the genetics of Parkinson's disease is starting to become unraveled, the interplay between genetic and environmental factors is largely unknown as are the underlying mechanisms that trigger the disease as the brain ages. The risk of Parkinson's disease increases dramatically in individuals over the age of 60 and it is estimated that more than 1% of all seniors have some form of the condition. In this review, we will highlight some of the central proteins associated with Parkinson's disease and how they may be linked to processes and factors associated with age.","author":[{"dropping-particle":"","family":"Abdullah","given":"Rashed","non-dropping-particle":"","parse-names":false,"suffix":""},{"dropping-particle":"","family":"Basak","given":"Indranil","non-dropping-particle":"","parse-names":false,"suffix":""},{"dropping-particle":"","family":"Patil","given":"Ketan S.","non-dropping-particle":"","parse-names":false,"suffix":""},{"dropping-particle":"","family":"Alves","given":"Guido","non-dropping-particle":"","parse-names":false,"suffix":""},{"dropping-particle":"","family":"Larsen","given":"Jan Petter","non-dropping-particle":"","parse-names":false,"suffix":""},{"dropping-particle":"","family":"Møller","given":"Simon Geir","non-dropping-particle":"","parse-names":false,"suffix":""}],"container-title":"Experimental Gerontology","id":"ITEM-1","issued":{"date-parts":[["2015","8","1"]]},"page":"33-38","publisher":"Pergamon","title":"Parkinson's disease and age: The obvious but largely unexplored link","type":"article-journal","volume":"68"},"uris":["http://www.mendeley.com/documents/?uuid=a7b9a421-5572-4559-b475-7c01994544ac"]}],"mendeley":{"formattedCitation":"&lt;sup&gt;324&lt;/sup&gt;","plainTextFormattedCitation":"324","previouslyFormattedCitation":"&lt;sup&gt;324&lt;/sup&gt;"},"properties":{"noteIndex":0},"schema":"https://github.com/citation-style-language/schema/raw/master/csl-citation.json"}</w:instrText>
      </w:r>
      <w:r w:rsidR="000544CA" w:rsidRPr="0082680A">
        <w:rPr>
          <w:lang w:val="en-GB"/>
        </w:rPr>
        <w:fldChar w:fldCharType="separate"/>
      </w:r>
      <w:r w:rsidR="00426B19" w:rsidRPr="00426B19">
        <w:rPr>
          <w:noProof/>
          <w:vertAlign w:val="superscript"/>
          <w:lang w:val="en-GB"/>
        </w:rPr>
        <w:t>324</w:t>
      </w:r>
      <w:r w:rsidR="000544CA" w:rsidRPr="0082680A">
        <w:rPr>
          <w:lang w:val="en-GB"/>
        </w:rPr>
        <w:fldChar w:fldCharType="end"/>
      </w:r>
      <w:r w:rsidRPr="0082680A">
        <w:rPr>
          <w:lang w:val="en-GB"/>
        </w:rPr>
        <w:t xml:space="preserve">. </w:t>
      </w:r>
    </w:p>
    <w:p w14:paraId="7582B25C" w14:textId="77777777" w:rsidR="000D27A7" w:rsidRPr="0082680A" w:rsidRDefault="000D27A7" w:rsidP="000D27A7">
      <w:pPr>
        <w:rPr>
          <w:lang w:val="en-GB"/>
        </w:rPr>
      </w:pPr>
    </w:p>
    <w:p w14:paraId="32015D72" w14:textId="5CA94CFE" w:rsidR="000D27A7" w:rsidRPr="0082680A" w:rsidRDefault="000D27A7" w:rsidP="000D27A7">
      <w:pPr>
        <w:rPr>
          <w:lang w:val="en-GB"/>
        </w:rPr>
      </w:pPr>
      <w:r w:rsidRPr="0082680A">
        <w:rPr>
          <w:lang w:val="en-GB"/>
        </w:rPr>
        <w:t xml:space="preserve">Such variability has catalysed discussion on whether PD is actually a family of similar yet distinct conditions, rather than a single clinical group. Such sub-populations may not follow definitions made by genetic background. One such sub-population that has been consistently reported is the clinical similarity between sporadic and </w:t>
      </w:r>
      <w:r w:rsidRPr="0082680A">
        <w:rPr>
          <w:i/>
          <w:lang w:val="en-GB"/>
        </w:rPr>
        <w:t>LRRK2</w:t>
      </w:r>
      <w:r w:rsidRPr="0082680A">
        <w:rPr>
          <w:lang w:val="en-GB"/>
        </w:rPr>
        <w:t xml:space="preserve"> PD populations. We have already discussed the nature of </w:t>
      </w:r>
      <w:r w:rsidRPr="0082680A">
        <w:rPr>
          <w:i/>
          <w:lang w:val="en-GB"/>
        </w:rPr>
        <w:t>LRRK2</w:t>
      </w:r>
      <w:r w:rsidRPr="0082680A">
        <w:rPr>
          <w:lang w:val="en-GB"/>
        </w:rPr>
        <w:t xml:space="preserve"> mutations and their familial inheritance patterns, whereas sporadic disease represents individuals who have no previous family history of PD. The similarities between </w:t>
      </w:r>
      <w:r w:rsidRPr="0082680A">
        <w:rPr>
          <w:i/>
          <w:lang w:val="en-GB"/>
        </w:rPr>
        <w:t xml:space="preserve">LRRK2 </w:t>
      </w:r>
      <w:r w:rsidRPr="0082680A">
        <w:rPr>
          <w:lang w:val="en-GB"/>
        </w:rPr>
        <w:t xml:space="preserve">and sporadic PD were first identified in a Norwegian study conducted not long after </w:t>
      </w:r>
      <w:r w:rsidRPr="0082680A">
        <w:rPr>
          <w:i/>
          <w:lang w:val="en-GB"/>
        </w:rPr>
        <w:t>LRRK2</w:t>
      </w:r>
      <w:r w:rsidRPr="0082680A">
        <w:rPr>
          <w:lang w:val="en-GB"/>
        </w:rPr>
        <w:t xml:space="preserve">’s discovery </w:t>
      </w:r>
      <w:r w:rsidR="00D96A74" w:rsidRPr="0082680A">
        <w:rPr>
          <w:lang w:val="en-GB"/>
        </w:rPr>
        <w:fldChar w:fldCharType="begin" w:fldLock="1"/>
      </w:r>
      <w:r w:rsidR="000507BA">
        <w:rPr>
          <w:lang w:val="en-GB"/>
        </w:rPr>
        <w:instrText>ADDIN CSL_CITATION {"citationItems":[{"id":"ITEM-1","itemData":{"DOI":"10.1002/ana.20456","ISSN":"0364-5134","author":[{"dropping-particle":"","family":"Aasly","given":"Jan O.","non-dropping-particle":"","parse-names":false,"suffix":""},{"dropping-particle":"","family":"Toft","given":"Mathias","non-dropping-particle":"","parse-names":false,"suffix":""},{"dropping-particle":"","family":"Fernandez-Mata","given":"Ignacio","non-dropping-particle":"","parse-names":false,"suffix":""},{"dropping-particle":"","family":"Kachergus","given":"Jennifer","non-dropping-particle":"","parse-names":false,"suffix":""},{"dropping-particle":"","family":"Hulihan","given":"Mary","non-dropping-particle":"","parse-names":false,"suffix":""},{"dropping-particle":"","family":"White","given":"Linda R.","non-dropping-particle":"","parse-names":false,"suffix":""},{"dropping-particle":"","family":"Farrer","given":"Matthew","non-dropping-particle":"","parse-names":false,"suffix":""}],"container-title":"Annals of Neurology","id":"ITEM-1","issue":"5","issued":{"date-parts":[["2005","5","1"]]},"page":"762-765","publisher":"Wiley-Blackwell","title":"Clinical features of LRRK2-associated Parkinson's disease in central Norway","type":"article-journal","volume":"57"},"uris":["http://www.mendeley.com/documents/?uuid=c4d0175d-1104-4132-8594-2123cb82924e"]}],"mendeley":{"formattedCitation":"&lt;sup&gt;325&lt;/sup&gt;","plainTextFormattedCitation":"325","previouslyFormattedCitation":"&lt;sup&gt;325&lt;/sup&gt;"},"properties":{"noteIndex":0},"schema":"https://github.com/citation-style-language/schema/raw/master/csl-citation.json"}</w:instrText>
      </w:r>
      <w:r w:rsidR="00D96A74" w:rsidRPr="0082680A">
        <w:rPr>
          <w:lang w:val="en-GB"/>
        </w:rPr>
        <w:fldChar w:fldCharType="separate"/>
      </w:r>
      <w:r w:rsidR="00426B19" w:rsidRPr="00426B19">
        <w:rPr>
          <w:noProof/>
          <w:vertAlign w:val="superscript"/>
          <w:lang w:val="en-GB"/>
        </w:rPr>
        <w:t>325</w:t>
      </w:r>
      <w:r w:rsidR="00D96A74" w:rsidRPr="0082680A">
        <w:rPr>
          <w:lang w:val="en-GB"/>
        </w:rPr>
        <w:fldChar w:fldCharType="end"/>
      </w:r>
      <w:r w:rsidRPr="0082680A">
        <w:rPr>
          <w:lang w:val="en-GB"/>
        </w:rPr>
        <w:t xml:space="preserve">. Of the 435 patients analysed, 9 were found to possess mutations in </w:t>
      </w:r>
      <w:r w:rsidRPr="0082680A">
        <w:rPr>
          <w:i/>
          <w:lang w:val="en-GB"/>
        </w:rPr>
        <w:t>LRRK2.</w:t>
      </w:r>
      <w:r w:rsidRPr="0082680A">
        <w:rPr>
          <w:lang w:val="en-GB"/>
        </w:rPr>
        <w:t xml:space="preserve"> These individuals were then compared against the remaining 426 sporadic patients. Age of onset, rate of disease progression, and clinical presentations of resting tremor, bradykinesia, muscular rigidity, and positive levodopa response (a dopamine substitute used to treat PD) were all indistinguishable between </w:t>
      </w:r>
      <w:r w:rsidRPr="0082680A">
        <w:rPr>
          <w:i/>
          <w:lang w:val="en-GB"/>
        </w:rPr>
        <w:t>LRRK2</w:t>
      </w:r>
      <w:r w:rsidRPr="0082680A">
        <w:rPr>
          <w:lang w:val="en-GB"/>
        </w:rPr>
        <w:t xml:space="preserve"> and sporadic patients. This observation has been replicated in a number of subsequent studies </w:t>
      </w:r>
      <w:r w:rsidR="00246F1B" w:rsidRPr="0082680A">
        <w:rPr>
          <w:lang w:val="en-GB"/>
        </w:rPr>
        <w:fldChar w:fldCharType="begin" w:fldLock="1"/>
      </w:r>
      <w:r w:rsidR="000507BA">
        <w:rPr>
          <w:lang w:val="en-GB"/>
        </w:rPr>
        <w:instrText>ADDIN CSL_CITATION {"citationItems":[{"id":"ITEM-1","itemData":{"DOI":"10.1212/01.wnl.0000304044.22253.03","ISSN":"1526-632X","PMID":"18337586","abstract":"OBJECTIVE Leucine-rich repeat kinase 2 (LRRK2) mutations are the most common cause of Parkinson disease (PD). Several dominantly inherited pathogenic substitutions have been identified in different domains of the Lrrk2 protein. Herein, we characterize the clinical and genetic features associated with Lrrk2 p.R1441C. METHODS We identified 33 affected and 15 unaffected LRRK2 c.4321C&gt;T (p.R1441C) mutation carriers through an international consortium originating from three continents. The age-specific cumulative incidence of PD was calculated by Kaplan-Meier analysis. RESULTS The clinical presentation of Lrrk2 p.R1441C carriers was similar to sporadic PD and Lrrk2 p.G2019S parkinsonism. The mean age at onset for parkinsonism was 60 years, range 30-79 years; fewer than 20% of the patients had symptoms before the age 50 years, while by 75 years &gt;90% of them had developed symptoms. Haplotype analysis suggests four independent founders for the p.R1441C mutation. CONCLUSIONS The distribution in age at onset and clinical features in Lrrk2 p.R1441C patients are similar to idiopathic and Lrrk2 p.G2019S parkinsonism. Several independent founders of the p.R1441C substitution suggest this site is prone to recurrent mutagenesis.","author":[{"dropping-particle":"","family":"Haugarvoll","given":"K","non-dropping-particle":"","parse-names":false,"suffix":""},{"dropping-particle":"","family":"Rademakers","given":"R","non-dropping-particle":"","parse-names":false,"suffix":""},{"dropping-particle":"","family":"Kachergus","given":"J M","non-dropping-particle":"","parse-names":false,"suffix":""},{"dropping-particle":"","family":"Nuytemans","given":"K","non-dropping-particle":"","parse-names":false,"suffix":""},{"dropping-particle":"","family":"Ross","given":"O A","non-dropping-particle":"","parse-names":false,"suffix":""},{"dropping-particle":"","family":"Gibson","given":"J M","non-dropping-particle":"","parse-names":false,"suffix":""},{"dropping-particle":"","family":"Tan","given":"E-K","non-dropping-particle":"","parse-names":false,"suffix":""},{"dropping-particle":"","family":"Gaig","given":"C","non-dropping-particle":"","parse-names":false,"suffix":""},{"dropping-particle":"","family":"Tolosa","given":"E","non-dropping-particle":"","parse-names":false,"suffix":""},{"dropping-particle":"","family":"Goldwurm","given":"S","non-dropping-particle":"","parse-names":false,"suffix":""},{"dropping-particle":"","family":"Guidi","given":"M","non-dropping-particle":"","parse-names":false,"suffix":""},{"dropping-particle":"","family":"Riboldazzi","given":"G","non-dropping-particle":"","parse-names":false,"suffix":""},{"dropping-particle":"","family":"Brown","given":"L","non-dropping-particle":"","parse-names":false,"suffix":""},{"dropping-particle":"","family":"Walter","given":"U","non-dropping-particle":"","parse-names":false,"suffix":""},{"dropping-particle":"","family":"Benecke","given":"R","non-dropping-particle":"","parse-names":false,"suffix":""},{"dropping-particle":"","family":"Berg","given":"D","non-dropping-particle":"","parse-names":false,"suffix":""},{"dropping-particle":"","family":"Gasser","given":"T","non-dropping-particle":"","parse-names":false,"suffix":""},{"dropping-particle":"","family":"Theuns","given":"J","non-dropping-particle":"","parse-names":false,"suffix":""},{"dropping-particle":"","family":"Pals","given":"P","non-dropping-particle":"","parse-names":false,"suffix":""},{"dropping-particle":"","family":"Cras","given":"P","non-dropping-particle":"","parse-names":false,"suffix":""},{"dropping-particle":"","family":"Deyn","given":"P Paul","non-dropping-particle":"De","parse-names":false,"suffix":""},{"dropping-particle":"","family":"Engelborghs","given":"S","non-dropping-particle":"","parse-names":false,"suffix":""},{"dropping-particle":"","family":"Pickut","given":"B","non-dropping-particle":"","parse-names":false,"suffix":""},{"dropping-particle":"","family":"Uitti","given":"R J","non-dropping-particle":"","parse-names":false,"suffix":""},{"dropping-particle":"","family":"Foroud","given":"T","non-dropping-particle":"","parse-names":false,"suffix":""},{"dropping-particle":"","family":"Nichols","given":"W C","non-dropping-particle":"","parse-names":false,"suffix":""},{"dropping-particle":"","family":"Hagenah","given":"J","non-dropping-particle":"","parse-names":false,"suffix":""},{"dropping-particle":"","family":"Klein","given":"C","non-dropping-particle":"","parse-names":false,"suffix":""},{"dropping-particle":"","family":"Samii","given":"A","non-dropping-particle":"","parse-names":false,"suffix":""},{"dropping-particle":"","family":"Zabetian","given":"C P","non-dropping-particle":"","parse-names":false,"suffix":""},{"dropping-particle":"","family":"Bonifati","given":"V","non-dropping-particle":"","parse-names":false,"suffix":""},{"dropping-particle":"","family":"Broeckhoven","given":"C","non-dropping-particle":"Van","parse-names":false,"suffix":""},{"dropping-particle":"","family":"Farrer","given":"M J","non-dropping-particle":"","parse-names":false,"suffix":""},{"dropping-particle":"","family":"Wszolek","given":"Z K","non-dropping-particle":"","parse-names":false,"suffix":""}],"container-title":"Neurology","id":"ITEM-1","issue":"16 Pt 2","issued":{"date-parts":[["2008","4","15"]]},"page":"1456-60","publisher":"NIH Public Access","title":"Lrrk2 R1441C parkinsonism is clinically similar to sporadic Parkinson disease.","type":"article-journal","volume":"70"},"uris":["http://www.mendeley.com/documents/?uuid=5ce843b1-2ba9-376b-a339-8a12917682ac"]},{"id":"ITEM-2","itemData":{"DOI":"10.1212/WNL.0b013e318227042d","ISSN":"1526-632X","PMID":"21753163","abstract":"OBJECTIVES Using a family study design, we describe the motor and nonmotor phenotype in probands with LRRK2 G2019S mutations and family members and compare these individuals to patients with idiopathic Parkinson disease (iPD) and unrelated controls. METHODS Probands with G2019S mutations and their first-degree relatives, subjects with iPD, and unrelated control subjects were identified from 4 movement disorders centers. All underwent neurologic examinations and tests of olfaction, color vision, anxiety, and depression inventories. RESULTS Tremor was more often a presenting feature among 25 individuals with LRRK2-associated PD than among 84 individuals with iPD. Subjects with LRRK2-PD had better olfactory identification compared with subjects with iPD, higher Beck Depression Inventory scores, and higher error scores on Farnsworth-Munsell 100-Hue test of color discrimination. Postural or action tremor was more common among 29 nonmanifesting mutation carriers compared with 53 noncarriers within the families. Nonparkinsonian family members had higher Unified Parkinson's Disease Rating Scale motor scores, more constipation, and worse color discrimination than controls, regardless of mutation status. CONCLUSIONS Although tremor is a more common presenting feature of LRRK2-PD than iPD and some nonmotor features differed in degree, the phenotype is largely overlapping. Postural or action tremor may represent an early sign. Longitudinal evaluation of a large sample of nonmanifesting carriers will be required to describe any premotor phenotype that may allow early diagnosis.","author":[{"dropping-particle":"","family":"Marras","given":"C","non-dropping-particle":"","parse-names":false,"suffix":""},{"dropping-particle":"","family":"Schüle","given":"B","non-dropping-particle":"","parse-names":false,"suffix":""},{"dropping-particle":"","family":"Schuele","given":"B","non-dropping-particle":"","parse-names":false,"suffix":""},{"dropping-particle":"","family":"Munhoz","given":"R P","non-dropping-particle":"","parse-names":false,"suffix":""},{"dropping-particle":"","family":"Rogaeva","given":"E","non-dropping-particle":"","parse-names":false,"suffix":""},{"dropping-particle":"","family":"Langston","given":"J W","non-dropping-particle":"","parse-names":false,"suffix":""},{"dropping-particle":"","family":"Kasten","given":"M","non-dropping-particle":"","parse-names":false,"suffix":""},{"dropping-particle":"","family":"Meaney","given":"C","non-dropping-particle":"","parse-names":false,"suffix":""},{"dropping-particle":"","family":"Klein","given":"C","non-dropping-particle":"","parse-names":false,"suffix":""},{"dropping-particle":"","family":"Wadia","given":"P M","non-dropping-particle":"","parse-names":false,"suffix":""},{"dropping-particle":"","family":"Lim","given":"S-Y","non-dropping-particle":"","parse-names":false,"suffix":""},{"dropping-particle":"","family":"Chuang","given":"R S-I","non-dropping-particle":"","parse-names":false,"suffix":""},{"dropping-particle":"","family":"Zadikof","given":"C","non-dropping-particle":"","parse-names":false,"suffix":""},{"dropping-particle":"","family":"Steeves","given":"T","non-dropping-particle":"","parse-names":false,"suffix":""},{"dropping-particle":"","family":"Prakash","given":"K M","non-dropping-particle":"","parse-names":false,"suffix":""},{"dropping-particle":"","family":"Bie","given":"R M A","non-dropping-particle":"de","parse-names":false,"suffix":""},{"dropping-particle":"","family":"Adeli","given":"G","non-dropping-particle":"","parse-names":false,"suffix":""},{"dropping-particle":"","family":"Thomsen","given":"T","non-dropping-particle":"","parse-names":false,"suffix":""},{"dropping-particle":"","family":"Johansen","given":"K K","non-dropping-particle":"","parse-names":false,"suffix":""},{"dropping-particle":"","family":"Teive","given":"H A","non-dropping-particle":"","parse-names":false,"suffix":""},{"dropping-particle":"","family":"Asante","given":"A","non-dropping-particle":"","parse-names":false,"suffix":""},{"dropping-particle":"","family":"Reginold","given":"W","non-dropping-particle":"","parse-names":false,"suffix":""},{"dropping-particle":"","family":"Lang","given":"A E","non-dropping-particle":"","parse-names":false,"suffix":""}],"container-title":"Neurology","id":"ITEM-2","issue":"4","issued":{"date-parts":[["2011","7","26"]]},"page":"325-33","publisher":"American Academy of Neurology","title":"Phenotype in parkinsonian and nonparkinsonian LRRK2 G2019S mutation carriers.","type":"article-journal","volume":"77"},"uris":["http://www.mendeley.com/documents/?uuid=b664edba-4424-4c43-89ab-ebe85bd8fd23"]},{"id":"ITEM-3","itemData":{"DOI":"10.1016/S1474-4422(08)70117-0","ISSN":"14744422","PMID":"18539534","abstract":"BACKGROUND Mutations in LRRK2, the gene that encodes leucine-rich repeat kinase 2, are a cause of Parkinson's disease (PD). The International LRRK2 Consortium was established to answer three key clinical questions: can LRRK2-associated PD be distinguished from idiopathic PD; which mutations in LRRK2 are pathogenic; and what is the age-specific cumulative risk of PD for individuals who inherit or are at risk of inheriting a deleterious mutation in LRRK2? METHODS Researchers from 21 centres across the world collaborated on this study. The frequency of the common LRRK2 Gly2019Ser mutation was estimated on the basis of data from 24 populations worldwide, and the penetrance of the mutation was defined in 1045 people with mutations in LRRK2 from 133 families. The LRRK2 phenotype was defined on the basis of 59 motor and non-motor symptoms in 356 patients with LRRK2-associated PD and compared with the symptoms of 543 patients with pathologically proven idiopathic PD. FINDINGS Six mutations met the consortium's criteria for being proven pathogenic. The frequency of the common LRRK2 Gly2019Ser mutation was 1% of patients with sporadic PD and 4% of patients with hereditary PD; the frequency was highest in the middle east and higher in southern Europe than in northern Europe. The risk of PD for a person who inherits the LRRK2 Gly2019Ser mutation was 28% at age 59 years, 51% at 69 years, and 74% at 79 years. The motor symptoms (eg, disease severity, rate of progression, occurrence of falls, and dyskinesia) and non-motor symptoms (eg, cognition and olfaction) of LRRK2-associated PD were more benign than those of idiopathic PD. INTERPRETATION Mutations in LRRK2 are a clinically relevant cause of PD that merit testing in patients with hereditary PD and in subgroups of patients with PD. However, this knowledge should be applied with caution in the diagnosis and counselling of patients. FUNDING UK Medical Research Council; UK Parkinson's Disease Society; UK Brain Research Trust; Internationaal Parkinson Fonds; Volkswagen Foundation; National Institutes of Health: National Institute of Neurological Disorders and Stroke and National Institute of Aging; Udall Parkinson's Disease Centre of Excellence; Pacific Alzheimer Research Foundation Centre; Italian Telethon Foundation; Fondazione Grigioni per il Morbo di Parkinson; Michael J Fox Foundation for Parkinson's Research; Safra Global Genetics Consortium; US Department of Veterans Affairs; French Agence Nationale de la Recher…","author":[{"dropping-particle":"","family":"Healy","given":"Daniel G","non-dropping-particle":"","parse-names":false,"suffix":""},{"dropping-particle":"","family":"Falchi","given":"Mario","non-dropping-particle":"","parse-names":false,"suffix":""},{"dropping-particle":"","family":"O'Sullivan","given":"Sean S","non-dropping-particle":"","parse-names":false,"suffix":""},{"dropping-particle":"","family":"Bonifati","given":"Vincenzo","non-dropping-particle":"","parse-names":false,"suffix":""},{"dropping-particle":"","family":"Durr","given":"Alexandra","non-dropping-particle":"","parse-names":false,"suffix":""},{"dropping-particle":"","family":"Bressman","given":"Susan","non-dropping-particle":"","parse-names":false,"suffix":""},{"dropping-particle":"","family":"Brice","given":"Alexis","non-dropping-particle":"","parse-names":false,"suffix":""},{"dropping-particle":"","family":"Aasly","given":"Jan","non-dropping-particle":"","parse-names":false,"suffix":""},{"dropping-particle":"","family":"Zabetian","given":"Cyrus P","non-dropping-particle":"","parse-names":false,"suffix":""},{"dropping-particle":"","family":"Goldwurm","given":"Stefano","non-dropping-particle":"","parse-names":false,"suffix":""},{"dropping-particle":"","family":"Ferreira","given":"Joaquim J","non-dropping-particle":"","parse-names":false,"suffix":""},{"dropping-particle":"","family":"Tolosa","given":"Eduardo","non-dropping-particle":"","parse-names":false,"suffix":""},{"dropping-particle":"","family":"Kay","given":"Denise M","non-dropping-particle":"","parse-names":false,"suffix":""},{"dropping-particle":"","family":"Klein","given":"Christine","non-dropping-particle":"","parse-names":false,"suffix":""},{"dropping-particle":"","family":"Williams","given":"David R","non-dropping-particle":"","parse-names":false,"suffix":""},{"dropping-particle":"","family":"Marras","given":"Connie","non-dropping-particle":"","parse-names":false,"suffix":""},{"dropping-particle":"","family":"Lang","given":"Anthony E","non-dropping-particle":"","parse-names":false,"suffix":""},{"dropping-particle":"","family":"Wszolek","given":"Zbigniew K","non-dropping-particle":"","parse-names":false,"suffix":""},{"dropping-particle":"","family":"Berciano","given":"Jose","non-dropping-particle":"","parse-names":false,"suffix":""},{"dropping-particle":"","family":"Schapira","given":"Anthony HV","non-dropping-particle":"","parse-names":false,"suffix":""},{"dropping-particle":"","family":"Lynch","given":"Timothy","non-dropping-particle":"","parse-names":false,"suffix":""},{"dropping-particle":"","family":"Bhatia","given":"Kailash P","non-dropping-particle":"","parse-names":false,"suffix":""},{"dropping-particle":"","family":"Gasser","given":"Thomas","non-dropping-particle":"","parse-names":false,"suffix":""},{"dropping-particle":"","family":"Lees","given":"Andrew J","non-dropping-particle":"","parse-names":false,"suffix":""},{"dropping-particle":"","family":"Wood","given":"Nicholas W","non-dropping-particle":"","parse-names":false,"suffix":""},{"dropping-particle":"","family":"International LRRK2 Consortium","given":"","non-dropping-particle":"","parse-names":false,"suffix":""}],"container-title":"The Lancet Neurology","id":"ITEM-3","issue":"7","issued":{"date-parts":[["2008","7"]]},"page":"583-590","title":"Phenotype, genotype, and worldwide genetic penetrance of LRRK2-associated Parkinson's disease: a case-control study","type":"article-journal","volume":"7"},"uris":["http://www.mendeley.com/documents/?uuid=0ab410f9-e8ab-3899-baac-ee559deb9942"]}],"mendeley":{"formattedCitation":"&lt;sup&gt;296,326,327&lt;/sup&gt;","plainTextFormattedCitation":"296,326,327","previouslyFormattedCitation":"&lt;sup&gt;296,326,327&lt;/sup&gt;"},"properties":{"noteIndex":0},"schema":"https://github.com/citation-style-language/schema/raw/master/csl-citation.json"}</w:instrText>
      </w:r>
      <w:r w:rsidR="00246F1B" w:rsidRPr="0082680A">
        <w:rPr>
          <w:lang w:val="en-GB"/>
        </w:rPr>
        <w:fldChar w:fldCharType="separate"/>
      </w:r>
      <w:r w:rsidR="00426B19" w:rsidRPr="00426B19">
        <w:rPr>
          <w:noProof/>
          <w:vertAlign w:val="superscript"/>
          <w:lang w:val="en-GB"/>
        </w:rPr>
        <w:t>296,326,327</w:t>
      </w:r>
      <w:r w:rsidR="00246F1B" w:rsidRPr="0082680A">
        <w:rPr>
          <w:lang w:val="en-GB"/>
        </w:rPr>
        <w:fldChar w:fldCharType="end"/>
      </w:r>
      <w:r w:rsidRPr="0082680A">
        <w:rPr>
          <w:lang w:val="en-GB"/>
        </w:rPr>
        <w:t xml:space="preserve">. Similarities between </w:t>
      </w:r>
      <w:r w:rsidRPr="0082680A">
        <w:rPr>
          <w:i/>
          <w:lang w:val="en-GB"/>
        </w:rPr>
        <w:t>LRRK2</w:t>
      </w:r>
      <w:r w:rsidRPr="0082680A">
        <w:rPr>
          <w:lang w:val="en-GB"/>
        </w:rPr>
        <w:t xml:space="preserve"> and sporadic PD are not only symptomatic; four months after the later, a PET scan study demonstrated that the pattern of dopaminergic activity in </w:t>
      </w:r>
      <w:r w:rsidRPr="0082680A">
        <w:rPr>
          <w:i/>
          <w:lang w:val="en-GB"/>
        </w:rPr>
        <w:t>LRRK2</w:t>
      </w:r>
      <w:r w:rsidRPr="0082680A">
        <w:rPr>
          <w:lang w:val="en-GB"/>
        </w:rPr>
        <w:t xml:space="preserve"> and sporadic PD patient’s brains showed remarkable similarities </w:t>
      </w:r>
      <w:r w:rsidR="00A96B56" w:rsidRPr="0082680A">
        <w:rPr>
          <w:lang w:val="en-GB"/>
        </w:rPr>
        <w:fldChar w:fldCharType="begin" w:fldLock="1"/>
      </w:r>
      <w:r w:rsidR="000507BA">
        <w:rPr>
          <w:lang w:val="en-GB"/>
        </w:rPr>
        <w:instrText>ADDIN CSL_CITATION {"citationItems":[{"id":"ITEM-1","itemData":{"DOI":"10.1093/brain/awh607","ISSN":"1460-2156","author":[{"dropping-particle":"","family":"Adams","given":"John R.","non-dropping-particle":"","parse-names":false,"suffix":""},{"dropping-particle":"","family":"Netten","given":"Hinke","non-dropping-particle":"van","parse-names":false,"suffix":""},{"dropping-particle":"","family":"Schulzer","given":"Michael","non-dropping-particle":"","parse-names":false,"suffix":""},{"dropping-particle":"","family":"Mak","given":"Edwin","non-dropping-particle":"","parse-names":false,"suffix":""},{"dropping-particle":"","family":"Mckenzie","given":"Jessamyn","non-dropping-particle":"","parse-names":false,"suffix":""},{"dropping-particle":"","family":"Strongosky","given":"Audrey","non-dropping-particle":"","parse-names":false,"suffix":""},{"dropping-particle":"","family":"Sossi","given":"Vesna","non-dropping-particle":"","parse-names":false,"suffix":""},{"dropping-particle":"","family":"Ruth","given":"Thomas J.","non-dropping-particle":"","parse-names":false,"suffix":""},{"dropping-particle":"","family":"Lee","given":"Chong S.","non-dropping-particle":"","parse-names":false,"suffix":""},{"dropping-particle":"","family":"Farrer","given":"Matthew","non-dropping-particle":"","parse-names":false,"suffix":""},{"dropping-particle":"","family":"Gasser","given":"Thomas","non-dropping-particle":"","parse-names":false,"suffix":""},{"dropping-particle":"","family":"Uitti","given":"Ryan J.","non-dropping-particle":"","parse-names":false,"suffix":""},{"dropping-particle":"","family":"Calne","given":"Donald B.","non-dropping-particle":"","parse-names":false,"suffix":""},{"dropping-particle":"","family":"Wszolek","given":"Zbigniew K.","non-dropping-particle":"","parse-names":false,"suffix":""},{"dropping-particle":"","family":"Stoessl","given":"A. Jon","non-dropping-particle":"","parse-names":false,"suffix":""}],"container-title":"Brain","id":"ITEM-1","issue":"12","issued":{"date-parts":[["2005","12","1"]]},"page":"2777-2785","publisher":"Oxford University Press","title":"PET in LRRK2 mutations: comparison to sporadic Parkinson's disease and evidence for presymptomatic compensation","type":"article-journal","volume":"128"},"uris":["http://www.mendeley.com/documents/?uuid=1cb66bd0-69d9-3e9b-8a55-44d96da00287"]}],"mendeley":{"formattedCitation":"&lt;sup&gt;328&lt;/sup&gt;","plainTextFormattedCitation":"328","previouslyFormattedCitation":"&lt;sup&gt;328&lt;/sup&gt;"},"properties":{"noteIndex":0},"schema":"https://github.com/citation-style-language/schema/raw/master/csl-citation.json"}</w:instrText>
      </w:r>
      <w:r w:rsidR="00A96B56" w:rsidRPr="0082680A">
        <w:rPr>
          <w:lang w:val="en-GB"/>
        </w:rPr>
        <w:fldChar w:fldCharType="separate"/>
      </w:r>
      <w:r w:rsidR="00426B19" w:rsidRPr="00426B19">
        <w:rPr>
          <w:noProof/>
          <w:vertAlign w:val="superscript"/>
          <w:lang w:val="en-GB"/>
        </w:rPr>
        <w:t>328</w:t>
      </w:r>
      <w:r w:rsidR="00A96B56" w:rsidRPr="0082680A">
        <w:rPr>
          <w:lang w:val="en-GB"/>
        </w:rPr>
        <w:fldChar w:fldCharType="end"/>
      </w:r>
      <w:r w:rsidRPr="0082680A">
        <w:rPr>
          <w:lang w:val="en-GB"/>
        </w:rPr>
        <w:t xml:space="preserve">. Considering sporadic patients make up ~90% of the PD population, and </w:t>
      </w:r>
      <w:r w:rsidRPr="0082680A">
        <w:rPr>
          <w:i/>
          <w:lang w:val="en-GB"/>
        </w:rPr>
        <w:t xml:space="preserve">LRRK2 </w:t>
      </w:r>
      <w:r w:rsidRPr="0082680A">
        <w:rPr>
          <w:lang w:val="en-GB"/>
        </w:rPr>
        <w:t xml:space="preserve">mutations constitute the largest proportion of familial patients (~4%), understanding the mechanisms shared by sporadic and </w:t>
      </w:r>
      <w:r w:rsidRPr="0082680A">
        <w:rPr>
          <w:i/>
          <w:lang w:val="en-GB"/>
        </w:rPr>
        <w:t>LRRK2</w:t>
      </w:r>
      <w:r w:rsidRPr="0082680A">
        <w:rPr>
          <w:lang w:val="en-GB"/>
        </w:rPr>
        <w:t xml:space="preserve"> patients could have implications for a huge proportion of the PD population. </w:t>
      </w:r>
    </w:p>
    <w:p w14:paraId="796AB926" w14:textId="77777777" w:rsidR="000D27A7" w:rsidRPr="0082680A" w:rsidRDefault="000D27A7" w:rsidP="000D27A7">
      <w:pPr>
        <w:rPr>
          <w:lang w:val="en-GB"/>
        </w:rPr>
      </w:pPr>
    </w:p>
    <w:p w14:paraId="0E4DE5BD" w14:textId="27E4D8B9" w:rsidR="000D27A7" w:rsidRPr="00691215" w:rsidRDefault="000D27A7" w:rsidP="00691215">
      <w:pPr>
        <w:pStyle w:val="Heading3"/>
      </w:pPr>
      <w:bookmarkStart w:id="238" w:name="_Toc3211399"/>
      <w:r w:rsidRPr="00691215">
        <w:t xml:space="preserve">Developing a LRRK2/Sporadic </w:t>
      </w:r>
      <w:r w:rsidR="009734F3" w:rsidRPr="00691215">
        <w:t xml:space="preserve">PD </w:t>
      </w:r>
      <w:r w:rsidRPr="00691215">
        <w:t>Signature</w:t>
      </w:r>
      <w:bookmarkEnd w:id="238"/>
    </w:p>
    <w:p w14:paraId="1D4DCEFA" w14:textId="4A9218F6" w:rsidR="003277DE" w:rsidRDefault="000D27A7" w:rsidP="00D50007">
      <w:pPr>
        <w:rPr>
          <w:lang w:val="en-GB"/>
        </w:rPr>
      </w:pPr>
      <w:r w:rsidRPr="0082680A">
        <w:rPr>
          <w:lang w:val="en-GB"/>
        </w:rPr>
        <w:t xml:space="preserve">Sporadic and LRRK2 presentation of PD is classically late-onset and slow-progressive, so common mechanisms shared by these populations may point towards ways of postponing or slowing the progression of disease. Additionally, due to the unknown entity of genetic contributions to sporadic PD, and the incomplete penetrance of </w:t>
      </w:r>
      <w:r w:rsidRPr="0082680A">
        <w:rPr>
          <w:i/>
          <w:lang w:val="en-GB"/>
        </w:rPr>
        <w:t>LRRK2</w:t>
      </w:r>
      <w:r w:rsidRPr="0082680A">
        <w:rPr>
          <w:lang w:val="en-GB"/>
        </w:rPr>
        <w:t xml:space="preserve">, identification of novel genetic risk factors within the common signature may unlock key information </w:t>
      </w:r>
      <w:r w:rsidRPr="0082680A">
        <w:rPr>
          <w:lang w:val="en-GB"/>
        </w:rPr>
        <w:lastRenderedPageBreak/>
        <w:t>about how the disease manifests. We predict that the signature building approach we have developed will again be able to isolate a common dysfunctional coexpression module that is enriched for PD biology, genetic variants, and contains promising novel targets.</w:t>
      </w:r>
    </w:p>
    <w:p w14:paraId="64D4962D" w14:textId="2C9E82BB" w:rsidR="000D27A7" w:rsidRPr="0082680A" w:rsidRDefault="003277DE" w:rsidP="00D50007">
      <w:pPr>
        <w:rPr>
          <w:lang w:val="en-GB"/>
        </w:rPr>
      </w:pPr>
      <w:r>
        <w:rPr>
          <w:lang w:val="en-GB"/>
        </w:rPr>
        <w:br w:type="page"/>
      </w:r>
    </w:p>
    <w:p w14:paraId="4D0A0876" w14:textId="77777777" w:rsidR="000D27A7" w:rsidRPr="00842FD0" w:rsidRDefault="000D27A7" w:rsidP="00842FD0">
      <w:pPr>
        <w:pStyle w:val="Heading2"/>
      </w:pPr>
      <w:bookmarkStart w:id="239" w:name="_29zv99hzqbd3" w:colFirst="0" w:colLast="0"/>
      <w:bookmarkStart w:id="240" w:name="_Toc3211400"/>
      <w:bookmarkEnd w:id="239"/>
      <w:r w:rsidRPr="00842FD0">
        <w:lastRenderedPageBreak/>
        <w:t>Materials and Methods</w:t>
      </w:r>
      <w:bookmarkEnd w:id="240"/>
    </w:p>
    <w:p w14:paraId="14F38730" w14:textId="14EB9E0C" w:rsidR="000D27A7" w:rsidRPr="0082680A" w:rsidRDefault="000D27A7" w:rsidP="000D27A7">
      <w:pPr>
        <w:rPr>
          <w:lang w:val="en-GB"/>
        </w:rPr>
      </w:pPr>
      <w:r w:rsidRPr="0082680A">
        <w:rPr>
          <w:lang w:val="en-GB"/>
        </w:rPr>
        <w:t>Data were collected, processed and an</w:t>
      </w:r>
      <w:r w:rsidR="00BE597B" w:rsidRPr="0082680A">
        <w:rPr>
          <w:lang w:val="en-GB"/>
        </w:rPr>
        <w:t xml:space="preserve">alysed as described in Chapter 2. </w:t>
      </w:r>
      <w:r w:rsidRPr="0082680A">
        <w:rPr>
          <w:lang w:val="en-GB"/>
        </w:rPr>
        <w:t>Here we will describe any alterations made for the current analysis</w:t>
      </w:r>
      <w:r w:rsidR="009F01ED" w:rsidRPr="0082680A">
        <w:rPr>
          <w:lang w:val="en-GB"/>
        </w:rPr>
        <w:t xml:space="preserve">, also depicted in Figure </w:t>
      </w:r>
      <w:r w:rsidR="00CF3181">
        <w:rPr>
          <w:lang w:val="en-GB"/>
        </w:rPr>
        <w:t>1</w:t>
      </w:r>
      <w:r w:rsidR="00A876E6">
        <w:rPr>
          <w:lang w:val="en-GB"/>
        </w:rPr>
        <w:t>1</w:t>
      </w:r>
      <w:r w:rsidRPr="0082680A">
        <w:rPr>
          <w:lang w:val="en-GB"/>
        </w:rPr>
        <w:t xml:space="preserve">. </w:t>
      </w:r>
    </w:p>
    <w:p w14:paraId="5D95FAA0" w14:textId="77777777" w:rsidR="000D27A7" w:rsidRPr="00691215" w:rsidRDefault="000D27A7" w:rsidP="00691215">
      <w:pPr>
        <w:pStyle w:val="Heading3"/>
      </w:pPr>
      <w:bookmarkStart w:id="241" w:name="_ih6d0qihh61a" w:colFirst="0" w:colLast="0"/>
      <w:bookmarkStart w:id="242" w:name="_Toc3211401"/>
      <w:bookmarkEnd w:id="241"/>
      <w:r w:rsidRPr="00691215">
        <w:t>Data Selection, Pre-processing, and Quality Control</w:t>
      </w:r>
      <w:bookmarkEnd w:id="242"/>
    </w:p>
    <w:p w14:paraId="5DBCC32F" w14:textId="78758A0A" w:rsidR="000D27A7" w:rsidRPr="0082680A" w:rsidRDefault="000D27A7" w:rsidP="000D27A7">
      <w:pPr>
        <w:rPr>
          <w:lang w:val="en-GB"/>
        </w:rPr>
      </w:pPr>
      <w:r w:rsidRPr="0082680A">
        <w:rPr>
          <w:lang w:val="en-GB"/>
        </w:rPr>
        <w:t xml:space="preserve">Many studies did not specify explicitly whether they were sporadic or familial PD patients, therefore an assumption was made that these datasets were sporadic, as familial patients are extremely rare and usually well reported. </w:t>
      </w:r>
      <w:r w:rsidR="00A65B3C" w:rsidRPr="0082680A">
        <w:rPr>
          <w:lang w:val="en-GB"/>
        </w:rPr>
        <w:t>For sporadic PD, 9 microarray and 1 RNA-Seq datasets were identified from a variety of brain regions (Table 2</w:t>
      </w:r>
      <w:r w:rsidR="00A876E6">
        <w:rPr>
          <w:lang w:val="en-GB"/>
        </w:rPr>
        <w:t>4</w:t>
      </w:r>
      <w:r w:rsidR="00A65B3C" w:rsidRPr="0082680A">
        <w:rPr>
          <w:lang w:val="en-GB"/>
        </w:rPr>
        <w:t xml:space="preserve">). Two datasets, one frontal cortex and one substantia nigra, were obtained from the same series (GSE8397), meaning there is an overlap in patients, but the tissue is sampled from different brain regions. Two </w:t>
      </w:r>
      <w:r w:rsidR="00A65B3C" w:rsidRPr="0082680A">
        <w:rPr>
          <w:i/>
          <w:lang w:val="en-GB"/>
        </w:rPr>
        <w:t>LRRK2</w:t>
      </w:r>
      <w:r w:rsidR="00A65B3C" w:rsidRPr="0082680A">
        <w:rPr>
          <w:lang w:val="en-GB"/>
        </w:rPr>
        <w:t xml:space="preserve"> microarray datasets were sourced, one sampled from the putamen, and another from the locus coeruleus - a region also shown to degenerate in PD. </w:t>
      </w:r>
      <w:r w:rsidR="008D4E4B" w:rsidRPr="0082680A">
        <w:rPr>
          <w:lang w:val="en-GB"/>
        </w:rPr>
        <w:t xml:space="preserve">The five ALS datasets used in the TDP-43 investigation (including </w:t>
      </w:r>
      <w:r w:rsidR="008D4E4B" w:rsidRPr="0082680A">
        <w:rPr>
          <w:i/>
          <w:lang w:val="en-GB"/>
        </w:rPr>
        <w:t>C9orf72</w:t>
      </w:r>
      <w:r w:rsidR="008D4E4B" w:rsidRPr="0082680A">
        <w:rPr>
          <w:lang w:val="en-GB"/>
        </w:rPr>
        <w:t xml:space="preserve">, </w:t>
      </w:r>
      <w:r w:rsidR="008D4E4B" w:rsidRPr="0082680A">
        <w:rPr>
          <w:i/>
          <w:lang w:val="en-GB"/>
        </w:rPr>
        <w:t>SOD1</w:t>
      </w:r>
      <w:r w:rsidR="008D4E4B" w:rsidRPr="0082680A">
        <w:rPr>
          <w:lang w:val="en-GB"/>
        </w:rPr>
        <w:t xml:space="preserve">, </w:t>
      </w:r>
      <w:r w:rsidR="008D4E4B" w:rsidRPr="0082680A">
        <w:rPr>
          <w:i/>
          <w:lang w:val="en-GB"/>
        </w:rPr>
        <w:t>FUS</w:t>
      </w:r>
      <w:r w:rsidR="008D4E4B" w:rsidRPr="0082680A">
        <w:rPr>
          <w:lang w:val="en-GB"/>
        </w:rPr>
        <w:t xml:space="preserve"> and Sporadic populations) were used as controls for generic neurodegeneration signals (Table 2</w:t>
      </w:r>
      <w:r w:rsidR="00A876E6">
        <w:rPr>
          <w:lang w:val="en-GB"/>
        </w:rPr>
        <w:t>2</w:t>
      </w:r>
      <w:r w:rsidR="008D4E4B" w:rsidRPr="0082680A">
        <w:rPr>
          <w:lang w:val="en-GB"/>
        </w:rPr>
        <w:t>). Datasets representing familial patients with non-</w:t>
      </w:r>
      <w:r w:rsidR="008D4E4B" w:rsidRPr="0082680A">
        <w:rPr>
          <w:i/>
          <w:lang w:val="en-GB"/>
        </w:rPr>
        <w:t>LRRK2</w:t>
      </w:r>
      <w:r w:rsidR="008D4E4B" w:rsidRPr="0082680A">
        <w:rPr>
          <w:lang w:val="en-GB"/>
        </w:rPr>
        <w:t xml:space="preserve"> mutations were available only as peripheral blood samples, as no neuronal datasets met the data selection criteria (Table 2</w:t>
      </w:r>
      <w:r w:rsidR="00A876E6">
        <w:rPr>
          <w:lang w:val="en-GB"/>
        </w:rPr>
        <w:t>3</w:t>
      </w:r>
      <w:r w:rsidR="008D4E4B" w:rsidRPr="0082680A">
        <w:rPr>
          <w:lang w:val="en-GB"/>
        </w:rPr>
        <w:t xml:space="preserve">). Blood was considered acceptable as it is known to possess a certain degree of information on neuronal expression. </w:t>
      </w:r>
      <w:r w:rsidRPr="0082680A">
        <w:rPr>
          <w:lang w:val="en-GB"/>
        </w:rPr>
        <w:t xml:space="preserve">Neuronal expression datasets for non-LRRK2 familial patients could not be identified in public databases, therefore peripheral blood datasets were used. One unpublished LRRK2 fibroblast dataset was </w:t>
      </w:r>
      <w:r w:rsidR="005421F3" w:rsidRPr="0082680A">
        <w:rPr>
          <w:lang w:val="en-GB"/>
        </w:rPr>
        <w:t xml:space="preserve">generously </w:t>
      </w:r>
      <w:r w:rsidRPr="0082680A">
        <w:rPr>
          <w:lang w:val="en-GB"/>
        </w:rPr>
        <w:t xml:space="preserve">provided </w:t>
      </w:r>
      <w:r w:rsidR="00131D06" w:rsidRPr="0082680A">
        <w:rPr>
          <w:lang w:val="en-GB"/>
        </w:rPr>
        <w:t xml:space="preserve">from </w:t>
      </w:r>
      <w:r w:rsidR="005421F3" w:rsidRPr="0082680A">
        <w:rPr>
          <w:lang w:val="en-GB"/>
        </w:rPr>
        <w:t xml:space="preserve">Dr Robin Highly and Dr Heather Mortiboys </w:t>
      </w:r>
      <w:r w:rsidR="00131D06" w:rsidRPr="0082680A">
        <w:rPr>
          <w:lang w:val="en-GB"/>
        </w:rPr>
        <w:t>within SITraN</w:t>
      </w:r>
      <w:r w:rsidRPr="0082680A">
        <w:rPr>
          <w:lang w:val="en-GB"/>
        </w:rPr>
        <w:t>. Peripheral blood from sporadic PD patients was also used to represent unaffected disease tissue, though it is accepted that this could contain disease signatures from neuronal expression.</w:t>
      </w:r>
    </w:p>
    <w:p w14:paraId="2D98D3F7" w14:textId="77777777" w:rsidR="000D27A7" w:rsidRPr="0082680A" w:rsidRDefault="000D27A7" w:rsidP="000D27A7">
      <w:pPr>
        <w:rPr>
          <w:lang w:val="en-GB"/>
        </w:rPr>
      </w:pPr>
    </w:p>
    <w:p w14:paraId="5B08882A" w14:textId="78C13ADA" w:rsidR="000D27A7" w:rsidRDefault="000D27A7" w:rsidP="000D27A7">
      <w:pPr>
        <w:rPr>
          <w:lang w:val="en-GB"/>
        </w:rPr>
      </w:pPr>
      <w:r w:rsidRPr="0082680A">
        <w:rPr>
          <w:lang w:val="en-GB"/>
        </w:rPr>
        <w:t xml:space="preserve">As previously, </w:t>
      </w:r>
      <w:r w:rsidR="003277DE">
        <w:rPr>
          <w:lang w:val="en-GB"/>
        </w:rPr>
        <w:t xml:space="preserve">the one </w:t>
      </w:r>
      <w:r w:rsidR="00840875" w:rsidRPr="0082680A">
        <w:rPr>
          <w:lang w:val="en-GB"/>
        </w:rPr>
        <w:t>RNA-Seq</w:t>
      </w:r>
      <w:r w:rsidRPr="0082680A">
        <w:rPr>
          <w:lang w:val="en-GB"/>
        </w:rPr>
        <w:t xml:space="preserve"> data</w:t>
      </w:r>
      <w:r w:rsidR="003277DE">
        <w:rPr>
          <w:lang w:val="en-GB"/>
        </w:rPr>
        <w:t>set (GSE68719)</w:t>
      </w:r>
      <w:r w:rsidRPr="0082680A">
        <w:rPr>
          <w:lang w:val="en-GB"/>
        </w:rPr>
        <w:t xml:space="preserve"> was pre-processed using bcbio. </w:t>
      </w:r>
      <w:r w:rsidR="00BE597B" w:rsidRPr="0082680A">
        <w:rPr>
          <w:lang w:val="en-GB"/>
        </w:rPr>
        <w:t>However,</w:t>
      </w:r>
      <w:r w:rsidRPr="0082680A">
        <w:rPr>
          <w:lang w:val="en-GB"/>
        </w:rPr>
        <w:t xml:space="preserve"> protocol was adapted to use Salmon counts instead of HT-Seq counts. The Salmon approach to expression quantification was published in the time between experiments, and its alignment-free methodology has proved to outperform many other quantification tools </w:t>
      </w:r>
      <w:r w:rsidR="00D77332" w:rsidRPr="0082680A">
        <w:rPr>
          <w:lang w:val="en-GB"/>
        </w:rPr>
        <w:fldChar w:fldCharType="begin" w:fldLock="1"/>
      </w:r>
      <w:r w:rsidR="000507BA">
        <w:rPr>
          <w:lang w:val="en-GB"/>
        </w:rPr>
        <w:instrText>ADDIN CSL_CITATION {"citationItems":[{"id":"ITEM-1","itemData":{"DOI":"10.1038/nmeth.4197","ISSN":"1548-7105","PMID":"28263959","abstract":"We introduce Salmon, a lightweight method for quantifying transcript abundance from RNA-seq reads. Salmon combines a new dual-phase parallel inference algorithm and feature-rich bias models with an ultra-fast read mapping procedure. It is the first transcriptome-wide quantifier to correct for fragment GC-content bias, which, as we demonstrate here, substantially improves the accuracy of abundance estimates and the sensitivity of subsequent differential expression analysis.","author":[{"dropping-particle":"","family":"Patro","given":"Rob","non-dropping-particle":"","parse-names":false,"suffix":""},{"dropping-particle":"","family":"Duggal","given":"Geet","non-dropping-particle":"","parse-names":false,"suffix":""},{"dropping-particle":"","family":"Love","given":"Michael I","non-dropping-particle":"","parse-names":false,"suffix":""},{"dropping-particle":"","family":"Irizarry","given":"Rafael A","non-dropping-particle":"","parse-names":false,"suffix":""},{"dropping-particle":"","family":"Kingsford","given":"Carl","non-dropping-particle":"","parse-names":false,"suffix":""}],"container-title":"Nature methods","id":"ITEM-1","issue":"4","issued":{"date-parts":[["2017","4"]]},"page":"417-419","publisher":"NIH Public Access","title":"Salmon provides fast and bias-aware quantification of transcript expression.","type":"article-journal","volume":"14"},"uris":["http://www.mendeley.com/documents/?uuid=5ba9913d-9efb-3717-989f-eb53bb7b9b61"]},{"id":"ITEM-2","itemData":{"DOI":"10.1186/s12864-017-4002-1","ISSN":"1471-2164","abstract":"Alternatively spliced transcript isoforms are commonly observed in higher eukaryotes. The expression levels of these isoforms are key for understanding normal functions in healthy tissues and the progression of disease states. However, accurate quantification of expression at the transcript level is limited with current RNA-seq technologies because of, for example, limited read length and the cost of deep sequencing. A large number of tools have been developed to tackle this problem, and we performed a comprehensive evaluation of these tools using both experimental and simulated RNA-seq datasets. We found that recently developed alignment-free tools are both fast and accurate. The accuracy of all methods was mainly influenced by the complexity of gene structures and caution must be taken when interpreting quantification results for short transcripts. Using TP53 gene simulation, we discovered that both sequencing depth and the relative abundance of different isoforms affect quantification accuracy Our comprehensive evaluation helps data analysts to make informed choice when selecting computational tools for isoform quantification.","author":[{"dropping-particle":"","family":"Zhang","given":"Chi","non-dropping-particle":"","parse-names":false,"suffix":""},{"dropping-particle":"","family":"Zhang","given":"Baohong","non-dropping-particle":"","parse-names":false,"suffix":""},{"dropping-particle":"","family":"Lin","given":"Lih-Ling","non-dropping-particle":"","parse-names":false,"suffix":""},{"dropping-particle":"","family":"Zhao","given":"Shanrong","non-dropping-particle":"","parse-names":false,"suffix":""}],"container-title":"BMC Genomics","id":"ITEM-2","issue":"1","issued":{"date-parts":[["2017","12","7"]]},"page":"583","publisher":"BioMed Central","title":"Evaluation and comparison of computational tools for RNA-seq isoform quantification","type":"article-journal","volume":"18"},"uris":["http://www.mendeley.com/documents/?uuid=09646de5-f207-44a8-b6cb-9fe6b6015fdb"]},{"id":"ITEM-3","itemData":{"DOI":"10.1038/s41598-017-01617-3","ISSN":"2045-2322","abstract":"RNA-sequencing has become the gold standard for whole-transcriptome gene expression quantification. Multiple algorithms have been developed to derive gene counts from sequencing reads. While a number of benchmarking studies have been conducted, the question remains how individual methods perform at accurately quantifying gene expression levels from RNA-sequencing reads. We performed an independent benchmarking study using RNA-sequencing data from the well established MAQCA and MAQCB reference samples. RNA-sequencing reads were processed using five workflows (Tophat-HTSeq, Tophat-Cufflinks, STAR-HTSeq, Kallisto and Salmon) and resulting gene expression measurements were compared to expression data generated by wet-lab validated qPCR assays for all protein coding genes. All methods showed high gene expression correlations with qPCR data. When comparing gene expression fold changes between MAQCA and MAQCB samples, about 85% of the genes showed consistent results between RNA-sequencing and qPCR data. Of note, each method revealed a small but specific gene set with inconsistent expression measurements. A significant proportion of these method-specific inconsistent genes were reproducibly identified in independent datasets. These genes were typically smaller, had fewer exons, and were lower expressed compared to genes with consistent expression measurements. We propose that careful validation is warranted when evaluating RNA-seq based expression profiles for this specific gene set.","author":[{"dropping-particle":"","family":"Everaert","given":"Celine","non-dropping-particle":"","parse-names":false,"suffix":""},{"dropping-particle":"","family":"Luypaert","given":"Manuel","non-dropping-particle":"","parse-names":false,"suffix":""},{"dropping-particle":"V.","family":"Maag","given":"Jesper L.","non-dropping-particle":"","parse-names":false,"suffix":""},{"dropping-particle":"","family":"Cheng","given":"Quek Xiu","non-dropping-particle":"","parse-names":false,"suffix":""},{"dropping-particle":"","family":"Dinger","given":"Marcel E.","non-dropping-particle":"","parse-names":false,"suffix":""},{"dropping-particle":"","family":"Hellemans","given":"Jan","non-dropping-particle":"","parse-names":false,"suffix":""},{"dropping-particle":"","family":"Mestdagh","given":"Pieter","non-dropping-particle":"","parse-names":false,"suffix":""}],"container-title":"Scientific Reports","id":"ITEM-3","issue":"1","issued":{"date-parts":[["2017","12","8"]]},"page":"1559","publisher":"Nature Publishing Group","title":"Benchmarking of RNA-sequencing analysis workflows using whole-transcriptome RT-qPCR expression data","type":"article-journal","volume":"7"},"uris":["http://www.mendeley.com/documents/?uuid=a9ed10cb-7e5d-43b8-9bbd-11eb48bf6df6"]}],"mendeley":{"formattedCitation":"&lt;sup&gt;329–331&lt;/sup&gt;","plainTextFormattedCitation":"329–331","previouslyFormattedCitation":"&lt;sup&gt;329–331&lt;/sup&gt;"},"properties":{"noteIndex":0},"schema":"https://github.com/citation-style-language/schema/raw/master/csl-citation.json"}</w:instrText>
      </w:r>
      <w:r w:rsidR="00D77332" w:rsidRPr="0082680A">
        <w:rPr>
          <w:lang w:val="en-GB"/>
        </w:rPr>
        <w:fldChar w:fldCharType="separate"/>
      </w:r>
      <w:r w:rsidR="00426B19" w:rsidRPr="00426B19">
        <w:rPr>
          <w:noProof/>
          <w:vertAlign w:val="superscript"/>
          <w:lang w:val="en-GB"/>
        </w:rPr>
        <w:t>329–331</w:t>
      </w:r>
      <w:r w:rsidR="00D77332" w:rsidRPr="0082680A">
        <w:rPr>
          <w:lang w:val="en-GB"/>
        </w:rPr>
        <w:fldChar w:fldCharType="end"/>
      </w:r>
      <w:r w:rsidRPr="0082680A">
        <w:rPr>
          <w:lang w:val="en-GB"/>
        </w:rPr>
        <w:t>. Alignment-free, or ‘pseudoaligners’ do not directly align reads to the reference genome, instead breaking up reads into k-mers and assigning them to transcripts. This approach has been shown to drastically reduce computation time without</w:t>
      </w:r>
      <w:r w:rsidR="00AB19C8" w:rsidRPr="0082680A">
        <w:rPr>
          <w:lang w:val="en-GB"/>
        </w:rPr>
        <w:t xml:space="preserve"> significantly</w:t>
      </w:r>
      <w:r w:rsidRPr="0082680A">
        <w:rPr>
          <w:lang w:val="en-GB"/>
        </w:rPr>
        <w:t xml:space="preserve"> impacting performance </w:t>
      </w:r>
      <w:r w:rsidR="00D77332" w:rsidRPr="0082680A">
        <w:rPr>
          <w:lang w:val="en-GB"/>
        </w:rPr>
        <w:fldChar w:fldCharType="begin" w:fldLock="1"/>
      </w:r>
      <w:r w:rsidR="000507BA">
        <w:rPr>
          <w:lang w:val="en-GB"/>
        </w:rPr>
        <w:instrText>ADDIN CSL_CITATION {"citationItems":[{"id":"ITEM-1","itemData":{"DOI":"10.1186/s12864-017-4002-1","ISSN":"1471-2164","abstract":"Alternatively spliced transcript isoforms are commonly observed in higher eukaryotes. The expression levels of these isoforms are key for understanding normal functions in healthy tissues and the progression of disease states. However, accurate quantification of expression at the transcript level is limited with current RNA-seq technologies because of, for example, limited read length and the cost of deep sequencing. A large number of tools have been developed to tackle this problem, and we performed a comprehensive evaluation of these tools using both experimental and simulated RNA-seq datasets. We found that recently developed alignment-free tools are both fast and accurate. The accuracy of all methods was mainly influenced by the complexity of gene structures and caution must be taken when interpreting quantification results for short transcripts. Using TP53 gene simulation, we discovered that both sequencing depth and the relative abundance of different isoforms affect quantification accuracy Our comprehensive evaluation helps data analysts to make informed choice when selecting computational tools for isoform quantification.","author":[{"dropping-particle":"","family":"Zhang","given":"Chi","non-dropping-particle":"","parse-names":false,"suffix":""},{"dropping-particle":"","family":"Zhang","given":"Baohong","non-dropping-particle":"","parse-names":false,"suffix":""},{"dropping-particle":"","family":"Lin","given":"Lih-Ling","non-dropping-particle":"","parse-names":false,"suffix":""},{"dropping-particle":"","family":"Zhao","given":"Shanrong","non-dropping-particle":"","parse-names":false,"suffix":""}],"container-title":"BMC Genomics","id":"ITEM-1","issue":"1","issued":{"date-parts":[["2017","12","7"]]},"page":"583","publisher":"BioMed Central","title":"Evaluation and comparison of computational tools for RNA-seq isoform quantification","type":"article-journal","volume":"18"},"uris":["http://www.mendeley.com/documents/?uuid=09646de5-f207-44a8-b6cb-9fe6b6015fdb"]},{"id":"ITEM-2","itemData":{"DOI":"10.1038/s41598-017-01617-3","ISSN":"2045-2322","abstract":"RNA-sequencing has become the gold standard for whole-transcriptome gene expression quantification. Multiple algorithms have been developed to derive gene counts from sequencing reads. While a number of benchmarking studies have been conducted, the question remains how individual methods perform at accurately quantifying gene expression levels from RNA-sequencing reads. We performed an independent benchmarking study using RNA-sequencing data from the well established MAQCA and MAQCB reference samples. RNA-sequencing reads were processed using five workflows (Tophat-HTSeq, Tophat-Cufflinks, STAR-HTSeq, Kallisto and Salmon) and resulting gene expression measurements were compared to expression data generated by wet-lab validated qPCR assays for all protein coding genes. All methods showed high gene expression correlations with qPCR data. When comparing gene expression fold changes between MAQCA and MAQCB samples, about 85% of the genes showed consistent results between RNA-sequencing and qPCR data. Of note, each method revealed a small but specific gene set with inconsistent expression measurements. A significant proportion of these method-specific inconsistent genes were reproducibly identified in independent datasets. These genes were typically smaller, had fewer exons, and were lower expressed compared to genes with consistent expression measurements. We propose that careful validation is warranted when evaluating RNA-seq based expression profiles for this specific gene set.","author":[{"dropping-particle":"","family":"Everaert","given":"Celine","non-dropping-particle":"","parse-names":false,"suffix":""},{"dropping-particle":"","family":"Luypaert","given":"Manuel","non-dropping-particle":"","parse-names":false,"suffix":""},{"dropping-particle":"V.","family":"Maag","given":"Jesper L.","non-dropping-particle":"","parse-names":false,"suffix":""},{"dropping-particle":"","family":"Cheng","given":"Quek Xiu","non-dropping-particle":"","parse-names":false,"suffix":""},{"dropping-particle":"","family":"Dinger","given":"Marcel E.","non-dropping-particle":"","parse-names":false,"suffix":""},{"dropping-particle":"","family":"Hellemans","given":"Jan","non-dropping-particle":"","parse-names":false,"suffix":""},{"dropping-particle":"","family":"Mestdagh","given":"Pieter","non-dropping-particle":"","parse-names":false,"suffix":""}],"container-title":"Scientific Reports","id":"ITEM-2","issue":"1","issued":{"date-parts":[["2017","12","8"]]},"page":"1559","publisher":"Nature Publishing Group","title":"Benchmarking of RNA-sequencing analysis workflows using whole-transcriptome RT-qPCR expression data","type":"article-journal","volume":"7"},"uris":["http://www.mendeley.com/documents/?uuid=a9ed10cb-7e5d-43b8-9bbd-11eb48bf6df6"]}],"mendeley":{"formattedCitation":"&lt;sup&gt;330,331&lt;/sup&gt;","plainTextFormattedCitation":"330,331","previouslyFormattedCitation":"&lt;sup&gt;330,331&lt;/sup&gt;"},"properties":{"noteIndex":0},"schema":"https://github.com/citation-style-language/schema/raw/master/csl-citation.json"}</w:instrText>
      </w:r>
      <w:r w:rsidR="00D77332" w:rsidRPr="0082680A">
        <w:rPr>
          <w:lang w:val="en-GB"/>
        </w:rPr>
        <w:fldChar w:fldCharType="separate"/>
      </w:r>
      <w:r w:rsidR="00426B19" w:rsidRPr="00426B19">
        <w:rPr>
          <w:noProof/>
          <w:vertAlign w:val="superscript"/>
          <w:lang w:val="en-GB"/>
        </w:rPr>
        <w:t>330,331</w:t>
      </w:r>
      <w:r w:rsidR="00D77332" w:rsidRPr="0082680A">
        <w:rPr>
          <w:lang w:val="en-GB"/>
        </w:rPr>
        <w:fldChar w:fldCharType="end"/>
      </w:r>
      <w:r w:rsidRPr="0082680A">
        <w:rPr>
          <w:lang w:val="en-GB"/>
        </w:rPr>
        <w:t xml:space="preserve">.  </w:t>
      </w:r>
    </w:p>
    <w:p w14:paraId="393216D7" w14:textId="49C7E272" w:rsidR="008D4E4B" w:rsidRDefault="008D4E4B" w:rsidP="000D27A7">
      <w:pPr>
        <w:rPr>
          <w:lang w:val="en-GB"/>
        </w:rPr>
      </w:pPr>
    </w:p>
    <w:p w14:paraId="2C45CDB1" w14:textId="77777777" w:rsidR="008D4E4B" w:rsidRPr="0082680A" w:rsidRDefault="008D4E4B" w:rsidP="008D4E4B">
      <w:pPr>
        <w:pStyle w:val="NoSpacing"/>
        <w:rPr>
          <w:lang w:val="en-GB"/>
        </w:rPr>
      </w:pPr>
      <w:r w:rsidRPr="0082680A">
        <w:rPr>
          <w:noProof/>
          <w:lang w:val="en-GB"/>
        </w:rPr>
        <w:lastRenderedPageBreak/>
        <w:drawing>
          <wp:inline distT="0" distB="0" distL="0" distR="0" wp14:anchorId="4B0DC83C" wp14:editId="6AC779CA">
            <wp:extent cx="5074718" cy="2863121"/>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D_ConditionGeneric.pdf"/>
                    <pic:cNvPicPr/>
                  </pic:nvPicPr>
                  <pic:blipFill rotWithShape="1">
                    <a:blip r:embed="rId92">
                      <a:extLst>
                        <a:ext uri="{28A0092B-C50C-407E-A947-70E740481C1C}">
                          <a14:useLocalDpi xmlns:a14="http://schemas.microsoft.com/office/drawing/2010/main" val="0"/>
                        </a:ext>
                      </a:extLst>
                    </a:blip>
                    <a:srcRect b="16928"/>
                    <a:stretch/>
                  </pic:blipFill>
                  <pic:spPr bwMode="auto">
                    <a:xfrm>
                      <a:off x="0" y="0"/>
                      <a:ext cx="5090864" cy="2872231"/>
                    </a:xfrm>
                    <a:prstGeom prst="rect">
                      <a:avLst/>
                    </a:prstGeom>
                    <a:ln>
                      <a:noFill/>
                    </a:ln>
                    <a:extLst>
                      <a:ext uri="{53640926-AAD7-44D8-BBD7-CCE9431645EC}">
                        <a14:shadowObscured xmlns:a14="http://schemas.microsoft.com/office/drawing/2010/main"/>
                      </a:ext>
                    </a:extLst>
                  </pic:spPr>
                </pic:pic>
              </a:graphicData>
            </a:graphic>
          </wp:inline>
        </w:drawing>
      </w:r>
    </w:p>
    <w:p w14:paraId="0CF0C703" w14:textId="72992B24" w:rsidR="008D4E4B" w:rsidRPr="00EE1FCF" w:rsidRDefault="008D4E4B" w:rsidP="008D4E4B">
      <w:pPr>
        <w:pStyle w:val="Caption"/>
        <w:keepNext/>
        <w:rPr>
          <w:b w:val="0"/>
        </w:rPr>
      </w:pPr>
      <w:bookmarkStart w:id="243" w:name="_Toc3225936"/>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22</w:t>
      </w:r>
      <w:r w:rsidR="00483095">
        <w:rPr>
          <w:lang w:val="en-GB"/>
        </w:rPr>
        <w:fldChar w:fldCharType="end"/>
      </w:r>
      <w:r w:rsidRPr="0082680A">
        <w:rPr>
          <w:lang w:val="en-GB"/>
        </w:rPr>
        <w:t xml:space="preserve">: </w:t>
      </w:r>
      <w:r w:rsidRPr="00EE1FCF">
        <w:rPr>
          <w:lang w:val="en-GB"/>
        </w:rPr>
        <w:t xml:space="preserve">Datasets used to build a PD </w:t>
      </w:r>
      <w:r w:rsidR="00500574">
        <w:rPr>
          <w:lang w:val="en-GB"/>
        </w:rPr>
        <w:t>population</w:t>
      </w:r>
      <w:r w:rsidRPr="00EE1FCF">
        <w:rPr>
          <w:lang w:val="en-GB"/>
        </w:rPr>
        <w:t>-generic signature</w:t>
      </w:r>
      <w:r>
        <w:rPr>
          <w:lang w:val="en-GB"/>
        </w:rPr>
        <w:t xml:space="preserve">. </w:t>
      </w:r>
      <w:r w:rsidRPr="006F3FC8">
        <w:rPr>
          <w:b w:val="0"/>
          <w:i/>
        </w:rPr>
        <w:t>Tissue</w:t>
      </w:r>
      <w:r>
        <w:rPr>
          <w:b w:val="0"/>
        </w:rPr>
        <w:t xml:space="preserve"> indicates the source of the biological material. </w:t>
      </w:r>
      <w:r w:rsidRPr="006F3FC8">
        <w:rPr>
          <w:b w:val="0"/>
          <w:i/>
        </w:rPr>
        <w:t>Disease</w:t>
      </w:r>
      <w:r>
        <w:rPr>
          <w:b w:val="0"/>
        </w:rPr>
        <w:t xml:space="preserve"> indicates the medical condition patients had been diagnosed with. </w:t>
      </w:r>
      <w:r w:rsidR="00076A3D">
        <w:rPr>
          <w:b w:val="0"/>
          <w:i/>
        </w:rPr>
        <w:t>Variant</w:t>
      </w:r>
      <w:r>
        <w:rPr>
          <w:i/>
        </w:rPr>
        <w:t xml:space="preserve"> </w:t>
      </w:r>
      <w:r>
        <w:rPr>
          <w:b w:val="0"/>
        </w:rPr>
        <w:t xml:space="preserve">indicates whether the dataset contains individuals with a known genetic cause, or individuals with sporadic status. </w:t>
      </w:r>
      <w:r>
        <w:rPr>
          <w:b w:val="0"/>
          <w:i/>
        </w:rPr>
        <w:t>Platform</w:t>
      </w:r>
      <w:r>
        <w:rPr>
          <w:b w:val="0"/>
        </w:rPr>
        <w:t xml:space="preserve"> indicates the technical platform used to collect the expression data. Affymetrix platforms are microarray, Illumina are RNA-Seq. GEO ID is the reference provided by GEO to locate the original dataset. </w:t>
      </w:r>
      <w:r>
        <w:rPr>
          <w:b w:val="0"/>
          <w:i/>
        </w:rPr>
        <w:t>Publication</w:t>
      </w:r>
      <w:r>
        <w:rPr>
          <w:b w:val="0"/>
        </w:rPr>
        <w:t xml:space="preserve"> contains the reference supplied with the data on GEO. LCM = Laser Capture Microdissected</w:t>
      </w:r>
      <w:bookmarkEnd w:id="243"/>
    </w:p>
    <w:p w14:paraId="0C0F6B0D" w14:textId="77777777" w:rsidR="008D4E4B" w:rsidRPr="0082680A" w:rsidRDefault="008D4E4B" w:rsidP="008D4E4B">
      <w:pPr>
        <w:pStyle w:val="NoSpacing"/>
        <w:rPr>
          <w:lang w:val="en-GB"/>
        </w:rPr>
      </w:pPr>
      <w:r w:rsidRPr="0082680A">
        <w:rPr>
          <w:noProof/>
          <w:lang w:val="en-GB"/>
        </w:rPr>
        <w:drawing>
          <wp:inline distT="0" distB="0" distL="0" distR="0" wp14:anchorId="01982BFA" wp14:editId="45DBD762">
            <wp:extent cx="5145426" cy="281065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D_TissueNonspecific.pdf"/>
                    <pic:cNvPicPr/>
                  </pic:nvPicPr>
                  <pic:blipFill rotWithShape="1">
                    <a:blip r:embed="rId93">
                      <a:extLst>
                        <a:ext uri="{28A0092B-C50C-407E-A947-70E740481C1C}">
                          <a14:useLocalDpi xmlns:a14="http://schemas.microsoft.com/office/drawing/2010/main" val="0"/>
                        </a:ext>
                      </a:extLst>
                    </a:blip>
                    <a:srcRect b="19571"/>
                    <a:stretch/>
                  </pic:blipFill>
                  <pic:spPr bwMode="auto">
                    <a:xfrm>
                      <a:off x="0" y="0"/>
                      <a:ext cx="5154622" cy="2815679"/>
                    </a:xfrm>
                    <a:prstGeom prst="rect">
                      <a:avLst/>
                    </a:prstGeom>
                    <a:ln>
                      <a:noFill/>
                    </a:ln>
                    <a:extLst>
                      <a:ext uri="{53640926-AAD7-44D8-BBD7-CCE9431645EC}">
                        <a14:shadowObscured xmlns:a14="http://schemas.microsoft.com/office/drawing/2010/main"/>
                      </a:ext>
                    </a:extLst>
                  </pic:spPr>
                </pic:pic>
              </a:graphicData>
            </a:graphic>
          </wp:inline>
        </w:drawing>
      </w:r>
    </w:p>
    <w:p w14:paraId="14470CDA" w14:textId="2DC40A53" w:rsidR="008D4E4B" w:rsidRDefault="008D4E4B" w:rsidP="008D4E4B">
      <w:pPr>
        <w:pStyle w:val="Caption"/>
        <w:keepNext/>
        <w:rPr>
          <w:lang w:val="en-GB"/>
        </w:rPr>
      </w:pPr>
      <w:bookmarkStart w:id="244" w:name="_Toc3225937"/>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23</w:t>
      </w:r>
      <w:r w:rsidR="00483095">
        <w:rPr>
          <w:lang w:val="en-GB"/>
        </w:rPr>
        <w:fldChar w:fldCharType="end"/>
      </w:r>
      <w:r w:rsidRPr="0082680A">
        <w:rPr>
          <w:lang w:val="en-GB"/>
        </w:rPr>
        <w:t xml:space="preserve">: </w:t>
      </w:r>
      <w:r w:rsidRPr="00EE1FCF">
        <w:rPr>
          <w:lang w:val="en-GB"/>
        </w:rPr>
        <w:t>Datasets used to build a PD tissue-nonspecific signature</w:t>
      </w:r>
      <w:r>
        <w:rPr>
          <w:lang w:val="en-GB"/>
        </w:rPr>
        <w:t xml:space="preserve">. </w:t>
      </w:r>
      <w:r w:rsidRPr="006F3FC8">
        <w:rPr>
          <w:b w:val="0"/>
          <w:i/>
        </w:rPr>
        <w:t>Tissue</w:t>
      </w:r>
      <w:r>
        <w:rPr>
          <w:b w:val="0"/>
        </w:rPr>
        <w:t xml:space="preserve"> indicates the source of the biological material. </w:t>
      </w:r>
      <w:r w:rsidRPr="006F3FC8">
        <w:rPr>
          <w:b w:val="0"/>
          <w:i/>
        </w:rPr>
        <w:t>Disease</w:t>
      </w:r>
      <w:r>
        <w:rPr>
          <w:b w:val="0"/>
        </w:rPr>
        <w:t xml:space="preserve"> indicates the medical condition patients had been diagnosed with. </w:t>
      </w:r>
      <w:r w:rsidR="00076A3D">
        <w:rPr>
          <w:b w:val="0"/>
          <w:i/>
        </w:rPr>
        <w:t>Variant</w:t>
      </w:r>
      <w:r>
        <w:rPr>
          <w:i/>
        </w:rPr>
        <w:t xml:space="preserve"> </w:t>
      </w:r>
      <w:r>
        <w:rPr>
          <w:b w:val="0"/>
        </w:rPr>
        <w:t xml:space="preserve">indicates whether the dataset contains individuals with a known genetic cause, or individuals with sporadic status. </w:t>
      </w:r>
      <w:r>
        <w:rPr>
          <w:b w:val="0"/>
          <w:i/>
        </w:rPr>
        <w:t>Platform</w:t>
      </w:r>
      <w:r>
        <w:rPr>
          <w:b w:val="0"/>
        </w:rPr>
        <w:t xml:space="preserve"> indicates the technical platform used to collect the expression data. Affymetrix platforms are microarray, Illumina are RNA-Seq. GEO ID is the reference provided by GEO to locate the original dataset. </w:t>
      </w:r>
      <w:r>
        <w:rPr>
          <w:b w:val="0"/>
          <w:i/>
        </w:rPr>
        <w:t>Publication</w:t>
      </w:r>
      <w:r>
        <w:rPr>
          <w:b w:val="0"/>
        </w:rPr>
        <w:t xml:space="preserve"> contains the reference supplied with the data on GEO. LCM = Laser Capture Microdissected.</w:t>
      </w:r>
      <w:bookmarkEnd w:id="244"/>
      <w:r w:rsidRPr="0082680A">
        <w:rPr>
          <w:lang w:val="en-GB"/>
        </w:rPr>
        <w:br w:type="page"/>
      </w:r>
    </w:p>
    <w:p w14:paraId="1F7ACDAD" w14:textId="77AE30C8" w:rsidR="00A65B3C" w:rsidRPr="00A876E6" w:rsidRDefault="00A876E6" w:rsidP="00A876E6">
      <w:pPr>
        <w:ind w:left="-142"/>
        <w:rPr>
          <w:lang w:val="en-GB"/>
        </w:rPr>
      </w:pPr>
      <w:r>
        <w:rPr>
          <w:noProof/>
        </w:rPr>
        <w:lastRenderedPageBreak/>
        <mc:AlternateContent>
          <mc:Choice Requires="wps">
            <w:drawing>
              <wp:anchor distT="0" distB="0" distL="114300" distR="114300" simplePos="0" relativeHeight="251929600" behindDoc="0" locked="0" layoutInCell="1" allowOverlap="1" wp14:anchorId="45CA4334" wp14:editId="567B8757">
                <wp:simplePos x="0" y="0"/>
                <wp:positionH relativeFrom="column">
                  <wp:posOffset>-3963035</wp:posOffset>
                </wp:positionH>
                <wp:positionV relativeFrom="paragraph">
                  <wp:posOffset>3595370</wp:posOffset>
                </wp:positionV>
                <wp:extent cx="7180580" cy="635"/>
                <wp:effectExtent l="0" t="5398" r="2223" b="2222"/>
                <wp:wrapSquare wrapText="bothSides"/>
                <wp:docPr id="315" name="Text Box 315"/>
                <wp:cNvGraphicFramePr/>
                <a:graphic xmlns:a="http://schemas.openxmlformats.org/drawingml/2006/main">
                  <a:graphicData uri="http://schemas.microsoft.com/office/word/2010/wordprocessingShape">
                    <wps:wsp>
                      <wps:cNvSpPr txBox="1"/>
                      <wps:spPr>
                        <a:xfrm rot="5400000">
                          <a:off x="0" y="0"/>
                          <a:ext cx="7180580" cy="635"/>
                        </a:xfrm>
                        <a:prstGeom prst="rect">
                          <a:avLst/>
                        </a:prstGeom>
                        <a:solidFill>
                          <a:prstClr val="white"/>
                        </a:solidFill>
                        <a:ln>
                          <a:noFill/>
                        </a:ln>
                      </wps:spPr>
                      <wps:txbx>
                        <w:txbxContent>
                          <w:p w14:paraId="0915E0CA" w14:textId="05C99E19" w:rsidR="00C2072C" w:rsidRPr="00E32D69" w:rsidRDefault="00C2072C" w:rsidP="00A876E6">
                            <w:pPr>
                              <w:keepNext/>
                              <w:spacing w:line="276" w:lineRule="auto"/>
                            </w:pPr>
                            <w:bookmarkStart w:id="245" w:name="_Toc3225938"/>
                            <w:r w:rsidRPr="00A876E6">
                              <w:rPr>
                                <w:b/>
                              </w:rPr>
                              <w:t xml:space="preserve">Table </w:t>
                            </w:r>
                            <w:r w:rsidRPr="00A876E6">
                              <w:rPr>
                                <w:b/>
                              </w:rPr>
                              <w:fldChar w:fldCharType="begin"/>
                            </w:r>
                            <w:r w:rsidRPr="00A876E6">
                              <w:rPr>
                                <w:b/>
                              </w:rPr>
                              <w:instrText xml:space="preserve"> SEQ Table \* ARABIC </w:instrText>
                            </w:r>
                            <w:r w:rsidRPr="00A876E6">
                              <w:rPr>
                                <w:b/>
                              </w:rPr>
                              <w:fldChar w:fldCharType="separate"/>
                            </w:r>
                            <w:r w:rsidRPr="00A876E6">
                              <w:rPr>
                                <w:b/>
                                <w:noProof/>
                              </w:rPr>
                              <w:t>24</w:t>
                            </w:r>
                            <w:r w:rsidRPr="00A876E6">
                              <w:rPr>
                                <w:b/>
                              </w:rPr>
                              <w:fldChar w:fldCharType="end"/>
                            </w:r>
                            <w:r w:rsidRPr="00A876E6">
                              <w:rPr>
                                <w:b/>
                              </w:rPr>
                              <w:t>:</w:t>
                            </w:r>
                            <w:r w:rsidRPr="00A65B3C">
                              <w:rPr>
                                <w:b/>
                              </w:rPr>
                              <w:t xml:space="preserve"> Datasets from sporadic or LRRK2 PD patients. </w:t>
                            </w:r>
                            <w:r w:rsidRPr="00076A3D">
                              <w:rPr>
                                <w:i/>
                              </w:rPr>
                              <w:t>Tissue</w:t>
                            </w:r>
                            <w:r w:rsidRPr="00A65B3C">
                              <w:t xml:space="preserve"> indicates the source of the biological material. </w:t>
                            </w:r>
                            <w:r w:rsidRPr="00076A3D">
                              <w:rPr>
                                <w:i/>
                              </w:rPr>
                              <w:t>Disease</w:t>
                            </w:r>
                            <w:r w:rsidRPr="00A65B3C">
                              <w:t xml:space="preserve"> indicates the medical condition patients had been diagnosed with. </w:t>
                            </w:r>
                            <w:r w:rsidRPr="00076A3D">
                              <w:rPr>
                                <w:i/>
                              </w:rPr>
                              <w:t>Variant</w:t>
                            </w:r>
                            <w:r>
                              <w:t xml:space="preserve"> </w:t>
                            </w:r>
                            <w:r w:rsidRPr="00A65B3C">
                              <w:t xml:space="preserve">indicates whether the dataset contains individuals with a known genetic cause, or individuals with sporadic status. </w:t>
                            </w:r>
                            <w:r w:rsidRPr="00076A3D">
                              <w:rPr>
                                <w:i/>
                              </w:rPr>
                              <w:t>Platform</w:t>
                            </w:r>
                            <w:r w:rsidRPr="00A65B3C">
                              <w:t xml:space="preserve"> indicates the technical platform used to collect the expression data. Affymetrix platforms are microarray, Illumina are RNA-Seq. </w:t>
                            </w:r>
                            <w:r w:rsidRPr="00076A3D">
                              <w:rPr>
                                <w:i/>
                              </w:rPr>
                              <w:t>GEO ID</w:t>
                            </w:r>
                            <w:r w:rsidRPr="00A65B3C">
                              <w:t xml:space="preserve"> is the reference provided by GEO to locate the original dataset. </w:t>
                            </w:r>
                            <w:r w:rsidRPr="00076A3D">
                              <w:rPr>
                                <w:i/>
                              </w:rPr>
                              <w:t>Publication</w:t>
                            </w:r>
                            <w:r w:rsidRPr="00A65B3C">
                              <w:t xml:space="preserve"> contains the reference supplied with the data on GEO. LCM = Laser Capture Microdissecte</w:t>
                            </w:r>
                            <w:r>
                              <w:t>d</w:t>
                            </w:r>
                            <w:bookmarkEnd w:id="2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CA4334" id="Text Box 315" o:spid="_x0000_s1029" type="#_x0000_t202" style="position:absolute;left:0;text-align:left;margin-left:-312.05pt;margin-top:283.1pt;width:565.4pt;height:.05pt;rotation:90;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" stroked="f">
                <v:textbox style="mso-fit-shape-to-text:t" inset="0,0,0,0">
                  <w:txbxContent>
                    <w:p w14:paraId="0915E0CA" w14:textId="05C99E19" w:rsidR="00C2072C" w:rsidRPr="00E32D69" w:rsidRDefault="00C2072C" w:rsidP="00A876E6">
                      <w:pPr>
                        <w:keepNext/>
                        <w:spacing w:line="276" w:lineRule="auto"/>
                      </w:pPr>
                      <w:bookmarkStart w:id="246" w:name="_Toc3225938"/>
                      <w:r w:rsidRPr="00A876E6">
                        <w:rPr>
                          <w:b/>
                        </w:rPr>
                        <w:t xml:space="preserve">Table </w:t>
                      </w:r>
                      <w:r w:rsidRPr="00A876E6">
                        <w:rPr>
                          <w:b/>
                        </w:rPr>
                        <w:fldChar w:fldCharType="begin"/>
                      </w:r>
                      <w:r w:rsidRPr="00A876E6">
                        <w:rPr>
                          <w:b/>
                        </w:rPr>
                        <w:instrText xml:space="preserve"> SEQ Table \* ARABIC </w:instrText>
                      </w:r>
                      <w:r w:rsidRPr="00A876E6">
                        <w:rPr>
                          <w:b/>
                        </w:rPr>
                        <w:fldChar w:fldCharType="separate"/>
                      </w:r>
                      <w:r w:rsidRPr="00A876E6">
                        <w:rPr>
                          <w:b/>
                          <w:noProof/>
                        </w:rPr>
                        <w:t>24</w:t>
                      </w:r>
                      <w:r w:rsidRPr="00A876E6">
                        <w:rPr>
                          <w:b/>
                        </w:rPr>
                        <w:fldChar w:fldCharType="end"/>
                      </w:r>
                      <w:r w:rsidRPr="00A876E6">
                        <w:rPr>
                          <w:b/>
                        </w:rPr>
                        <w:t>:</w:t>
                      </w:r>
                      <w:r w:rsidRPr="00A65B3C">
                        <w:rPr>
                          <w:b/>
                        </w:rPr>
                        <w:t xml:space="preserve"> Datasets from sporadic or LRRK2 PD patients. </w:t>
                      </w:r>
                      <w:r w:rsidRPr="00076A3D">
                        <w:rPr>
                          <w:i/>
                        </w:rPr>
                        <w:t>Tissue</w:t>
                      </w:r>
                      <w:r w:rsidRPr="00A65B3C">
                        <w:t xml:space="preserve"> indicates the source of the biological material. </w:t>
                      </w:r>
                      <w:r w:rsidRPr="00076A3D">
                        <w:rPr>
                          <w:i/>
                        </w:rPr>
                        <w:t>Disease</w:t>
                      </w:r>
                      <w:r w:rsidRPr="00A65B3C">
                        <w:t xml:space="preserve"> indicates the medical condition patients had been diagnosed with. </w:t>
                      </w:r>
                      <w:r w:rsidRPr="00076A3D">
                        <w:rPr>
                          <w:i/>
                        </w:rPr>
                        <w:t>Variant</w:t>
                      </w:r>
                      <w:r>
                        <w:t xml:space="preserve"> </w:t>
                      </w:r>
                      <w:r w:rsidRPr="00A65B3C">
                        <w:t xml:space="preserve">indicates whether the dataset contains individuals with a known genetic cause, or individuals with sporadic status. </w:t>
                      </w:r>
                      <w:r w:rsidRPr="00076A3D">
                        <w:rPr>
                          <w:i/>
                        </w:rPr>
                        <w:t>Platform</w:t>
                      </w:r>
                      <w:r w:rsidRPr="00A65B3C">
                        <w:t xml:space="preserve"> indicates the technical platform used to collect the expression data. Affymetrix platforms are microarray, Illumina are RNA-Seq. </w:t>
                      </w:r>
                      <w:r w:rsidRPr="00076A3D">
                        <w:rPr>
                          <w:i/>
                        </w:rPr>
                        <w:t>GEO ID</w:t>
                      </w:r>
                      <w:r w:rsidRPr="00A65B3C">
                        <w:t xml:space="preserve"> is the reference provided by GEO to locate the original dataset. </w:t>
                      </w:r>
                      <w:r w:rsidRPr="00076A3D">
                        <w:rPr>
                          <w:i/>
                        </w:rPr>
                        <w:t>Publication</w:t>
                      </w:r>
                      <w:r w:rsidRPr="00A65B3C">
                        <w:t xml:space="preserve"> contains the reference supplied with the data on GEO. LCM = Laser Capture Microdissecte</w:t>
                      </w:r>
                      <w:r>
                        <w:t>d</w:t>
                      </w:r>
                      <w:bookmarkEnd w:id="246"/>
                    </w:p>
                  </w:txbxContent>
                </v:textbox>
                <w10:wrap type="square"/>
              </v:shape>
            </w:pict>
          </mc:Fallback>
        </mc:AlternateContent>
      </w:r>
      <w:r w:rsidRPr="00A65B3C">
        <w:rPr>
          <w:noProof/>
          <w:lang w:val="en-GB"/>
        </w:rPr>
        <w:drawing>
          <wp:anchor distT="0" distB="0" distL="114300" distR="114300" simplePos="0" relativeHeight="251699200" behindDoc="0" locked="0" layoutInCell="1" allowOverlap="1" wp14:anchorId="395A24D3" wp14:editId="7A0C850C">
            <wp:simplePos x="0" y="0"/>
            <wp:positionH relativeFrom="margin">
              <wp:posOffset>-378460</wp:posOffset>
            </wp:positionH>
            <wp:positionV relativeFrom="margin">
              <wp:posOffset>1228090</wp:posOffset>
            </wp:positionV>
            <wp:extent cx="6720840" cy="4289425"/>
            <wp:effectExtent l="0" t="3493"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D_Datasets.pdf"/>
                    <pic:cNvPicPr/>
                  </pic:nvPicPr>
                  <pic:blipFill rotWithShape="1">
                    <a:blip r:embed="rId94">
                      <a:extLst>
                        <a:ext uri="{28A0092B-C50C-407E-A947-70E740481C1C}">
                          <a14:useLocalDpi xmlns:a14="http://schemas.microsoft.com/office/drawing/2010/main" val="0"/>
                        </a:ext>
                      </a:extLst>
                    </a:blip>
                    <a:srcRect b="6011"/>
                    <a:stretch/>
                  </pic:blipFill>
                  <pic:spPr bwMode="auto">
                    <a:xfrm rot="5400000">
                      <a:off x="0" y="0"/>
                      <a:ext cx="6720840" cy="4289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5B3C" w:rsidRPr="00A65B3C">
        <w:rPr>
          <w:sz w:val="21"/>
          <w:lang w:val="en-GB"/>
        </w:rPr>
        <w:br w:type="page"/>
      </w:r>
    </w:p>
    <w:p w14:paraId="715CA080" w14:textId="56655140" w:rsidR="000D27A7" w:rsidRPr="00691215" w:rsidRDefault="000D27A7" w:rsidP="00691215">
      <w:pPr>
        <w:pStyle w:val="Heading3"/>
      </w:pPr>
      <w:bookmarkStart w:id="247" w:name="_at5ns9gqvy2z" w:colFirst="0" w:colLast="0"/>
      <w:bookmarkStart w:id="248" w:name="_Toc3211402"/>
      <w:bookmarkEnd w:id="247"/>
      <w:r w:rsidRPr="00691215">
        <w:lastRenderedPageBreak/>
        <w:t xml:space="preserve">Curation of </w:t>
      </w:r>
      <w:r w:rsidR="001B3550" w:rsidRPr="00691215">
        <w:t xml:space="preserve">Parkinson’s-associated </w:t>
      </w:r>
      <w:r w:rsidRPr="00691215">
        <w:t>gene lists</w:t>
      </w:r>
      <w:bookmarkEnd w:id="248"/>
    </w:p>
    <w:p w14:paraId="274A7FC9" w14:textId="5B8A07EE" w:rsidR="003277DE" w:rsidRPr="0082680A" w:rsidRDefault="000D27A7" w:rsidP="000D27A7">
      <w:pPr>
        <w:rPr>
          <w:lang w:val="en-GB"/>
        </w:rPr>
      </w:pPr>
      <w:r w:rsidRPr="0082680A">
        <w:rPr>
          <w:lang w:val="en-GB"/>
        </w:rPr>
        <w:t>Benchmark gene lists were generated from three sources of information; PD-associated genes, PD GWAS hits, and genes whose proteins interact with LRRK2</w:t>
      </w:r>
      <w:r w:rsidR="00CF0F7F" w:rsidRPr="0082680A">
        <w:rPr>
          <w:lang w:val="en-GB"/>
        </w:rPr>
        <w:t xml:space="preserve"> (</w:t>
      </w:r>
      <w:r w:rsidR="001200FB" w:rsidRPr="0082680A">
        <w:rPr>
          <w:lang w:val="en-GB"/>
        </w:rPr>
        <w:t>Table 2</w:t>
      </w:r>
      <w:r w:rsidR="00793E67" w:rsidRPr="0082680A">
        <w:rPr>
          <w:lang w:val="en-GB"/>
        </w:rPr>
        <w:t>3</w:t>
      </w:r>
      <w:r w:rsidR="00CF0F7F" w:rsidRPr="0082680A">
        <w:rPr>
          <w:lang w:val="en-GB"/>
        </w:rPr>
        <w:t>)</w:t>
      </w:r>
      <w:r w:rsidRPr="0082680A">
        <w:rPr>
          <w:lang w:val="en-GB"/>
        </w:rPr>
        <w:t>. PD-associated genes were extracted from the “Parkinson’s Disease, Late-Onset” page on the website Malacards (</w:t>
      </w:r>
      <w:hyperlink r:id="rId95" w:history="1">
        <w:r w:rsidR="00B958C5" w:rsidRPr="0082680A">
          <w:rPr>
            <w:rStyle w:val="Hyperlink"/>
            <w:lang w:val="en-GB"/>
          </w:rPr>
          <w:t>http://www.malacards.org/card/parkinson_disease_late_onset</w:t>
        </w:r>
      </w:hyperlink>
      <w:r w:rsidRPr="0082680A">
        <w:rPr>
          <w:lang w:val="en-GB"/>
        </w:rPr>
        <w:t>).</w:t>
      </w:r>
      <w:r w:rsidR="00B958C5" w:rsidRPr="0082680A">
        <w:rPr>
          <w:lang w:val="en-GB"/>
        </w:rPr>
        <w:t xml:space="preserve"> </w:t>
      </w:r>
      <w:r w:rsidR="00EE1FCF" w:rsidRPr="0082680A">
        <w:rPr>
          <w:lang w:val="en-GB"/>
        </w:rPr>
        <w:t>For late onset PD</w:t>
      </w:r>
      <w:r w:rsidR="00EE1FCF">
        <w:rPr>
          <w:lang w:val="en-GB"/>
        </w:rPr>
        <w:t>,</w:t>
      </w:r>
      <w:r w:rsidR="00EE1FCF" w:rsidRPr="0082680A">
        <w:rPr>
          <w:lang w:val="en-GB"/>
        </w:rPr>
        <w:t xml:space="preserve"> </w:t>
      </w:r>
      <w:r w:rsidR="00EE1FCF">
        <w:rPr>
          <w:lang w:val="en-GB"/>
        </w:rPr>
        <w:t>151</w:t>
      </w:r>
      <w:r w:rsidRPr="0082680A">
        <w:rPr>
          <w:lang w:val="en-GB"/>
        </w:rPr>
        <w:t xml:space="preserve"> genes have been curated in this list as risk factors. PD GWAS genes were extracted from the PD entry </w:t>
      </w:r>
      <w:r w:rsidR="00F141BB" w:rsidRPr="0082680A">
        <w:rPr>
          <w:lang w:val="en-GB"/>
        </w:rPr>
        <w:t>in</w:t>
      </w:r>
      <w:r w:rsidRPr="0082680A">
        <w:rPr>
          <w:lang w:val="en-GB"/>
        </w:rPr>
        <w:t xml:space="preserve"> </w:t>
      </w:r>
      <w:r w:rsidR="00F141BB" w:rsidRPr="0082680A">
        <w:rPr>
          <w:lang w:val="en-GB"/>
        </w:rPr>
        <w:t xml:space="preserve">the </w:t>
      </w:r>
      <w:r w:rsidRPr="0082680A">
        <w:rPr>
          <w:lang w:val="en-GB"/>
        </w:rPr>
        <w:t>GWAS Catalog (</w:t>
      </w:r>
      <w:hyperlink r:id="rId96" w:history="1">
        <w:r w:rsidR="00B958C5" w:rsidRPr="0082680A">
          <w:rPr>
            <w:rStyle w:val="Hyperlink"/>
            <w:lang w:val="en-GB"/>
          </w:rPr>
          <w:t>https://www.ebi.ac.uk/gwas/efotraits/EFO_0002508</w:t>
        </w:r>
      </w:hyperlink>
      <w:r w:rsidRPr="0082680A">
        <w:rPr>
          <w:lang w:val="en-GB"/>
        </w:rPr>
        <w:t>),</w:t>
      </w:r>
      <w:r w:rsidR="00B958C5" w:rsidRPr="0082680A">
        <w:rPr>
          <w:lang w:val="en-GB"/>
        </w:rPr>
        <w:t xml:space="preserve"> </w:t>
      </w:r>
      <w:r w:rsidRPr="0082680A">
        <w:rPr>
          <w:lang w:val="en-GB"/>
        </w:rPr>
        <w:t>and filtered to only include the trait “</w:t>
      </w:r>
      <w:r w:rsidR="000656D3" w:rsidRPr="0082680A">
        <w:rPr>
          <w:lang w:val="en-GB"/>
        </w:rPr>
        <w:t>Parkinson’s</w:t>
      </w:r>
      <w:r w:rsidRPr="0082680A">
        <w:rPr>
          <w:lang w:val="en-GB"/>
        </w:rPr>
        <w:t xml:space="preserve"> disease”, “age at onset, </w:t>
      </w:r>
      <w:r w:rsidR="000656D3" w:rsidRPr="0082680A">
        <w:rPr>
          <w:lang w:val="en-GB"/>
        </w:rPr>
        <w:t>Parkinson’s</w:t>
      </w:r>
      <w:r w:rsidRPr="0082680A">
        <w:rPr>
          <w:lang w:val="en-GB"/>
        </w:rPr>
        <w:t xml:space="preserve"> disease”, and “Lewy body measurement, </w:t>
      </w:r>
      <w:r w:rsidR="000656D3" w:rsidRPr="0082680A">
        <w:rPr>
          <w:lang w:val="en-GB"/>
        </w:rPr>
        <w:t>Parkinson’s</w:t>
      </w:r>
      <w:r w:rsidRPr="0082680A">
        <w:rPr>
          <w:lang w:val="en-GB"/>
        </w:rPr>
        <w:t xml:space="preserve"> disease”</w:t>
      </w:r>
      <w:r w:rsidR="00EE1FCF">
        <w:rPr>
          <w:lang w:val="en-GB"/>
        </w:rPr>
        <w:t xml:space="preserve">, resulting in a list of </w:t>
      </w:r>
      <w:r w:rsidRPr="0082680A">
        <w:rPr>
          <w:lang w:val="en-GB"/>
        </w:rPr>
        <w:t xml:space="preserve">170 genes. As variants do not always map to one gene, all genes were included but overlap in </w:t>
      </w:r>
      <w:proofErr w:type="spellStart"/>
      <w:r w:rsidR="00AB19C8" w:rsidRPr="0082680A">
        <w:rPr>
          <w:lang w:val="en-GB"/>
        </w:rPr>
        <w:t>rs</w:t>
      </w:r>
      <w:proofErr w:type="spellEnd"/>
      <w:r w:rsidR="00AB19C8" w:rsidRPr="0082680A">
        <w:rPr>
          <w:lang w:val="en-GB"/>
        </w:rPr>
        <w:t xml:space="preserve"> </w:t>
      </w:r>
      <w:r w:rsidRPr="0082680A">
        <w:rPr>
          <w:lang w:val="en-GB"/>
        </w:rPr>
        <w:t xml:space="preserve">numbers was checked. LRRK2 PPI genes were sourced from a curation study on the interactome of LRRK2, which identified 207 interaction partners as reported by BioGRID and IntAct data </w:t>
      </w:r>
      <w:r w:rsidR="000656D3" w:rsidRPr="0082680A">
        <w:rPr>
          <w:lang w:val="en-GB"/>
        </w:rPr>
        <w:fldChar w:fldCharType="begin" w:fldLock="1"/>
      </w:r>
      <w:r w:rsidR="000507BA">
        <w:rPr>
          <w:lang w:val="en-GB"/>
        </w:rPr>
        <w:instrText>ADDIN CSL_CITATION {"citationItems":[{"id":"ITEM-1","itemData":{"DOI":"10.7717/peerj.778","ISSN":"2167-8359","PMID":"25737818","abstract":"LRRK2 was identified in 2004 as the causative protein product of the Parkinson's disease locus designated PARK8. In the decade since then, genetic studies have revealed at least 6 dominant mutations in LRRK2 linked to Parkinson's disease, alongside one associated with cancer. It is now well established that coding changes in LRRK2 are one of the most common causes of Parkinson's. Genome-wide association studies (GWAs) have, more recently, reported single nucleotide polymorphisms (SNPs) around the LRRK2 locus to be associated with risk of developing sporadic Parkinson's disease and inflammatory bowel disorder. The functional research that has followed these genetic breakthroughs has generated an extensive literature regarding LRRK2 pathophysiology; however, there is still no consensus as to the biological function of LRRK2. To provide insight into the aspects of cell biology that are consistently related to LRRK2 activity, we analysed the plethora of candidate LRRK2 interactors available through the BioGRID and IntAct data repositories. We then performed GO terms enrichment for the LRRK2 interactome. We found that, in two different enrichment portals, the LRRK2 interactome was associated with terms referring to transport, cellular organization, vesicles and the cytoskeleton. We also verified that 21 of the LRRK2 interactors are genetically linked to risk for Parkinson's disease or inflammatory bowel disorder. The implications of these findings are discussed, with particular regard to potential novel areas of investigation.","author":[{"dropping-particle":"","family":"Manzoni","given":"Claudia","non-dropping-particle":"","parse-names":false,"suffix":""},{"dropping-particle":"","family":"Denny","given":"Paul","non-dropping-particle":"","parse-names":false,"suffix":""},{"dropping-particle":"","family":"Lovering","given":"Ruth C","non-dropping-particle":"","parse-names":false,"suffix":""},{"dropping-particle":"","family":"Lewis","given":"Patrick A","non-dropping-particle":"","parse-names":false,"suffix":""}],"container-title":"PeerJ","id":"ITEM-1","issued":{"date-parts":[["2015"]]},"page":"e778","publisher":"PeerJ, Inc","title":"Computational analysis of the LRRK2 interactome.","type":"article-journal","volume":"3"},"uris":["http://www.mendeley.com/documents/?uuid=efe7ccc4-4322-3296-9ec3-d026f5ccb19a"]}],"mendeley":{"formattedCitation":"&lt;sup&gt;332&lt;/sup&gt;","plainTextFormattedCitation":"332","previouslyFormattedCitation":"&lt;sup&gt;332&lt;/sup&gt;"},"properties":{"noteIndex":0},"schema":"https://github.com/citation-style-language/schema/raw/master/csl-citation.json"}</w:instrText>
      </w:r>
      <w:r w:rsidR="000656D3" w:rsidRPr="0082680A">
        <w:rPr>
          <w:lang w:val="en-GB"/>
        </w:rPr>
        <w:fldChar w:fldCharType="separate"/>
      </w:r>
      <w:r w:rsidR="00426B19" w:rsidRPr="00426B19">
        <w:rPr>
          <w:noProof/>
          <w:vertAlign w:val="superscript"/>
          <w:lang w:val="en-GB"/>
        </w:rPr>
        <w:t>332</w:t>
      </w:r>
      <w:r w:rsidR="000656D3" w:rsidRPr="0082680A">
        <w:rPr>
          <w:lang w:val="en-GB"/>
        </w:rPr>
        <w:fldChar w:fldCharType="end"/>
      </w:r>
      <w:r w:rsidRPr="0082680A">
        <w:rPr>
          <w:lang w:val="en-GB"/>
        </w:rPr>
        <w:t xml:space="preserve">. </w:t>
      </w:r>
    </w:p>
    <w:p w14:paraId="7F8EEC42" w14:textId="77777777" w:rsidR="000D27A7" w:rsidRPr="00691215" w:rsidRDefault="000D27A7" w:rsidP="00691215">
      <w:pPr>
        <w:pStyle w:val="Heading3"/>
      </w:pPr>
      <w:bookmarkStart w:id="249" w:name="_37rzrpozowbs" w:colFirst="0" w:colLast="0"/>
      <w:bookmarkStart w:id="250" w:name="_Toc3211403"/>
      <w:bookmarkEnd w:id="249"/>
      <w:r w:rsidRPr="00691215">
        <w:t>Prioritisation</w:t>
      </w:r>
      <w:bookmarkEnd w:id="250"/>
    </w:p>
    <w:p w14:paraId="290A897A" w14:textId="7B12AE58" w:rsidR="000D27A7" w:rsidRDefault="000D27A7" w:rsidP="000D27A7">
      <w:pPr>
        <w:rPr>
          <w:lang w:val="en-GB"/>
        </w:rPr>
      </w:pPr>
      <w:r w:rsidRPr="0082680A">
        <w:rPr>
          <w:lang w:val="en-GB"/>
        </w:rPr>
        <w:t xml:space="preserve">All sources of information remained as previously used. </w:t>
      </w:r>
      <w:r w:rsidR="00163F98" w:rsidRPr="0082680A">
        <w:rPr>
          <w:lang w:val="en-GB"/>
        </w:rPr>
        <w:t>LoF</w:t>
      </w:r>
      <w:r w:rsidRPr="0082680A">
        <w:rPr>
          <w:lang w:val="en-GB"/>
        </w:rPr>
        <w:t xml:space="preserve"> mutations were identified using the Parkinson’s Progression Markers Initiative (PPMI) whole exome sequencing (WES) data obtained from the PPMI database (</w:t>
      </w:r>
      <w:hyperlink r:id="rId97" w:history="1">
        <w:r w:rsidR="00B958C5" w:rsidRPr="0082680A">
          <w:rPr>
            <w:rStyle w:val="Hyperlink"/>
            <w:lang w:val="en-GB"/>
          </w:rPr>
          <w:t>http://www.ppmi-info.org/</w:t>
        </w:r>
      </w:hyperlink>
      <w:r w:rsidRPr="0082680A">
        <w:rPr>
          <w:lang w:val="en-GB"/>
        </w:rPr>
        <w:t>).</w:t>
      </w:r>
      <w:r w:rsidR="00B958C5" w:rsidRPr="0082680A">
        <w:rPr>
          <w:lang w:val="en-GB"/>
        </w:rPr>
        <w:t xml:space="preserve"> </w:t>
      </w:r>
      <w:r w:rsidRPr="0082680A">
        <w:rPr>
          <w:lang w:val="en-GB"/>
        </w:rPr>
        <w:t xml:space="preserve">PPMI – a public-private partnership – is funded by the Michael J. Fox Foundation for Parkinson’s Research and funding partners, including Abbvie, Allergan, Avid Radiopharmaceuticals, Biogen, Biolegend, Bristol-Myers Squibb, Denali, GE Healthcare, Genentech, GSK, Lilly, Lundbeck, Merck, MSD, Pfizer, Piramal, Roche, Sanofi Genzyme, </w:t>
      </w:r>
      <w:proofErr w:type="spellStart"/>
      <w:r w:rsidRPr="0082680A">
        <w:rPr>
          <w:lang w:val="en-GB"/>
        </w:rPr>
        <w:t>Servier</w:t>
      </w:r>
      <w:proofErr w:type="spellEnd"/>
      <w:r w:rsidRPr="0082680A">
        <w:rPr>
          <w:lang w:val="en-GB"/>
        </w:rPr>
        <w:t>, Takeda, Teva, UCB, and Golub Capital. WES data was analysed using Gemini (gemini.readthedocs.io/</w:t>
      </w:r>
      <w:proofErr w:type="spellStart"/>
      <w:r w:rsidRPr="0082680A">
        <w:rPr>
          <w:lang w:val="en-GB"/>
        </w:rPr>
        <w:t>en</w:t>
      </w:r>
      <w:proofErr w:type="spellEnd"/>
      <w:r w:rsidRPr="0082680A">
        <w:rPr>
          <w:lang w:val="en-GB"/>
        </w:rPr>
        <w:t xml:space="preserve">/latest/). </w:t>
      </w:r>
      <w:r w:rsidR="00163F98" w:rsidRPr="0082680A">
        <w:rPr>
          <w:lang w:val="en-GB"/>
        </w:rPr>
        <w:t>LoF</w:t>
      </w:r>
      <w:r w:rsidRPr="0082680A">
        <w:rPr>
          <w:lang w:val="en-GB"/>
        </w:rPr>
        <w:t xml:space="preserve"> mutations were defined as variants flagged by Gemini as </w:t>
      </w:r>
      <w:r w:rsidR="00163F98" w:rsidRPr="0082680A">
        <w:rPr>
          <w:lang w:val="en-GB"/>
        </w:rPr>
        <w:t>LoF</w:t>
      </w:r>
      <w:r w:rsidR="004D4296" w:rsidRPr="0082680A">
        <w:rPr>
          <w:lang w:val="en-GB"/>
        </w:rPr>
        <w:t xml:space="preserve"> and</w:t>
      </w:r>
      <w:r w:rsidRPr="0082680A">
        <w:rPr>
          <w:lang w:val="en-GB"/>
        </w:rPr>
        <w:t xml:space="preserve"> scored &lt;0.01 on both </w:t>
      </w:r>
      <w:proofErr w:type="spellStart"/>
      <w:r w:rsidRPr="0082680A">
        <w:rPr>
          <w:lang w:val="en-GB"/>
        </w:rPr>
        <w:t>Ex</w:t>
      </w:r>
      <w:r w:rsidR="00117180" w:rsidRPr="0082680A">
        <w:rPr>
          <w:lang w:val="en-GB"/>
        </w:rPr>
        <w:t>AC</w:t>
      </w:r>
      <w:proofErr w:type="spellEnd"/>
      <w:r w:rsidRPr="0082680A">
        <w:rPr>
          <w:lang w:val="en-GB"/>
        </w:rPr>
        <w:t xml:space="preserve"> and 1000 Genomes frequency. The variants are then checked to ensure they occur in patients only, and not in patients flagged as testing positive for mutations in a known PD gene (e.g. </w:t>
      </w:r>
      <w:r w:rsidRPr="0082680A">
        <w:rPr>
          <w:i/>
          <w:lang w:val="en-GB"/>
        </w:rPr>
        <w:t>SNCA</w:t>
      </w:r>
      <w:r w:rsidRPr="0082680A">
        <w:rPr>
          <w:lang w:val="en-GB"/>
        </w:rPr>
        <w:t xml:space="preserve">, </w:t>
      </w:r>
      <w:r w:rsidRPr="0082680A">
        <w:rPr>
          <w:i/>
          <w:lang w:val="en-GB"/>
        </w:rPr>
        <w:t>LRRK2</w:t>
      </w:r>
      <w:r w:rsidRPr="0082680A">
        <w:rPr>
          <w:lang w:val="en-GB"/>
        </w:rPr>
        <w:t xml:space="preserve"> etc). LRRK2 PPI genes were extracted from the benchmark gene list which was used throughout the study. For Endeavour, only </w:t>
      </w:r>
      <w:r w:rsidRPr="0082680A">
        <w:rPr>
          <w:i/>
          <w:lang w:val="en-GB"/>
        </w:rPr>
        <w:t>LRRK2</w:t>
      </w:r>
      <w:r w:rsidRPr="0082680A">
        <w:rPr>
          <w:lang w:val="en-GB"/>
        </w:rPr>
        <w:t xml:space="preserve"> was used as a training gene as this is the only </w:t>
      </w:r>
      <w:proofErr w:type="gramStart"/>
      <w:r w:rsidRPr="0082680A">
        <w:rPr>
          <w:lang w:val="en-GB"/>
        </w:rPr>
        <w:t>gene</w:t>
      </w:r>
      <w:proofErr w:type="gramEnd"/>
      <w:r w:rsidRPr="0082680A">
        <w:rPr>
          <w:lang w:val="en-GB"/>
        </w:rPr>
        <w:t xml:space="preserve"> we know to result in the phenotype we are interested in.</w:t>
      </w:r>
    </w:p>
    <w:p w14:paraId="16B7729D" w14:textId="16B4A244" w:rsidR="00A876E6" w:rsidRDefault="00A876E6" w:rsidP="000D27A7">
      <w:pPr>
        <w:rPr>
          <w:lang w:val="en-GB"/>
        </w:rPr>
      </w:pPr>
    </w:p>
    <w:p w14:paraId="18C20468" w14:textId="77777777" w:rsidR="00A876E6" w:rsidRPr="0082680A" w:rsidRDefault="00A876E6" w:rsidP="00A876E6">
      <w:pPr>
        <w:rPr>
          <w:lang w:val="en-GB"/>
        </w:rPr>
      </w:pPr>
    </w:p>
    <w:p w14:paraId="662FD575" w14:textId="77777777" w:rsidR="00A876E6" w:rsidRDefault="00A876E6" w:rsidP="00A876E6">
      <w:pPr>
        <w:keepNext/>
        <w:ind w:left="284"/>
        <w:jc w:val="center"/>
      </w:pPr>
      <w:bookmarkStart w:id="251" w:name="_ych6gmsm5tz7" w:colFirst="0" w:colLast="0"/>
      <w:bookmarkEnd w:id="251"/>
      <w:r>
        <w:rPr>
          <w:noProof/>
          <w:lang w:val="en-GB"/>
        </w:rPr>
        <w:lastRenderedPageBreak/>
        <w:drawing>
          <wp:inline distT="0" distB="0" distL="0" distR="0" wp14:anchorId="711F7A60" wp14:editId="5FA6AF62">
            <wp:extent cx="4754566" cy="7540052"/>
            <wp:effectExtent l="0" t="0" r="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D_Workflow.pdf"/>
                    <pic:cNvPicPr/>
                  </pic:nvPicPr>
                  <pic:blipFill rotWithShape="1">
                    <a:blip r:embed="rId98">
                      <a:extLst>
                        <a:ext uri="{28A0092B-C50C-407E-A947-70E740481C1C}">
                          <a14:useLocalDpi xmlns:a14="http://schemas.microsoft.com/office/drawing/2010/main" val="0"/>
                        </a:ext>
                      </a:extLst>
                    </a:blip>
                    <a:srcRect l="15321" r="5232" b="11588"/>
                    <a:stretch/>
                  </pic:blipFill>
                  <pic:spPr bwMode="auto">
                    <a:xfrm>
                      <a:off x="0" y="0"/>
                      <a:ext cx="4777338" cy="7576164"/>
                    </a:xfrm>
                    <a:prstGeom prst="rect">
                      <a:avLst/>
                    </a:prstGeom>
                    <a:ln>
                      <a:noFill/>
                    </a:ln>
                    <a:extLst>
                      <a:ext uri="{53640926-AAD7-44D8-BBD7-CCE9431645EC}">
                        <a14:shadowObscured xmlns:a14="http://schemas.microsoft.com/office/drawing/2010/main"/>
                      </a:ext>
                    </a:extLst>
                  </pic:spPr>
                </pic:pic>
              </a:graphicData>
            </a:graphic>
          </wp:inline>
        </w:drawing>
      </w:r>
    </w:p>
    <w:p w14:paraId="541CD4E0" w14:textId="275B15D7" w:rsidR="00A876E6" w:rsidRPr="003277DE" w:rsidRDefault="00A876E6" w:rsidP="00A876E6">
      <w:pPr>
        <w:pStyle w:val="Caption"/>
        <w:rPr>
          <w:b w:val="0"/>
          <w:lang w:val="en-GB"/>
        </w:rPr>
      </w:pPr>
      <w:bookmarkStart w:id="252" w:name="_Toc3226007"/>
      <w:r>
        <w:t xml:space="preserve">Figure </w:t>
      </w:r>
      <w:r>
        <w:rPr>
          <w:noProof/>
        </w:rPr>
        <w:fldChar w:fldCharType="begin"/>
      </w:r>
      <w:r>
        <w:rPr>
          <w:noProof/>
        </w:rPr>
        <w:instrText xml:space="preserve"> SEQ Figure \* ARABIC </w:instrText>
      </w:r>
      <w:r>
        <w:rPr>
          <w:noProof/>
        </w:rPr>
        <w:fldChar w:fldCharType="separate"/>
      </w:r>
      <w:r w:rsidR="00066B5A">
        <w:rPr>
          <w:noProof/>
        </w:rPr>
        <w:t>11</w:t>
      </w:r>
      <w:r>
        <w:rPr>
          <w:noProof/>
        </w:rPr>
        <w:fldChar w:fldCharType="end"/>
      </w:r>
      <w:r>
        <w:t xml:space="preserve">: Workflow for Sporadic/LRRK2 PD analysis. </w:t>
      </w:r>
      <w:r>
        <w:rPr>
          <w:b w:val="0"/>
        </w:rPr>
        <w:t>Changes to the methodology are indicated by the text boxes. All other methods remained as previous.</w:t>
      </w:r>
      <w:bookmarkEnd w:id="252"/>
    </w:p>
    <w:p w14:paraId="2AC1CB25" w14:textId="77777777" w:rsidR="00A876E6" w:rsidRDefault="00A876E6" w:rsidP="000D27A7">
      <w:pPr>
        <w:rPr>
          <w:lang w:val="en-GB"/>
        </w:rPr>
      </w:pPr>
    </w:p>
    <w:p w14:paraId="1FC38F75" w14:textId="77777777" w:rsidR="00A876E6" w:rsidRPr="00842FD0" w:rsidRDefault="00A876E6" w:rsidP="00A876E6">
      <w:pPr>
        <w:pStyle w:val="Heading2"/>
      </w:pPr>
      <w:bookmarkStart w:id="253" w:name="_Toc3211404"/>
      <w:r w:rsidRPr="00842FD0">
        <w:lastRenderedPageBreak/>
        <w:t>Results</w:t>
      </w:r>
      <w:bookmarkEnd w:id="253"/>
    </w:p>
    <w:p w14:paraId="2C634336" w14:textId="77777777" w:rsidR="00A876E6" w:rsidRPr="00691215" w:rsidRDefault="00A876E6" w:rsidP="00A876E6">
      <w:pPr>
        <w:pStyle w:val="Heading3"/>
      </w:pPr>
      <w:bookmarkStart w:id="254" w:name="_rywmk6irqwfz" w:colFirst="0" w:colLast="0"/>
      <w:bookmarkStart w:id="255" w:name="_Toc3211405"/>
      <w:bookmarkEnd w:id="254"/>
      <w:r w:rsidRPr="00691215">
        <w:t>Quality control of datasets</w:t>
      </w:r>
      <w:bookmarkEnd w:id="255"/>
    </w:p>
    <w:p w14:paraId="771641EF" w14:textId="7BCB7B7D" w:rsidR="00A876E6" w:rsidRDefault="00A876E6" w:rsidP="00A876E6">
      <w:pPr>
        <w:rPr>
          <w:lang w:val="en-GB"/>
        </w:rPr>
      </w:pPr>
      <w:r w:rsidRPr="0082680A">
        <w:rPr>
          <w:lang w:val="en-GB"/>
        </w:rPr>
        <w:t xml:space="preserve">Quality control analysis identified </w:t>
      </w:r>
      <w:r w:rsidR="0009403C">
        <w:rPr>
          <w:lang w:val="en-GB"/>
        </w:rPr>
        <w:t>2 samples which were considered outliers; sample GSM1678685 and GSM1679693 from GSE68719</w:t>
      </w:r>
      <w:r w:rsidRPr="0082680A">
        <w:rPr>
          <w:lang w:val="en-GB"/>
        </w:rPr>
        <w:t xml:space="preserve"> (</w:t>
      </w:r>
      <w:r w:rsidRPr="0082680A">
        <w:rPr>
          <w:color w:val="000000" w:themeColor="text1"/>
          <w:lang w:val="en-GB"/>
        </w:rPr>
        <w:t xml:space="preserve">Appendix Figures </w:t>
      </w:r>
      <w:r w:rsidR="0009403C">
        <w:rPr>
          <w:color w:val="000000" w:themeColor="text1"/>
          <w:lang w:val="en-GB"/>
        </w:rPr>
        <w:t>6</w:t>
      </w:r>
      <w:r w:rsidRPr="0082680A">
        <w:rPr>
          <w:color w:val="000000" w:themeColor="text1"/>
          <w:lang w:val="en-GB"/>
        </w:rPr>
        <w:t>-1</w:t>
      </w:r>
      <w:r w:rsidR="0009403C">
        <w:rPr>
          <w:color w:val="000000" w:themeColor="text1"/>
          <w:lang w:val="en-GB"/>
        </w:rPr>
        <w:t>3</w:t>
      </w:r>
      <w:r w:rsidRPr="0082680A">
        <w:rPr>
          <w:lang w:val="en-GB"/>
        </w:rPr>
        <w:t>).</w:t>
      </w:r>
    </w:p>
    <w:p w14:paraId="484D777B" w14:textId="5EED8C83" w:rsidR="008D4E67" w:rsidRDefault="008D4E67" w:rsidP="00A876E6">
      <w:pPr>
        <w:rPr>
          <w:lang w:val="en-GB"/>
        </w:rPr>
      </w:pPr>
    </w:p>
    <w:p w14:paraId="6AD193A3" w14:textId="1C7D513E" w:rsidR="008D4E67" w:rsidRPr="0082680A" w:rsidRDefault="008D4E67" w:rsidP="008D4E67">
      <w:pPr>
        <w:rPr>
          <w:lang w:val="en-GB"/>
        </w:rPr>
      </w:pPr>
      <w:r>
        <w:rPr>
          <w:color w:val="000000" w:themeColor="text1"/>
          <w:lang w:val="en-GB"/>
        </w:rPr>
        <w:t xml:space="preserve">Boxplots </w:t>
      </w:r>
      <w:r>
        <w:rPr>
          <w:color w:val="000000" w:themeColor="text1"/>
          <w:lang w:val="en-GB"/>
        </w:rPr>
        <w:t>o</w:t>
      </w:r>
      <w:r>
        <w:rPr>
          <w:color w:val="000000" w:themeColor="text1"/>
          <w:lang w:val="en-GB"/>
        </w:rPr>
        <w:t>f</w:t>
      </w:r>
      <w:r>
        <w:rPr>
          <w:color w:val="000000" w:themeColor="text1"/>
          <w:lang w:val="en-GB"/>
        </w:rPr>
        <w:t xml:space="preserve"> pre-and post-normalised data </w:t>
      </w:r>
      <w:r>
        <w:rPr>
          <w:color w:val="000000" w:themeColor="text1"/>
          <w:lang w:val="en-GB"/>
        </w:rPr>
        <w:t>show</w:t>
      </w:r>
      <w:r w:rsidRPr="008D4E67">
        <w:rPr>
          <w:color w:val="000000" w:themeColor="text1"/>
          <w:lang w:val="en-GB"/>
        </w:rPr>
        <w:t xml:space="preserve"> </w:t>
      </w:r>
      <w:r w:rsidR="00DD5902">
        <w:rPr>
          <w:color w:val="000000" w:themeColor="text1"/>
          <w:lang w:val="en-GB"/>
        </w:rPr>
        <w:t>relatively consistent</w:t>
      </w:r>
      <w:r w:rsidR="00DD5902" w:rsidRPr="008D4E67">
        <w:rPr>
          <w:color w:val="000000" w:themeColor="text1"/>
          <w:lang w:val="en-GB"/>
        </w:rPr>
        <w:t xml:space="preserve"> </w:t>
      </w:r>
      <w:r w:rsidRPr="008D4E67">
        <w:rPr>
          <w:color w:val="000000" w:themeColor="text1"/>
          <w:lang w:val="en-GB"/>
        </w:rPr>
        <w:t xml:space="preserve">log2 expression </w:t>
      </w:r>
      <w:r w:rsidR="00DD5902">
        <w:rPr>
          <w:color w:val="000000" w:themeColor="text1"/>
          <w:lang w:val="en-GB"/>
        </w:rPr>
        <w:t xml:space="preserve">variance </w:t>
      </w:r>
      <w:r>
        <w:rPr>
          <w:color w:val="000000" w:themeColor="text1"/>
          <w:lang w:val="en-GB"/>
        </w:rPr>
        <w:t>within</w:t>
      </w:r>
      <w:r w:rsidRPr="008D4E67">
        <w:rPr>
          <w:color w:val="000000" w:themeColor="text1"/>
          <w:lang w:val="en-GB"/>
        </w:rPr>
        <w:t xml:space="preserve"> microarray and RNA-Seq </w:t>
      </w:r>
      <w:r>
        <w:rPr>
          <w:color w:val="000000" w:themeColor="text1"/>
          <w:lang w:val="en-GB"/>
        </w:rPr>
        <w:t>technologies before normalisation across datasets</w:t>
      </w:r>
      <w:r w:rsidR="00DD5902">
        <w:rPr>
          <w:color w:val="000000" w:themeColor="text1"/>
          <w:lang w:val="en-GB"/>
        </w:rPr>
        <w:t xml:space="preserve"> (Appendix Figure 14)</w:t>
      </w:r>
      <w:r w:rsidRPr="008D4E67">
        <w:rPr>
          <w:color w:val="000000" w:themeColor="text1"/>
          <w:lang w:val="en-GB"/>
        </w:rPr>
        <w:t xml:space="preserve">. </w:t>
      </w:r>
      <w:r w:rsidR="00DD5902">
        <w:rPr>
          <w:color w:val="000000" w:themeColor="text1"/>
          <w:lang w:val="en-GB"/>
        </w:rPr>
        <w:t xml:space="preserve">Again, </w:t>
      </w:r>
      <w:r w:rsidRPr="008D4E67">
        <w:rPr>
          <w:color w:val="000000" w:themeColor="text1"/>
          <w:lang w:val="en-GB"/>
        </w:rPr>
        <w:t xml:space="preserve">RNA-Seq range is larger compared to microarray, </w:t>
      </w:r>
      <w:r w:rsidR="00DD5902">
        <w:rPr>
          <w:color w:val="000000" w:themeColor="text1"/>
          <w:lang w:val="en-GB"/>
        </w:rPr>
        <w:t>however after</w:t>
      </w:r>
      <w:r>
        <w:rPr>
          <w:lang w:val="en-GB"/>
        </w:rPr>
        <w:t xml:space="preserve"> normalisation </w:t>
      </w:r>
      <w:r w:rsidR="00DD5902">
        <w:rPr>
          <w:lang w:val="en-GB"/>
        </w:rPr>
        <w:t>the medians of all datasets are quite similar.</w:t>
      </w:r>
    </w:p>
    <w:p w14:paraId="5A346DD5" w14:textId="77777777" w:rsidR="008D4E67" w:rsidRDefault="008D4E67" w:rsidP="00A876E6">
      <w:pPr>
        <w:rPr>
          <w:lang w:val="en-GB"/>
        </w:rPr>
      </w:pPr>
    </w:p>
    <w:p w14:paraId="2BEC6D6E" w14:textId="77777777" w:rsidR="00A876E6" w:rsidRPr="00691215" w:rsidRDefault="00A876E6" w:rsidP="00A876E6">
      <w:pPr>
        <w:pStyle w:val="Heading3"/>
      </w:pPr>
      <w:bookmarkStart w:id="256" w:name="_45si21sucwpx" w:colFirst="0" w:colLast="0"/>
      <w:bookmarkStart w:id="257" w:name="_Toc3211406"/>
      <w:bookmarkEnd w:id="256"/>
      <w:r w:rsidRPr="00691215">
        <w:t>Identification of common DEGs</w:t>
      </w:r>
      <w:bookmarkEnd w:id="257"/>
    </w:p>
    <w:p w14:paraId="282ED553" w14:textId="22E4D50B" w:rsidR="00A876E6" w:rsidRPr="0082680A" w:rsidRDefault="00A876E6" w:rsidP="00A876E6">
      <w:pPr>
        <w:rPr>
          <w:lang w:val="en-GB"/>
        </w:rPr>
      </w:pPr>
      <w:r>
        <w:rPr>
          <w:lang w:val="en-GB"/>
        </w:rPr>
        <w:t>Common differential expression analysis revealed 175</w:t>
      </w:r>
      <w:r w:rsidRPr="0082680A">
        <w:rPr>
          <w:lang w:val="en-GB"/>
        </w:rPr>
        <w:t xml:space="preserve"> genes to be commonly overexpressed and 189 genes commonly underexpressed. Random permutation tests confirmed the number of DEGs was more than expected by chance (Table</w:t>
      </w:r>
      <w:r>
        <w:rPr>
          <w:lang w:val="en-GB"/>
        </w:rPr>
        <w:t>s</w:t>
      </w:r>
      <w:r w:rsidRPr="0082680A">
        <w:rPr>
          <w:lang w:val="en-GB"/>
        </w:rPr>
        <w:t xml:space="preserve"> 2</w:t>
      </w:r>
      <w:r>
        <w:rPr>
          <w:lang w:val="en-GB"/>
        </w:rPr>
        <w:t>5</w:t>
      </w:r>
      <w:r w:rsidRPr="0082680A">
        <w:rPr>
          <w:lang w:val="en-GB"/>
        </w:rPr>
        <w:t xml:space="preserve"> &amp; 2</w:t>
      </w:r>
      <w:r>
        <w:rPr>
          <w:lang w:val="en-GB"/>
        </w:rPr>
        <w:t>6</w:t>
      </w:r>
      <w:r w:rsidRPr="0082680A">
        <w:rPr>
          <w:lang w:val="en-GB"/>
        </w:rPr>
        <w:t>). As the amount detected experimentally did not lie within the distribution, a P-value could not be calculated. Random assignment of log fold change direction predicted overlaps of between 0 and 19 genes, with an average of 5.58 genes.</w:t>
      </w:r>
    </w:p>
    <w:p w14:paraId="27BAAC1E" w14:textId="77777777" w:rsidR="00A876E6" w:rsidRPr="0082680A" w:rsidRDefault="00A876E6" w:rsidP="00A876E6">
      <w:pPr>
        <w:rPr>
          <w:lang w:val="en-GB"/>
        </w:rPr>
      </w:pPr>
    </w:p>
    <w:p w14:paraId="3F69C201" w14:textId="5A6AA2C1" w:rsidR="00A876E6" w:rsidRPr="0082680A" w:rsidRDefault="00A876E6" w:rsidP="00A876E6">
      <w:pPr>
        <w:rPr>
          <w:lang w:val="en-GB"/>
        </w:rPr>
      </w:pPr>
      <w:r w:rsidRPr="0082680A">
        <w:rPr>
          <w:lang w:val="en-GB"/>
        </w:rPr>
        <w:t>Three signatures were produced to filter out tissue nonspecific and population-</w:t>
      </w:r>
      <w:r>
        <w:rPr>
          <w:lang w:val="en-GB"/>
        </w:rPr>
        <w:t>generic</w:t>
      </w:r>
      <w:r w:rsidRPr="0082680A">
        <w:rPr>
          <w:lang w:val="en-GB"/>
        </w:rPr>
        <w:t xml:space="preserve"> genes. One signature was produced from the 6 ALS datasets used in the TDP-43 pathology analysis to represent a generic neurodegenerative signature. Gene overlap of this signature led to the removal of 15 genes</w:t>
      </w:r>
      <w:r>
        <w:rPr>
          <w:lang w:val="en-GB"/>
        </w:rPr>
        <w:t xml:space="preserve">. </w:t>
      </w:r>
      <w:r w:rsidRPr="0082680A">
        <w:rPr>
          <w:lang w:val="en-GB"/>
        </w:rPr>
        <w:t>The familial blood signature overlapped with the common DEG list by 102 genes, which were removed. The fibroblast signature was created from the significantly differentially expressed genes of this dataset</w:t>
      </w:r>
      <w:r>
        <w:rPr>
          <w:lang w:val="en-GB"/>
        </w:rPr>
        <w:t xml:space="preserve"> (adjusted P-Value &lt; 0.05)</w:t>
      </w:r>
      <w:r w:rsidRPr="0082680A">
        <w:rPr>
          <w:lang w:val="en-GB"/>
        </w:rPr>
        <w:t>. The sporadic blood signature overlapped by 4 genes. Removal of these genes left a common DEG signature of 243 genes, 104 commonly upregulated, and 139 commonly downregulated.</w:t>
      </w:r>
    </w:p>
    <w:p w14:paraId="574488AA" w14:textId="77777777" w:rsidR="00A876E6" w:rsidRPr="0082680A" w:rsidRDefault="00A876E6" w:rsidP="00A876E6">
      <w:pPr>
        <w:rPr>
          <w:lang w:val="en-GB"/>
        </w:rPr>
      </w:pPr>
      <w:r w:rsidRPr="0082680A">
        <w:rPr>
          <w:lang w:val="en-GB"/>
        </w:rPr>
        <w:br w:type="page"/>
      </w:r>
    </w:p>
    <w:p w14:paraId="7B3BB599" w14:textId="77777777" w:rsidR="00A876E6" w:rsidRPr="0082680A" w:rsidRDefault="00A876E6" w:rsidP="00A876E6">
      <w:pPr>
        <w:pStyle w:val="NoSpacing"/>
        <w:rPr>
          <w:lang w:val="en-GB"/>
        </w:rPr>
      </w:pPr>
      <w:r w:rsidRPr="0082680A">
        <w:rPr>
          <w:noProof/>
          <w:lang w:val="en-GB"/>
        </w:rPr>
        <w:lastRenderedPageBreak/>
        <w:drawing>
          <wp:inline distT="0" distB="0" distL="0" distR="0" wp14:anchorId="5FD203F2" wp14:editId="16EE5520">
            <wp:extent cx="5039360" cy="3422565"/>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D_DEGProportions.pdf"/>
                    <pic:cNvPicPr/>
                  </pic:nvPicPr>
                  <pic:blipFill>
                    <a:blip r:embed="rId99">
                      <a:extLst>
                        <a:ext uri="{28A0092B-C50C-407E-A947-70E740481C1C}">
                          <a14:useLocalDpi xmlns:a14="http://schemas.microsoft.com/office/drawing/2010/main" val="0"/>
                        </a:ext>
                      </a:extLst>
                    </a:blip>
                    <a:stretch>
                      <a:fillRect/>
                    </a:stretch>
                  </pic:blipFill>
                  <pic:spPr bwMode="auto">
                    <a:xfrm>
                      <a:off x="0" y="0"/>
                      <a:ext cx="5039360" cy="3422565"/>
                    </a:xfrm>
                    <a:prstGeom prst="rect">
                      <a:avLst/>
                    </a:prstGeom>
                    <a:ln>
                      <a:noFill/>
                    </a:ln>
                    <a:extLst>
                      <a:ext uri="{53640926-AAD7-44D8-BBD7-CCE9431645EC}">
                        <a14:shadowObscured xmlns:a14="http://schemas.microsoft.com/office/drawing/2010/main"/>
                      </a:ext>
                    </a:extLst>
                  </pic:spPr>
                </pic:pic>
              </a:graphicData>
            </a:graphic>
          </wp:inline>
        </w:drawing>
      </w:r>
    </w:p>
    <w:p w14:paraId="3CB2B89A" w14:textId="3CBE3ACC" w:rsidR="00A876E6" w:rsidRPr="0082680A" w:rsidRDefault="00A876E6" w:rsidP="00A876E6">
      <w:pPr>
        <w:pStyle w:val="Caption"/>
        <w:rPr>
          <w:b w:val="0"/>
          <w:lang w:val="en-GB"/>
        </w:rPr>
      </w:pPr>
      <w:bookmarkStart w:id="258" w:name="_Toc3225939"/>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25</w:t>
      </w:r>
      <w:r>
        <w:rPr>
          <w:lang w:val="en-GB"/>
        </w:rPr>
        <w:fldChar w:fldCharType="end"/>
      </w:r>
      <w:r w:rsidRPr="0082680A">
        <w:rPr>
          <w:lang w:val="en-GB"/>
        </w:rPr>
        <w:t xml:space="preserve">: </w:t>
      </w:r>
      <w:r>
        <w:rPr>
          <w:b w:val="0"/>
          <w:lang w:val="en-GB"/>
        </w:rPr>
        <w:t xml:space="preserve">Total numbers of genes passing quality control </w:t>
      </w:r>
      <w:r w:rsidRPr="0082680A">
        <w:rPr>
          <w:b w:val="0"/>
          <w:lang w:val="en-GB"/>
        </w:rPr>
        <w:t>in each PD dataset</w:t>
      </w:r>
      <w:r>
        <w:rPr>
          <w:b w:val="0"/>
          <w:lang w:val="en-GB"/>
        </w:rPr>
        <w:t>, along with numbers</w:t>
      </w:r>
      <w:r w:rsidRPr="0082680A">
        <w:rPr>
          <w:b w:val="0"/>
          <w:lang w:val="en-GB"/>
        </w:rPr>
        <w:t xml:space="preserve"> of up and downregulated genes</w:t>
      </w:r>
      <w:r>
        <w:rPr>
          <w:b w:val="0"/>
          <w:lang w:val="en-GB"/>
        </w:rPr>
        <w:t>.</w:t>
      </w:r>
      <w:bookmarkEnd w:id="258"/>
    </w:p>
    <w:p w14:paraId="2F60B5E7" w14:textId="77777777" w:rsidR="00A876E6" w:rsidRPr="0082680A" w:rsidRDefault="00A876E6" w:rsidP="00A876E6">
      <w:pPr>
        <w:rPr>
          <w:lang w:val="en-GB"/>
        </w:rPr>
      </w:pPr>
    </w:p>
    <w:p w14:paraId="2C2F1D1C" w14:textId="77777777" w:rsidR="00A876E6" w:rsidRPr="0082680A" w:rsidRDefault="00A876E6" w:rsidP="00A876E6">
      <w:pPr>
        <w:pStyle w:val="NoSpacing"/>
        <w:rPr>
          <w:lang w:val="en-GB"/>
        </w:rPr>
      </w:pPr>
      <w:r w:rsidRPr="0082680A">
        <w:rPr>
          <w:noProof/>
          <w:lang w:val="en-GB"/>
        </w:rPr>
        <w:drawing>
          <wp:inline distT="0" distB="0" distL="0" distR="0" wp14:anchorId="504469EA" wp14:editId="6BA0262C">
            <wp:extent cx="5074458" cy="2323475"/>
            <wp:effectExtent l="0" t="0" r="571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D_DEGRPT_ResultsTable.pdf"/>
                    <pic:cNvPicPr/>
                  </pic:nvPicPr>
                  <pic:blipFill rotWithShape="1">
                    <a:blip r:embed="rId100">
                      <a:extLst>
                        <a:ext uri="{28A0092B-C50C-407E-A947-70E740481C1C}">
                          <a14:useLocalDpi xmlns:a14="http://schemas.microsoft.com/office/drawing/2010/main" val="0"/>
                        </a:ext>
                      </a:extLst>
                    </a:blip>
                    <a:srcRect b="32583"/>
                    <a:stretch/>
                  </pic:blipFill>
                  <pic:spPr bwMode="auto">
                    <a:xfrm>
                      <a:off x="0" y="0"/>
                      <a:ext cx="5093987" cy="2332417"/>
                    </a:xfrm>
                    <a:prstGeom prst="rect">
                      <a:avLst/>
                    </a:prstGeom>
                    <a:ln>
                      <a:noFill/>
                    </a:ln>
                    <a:extLst>
                      <a:ext uri="{53640926-AAD7-44D8-BBD7-CCE9431645EC}">
                        <a14:shadowObscured xmlns:a14="http://schemas.microsoft.com/office/drawing/2010/main"/>
                      </a:ext>
                    </a:extLst>
                  </pic:spPr>
                </pic:pic>
              </a:graphicData>
            </a:graphic>
          </wp:inline>
        </w:drawing>
      </w:r>
    </w:p>
    <w:p w14:paraId="267C8BDF" w14:textId="6274AC99" w:rsidR="00A876E6" w:rsidRPr="0082680A" w:rsidRDefault="00A876E6" w:rsidP="00A876E6">
      <w:pPr>
        <w:pStyle w:val="Caption"/>
        <w:rPr>
          <w:b w:val="0"/>
          <w:lang w:val="en-GB"/>
        </w:rPr>
      </w:pPr>
      <w:bookmarkStart w:id="259" w:name="_Toc3225940"/>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26</w:t>
      </w:r>
      <w:r>
        <w:rPr>
          <w:lang w:val="en-GB"/>
        </w:rPr>
        <w:fldChar w:fldCharType="end"/>
      </w:r>
      <w:r w:rsidRPr="0082680A">
        <w:rPr>
          <w:lang w:val="en-GB"/>
        </w:rPr>
        <w:t xml:space="preserve">: </w:t>
      </w:r>
      <w:r w:rsidRPr="0082680A">
        <w:rPr>
          <w:b w:val="0"/>
          <w:lang w:val="en-GB"/>
        </w:rPr>
        <w:t xml:space="preserve">Comparison of PD </w:t>
      </w:r>
      <w:r>
        <w:rPr>
          <w:b w:val="0"/>
          <w:lang w:val="en-GB"/>
        </w:rPr>
        <w:t xml:space="preserve">common </w:t>
      </w:r>
      <w:r w:rsidRPr="0082680A">
        <w:rPr>
          <w:b w:val="0"/>
          <w:lang w:val="en-GB"/>
        </w:rPr>
        <w:t xml:space="preserve">DEG results </w:t>
      </w:r>
      <w:r>
        <w:rPr>
          <w:b w:val="0"/>
          <w:lang w:val="en-GB"/>
        </w:rPr>
        <w:t>(</w:t>
      </w:r>
      <w:r w:rsidRPr="008D4E4B">
        <w:rPr>
          <w:b w:val="0"/>
          <w:i/>
          <w:lang w:val="en-GB"/>
        </w:rPr>
        <w:t>Actual Value</w:t>
      </w:r>
      <w:r>
        <w:rPr>
          <w:b w:val="0"/>
          <w:lang w:val="en-GB"/>
        </w:rPr>
        <w:t xml:space="preserve">) </w:t>
      </w:r>
      <w:r w:rsidRPr="0082680A">
        <w:rPr>
          <w:b w:val="0"/>
          <w:lang w:val="en-GB"/>
        </w:rPr>
        <w:t>and those expected by chance</w:t>
      </w:r>
      <w:r>
        <w:rPr>
          <w:b w:val="0"/>
          <w:lang w:val="en-GB"/>
        </w:rPr>
        <w:t xml:space="preserve"> according to random permutation testing (</w:t>
      </w:r>
      <w:r w:rsidRPr="008D4E4B">
        <w:rPr>
          <w:b w:val="0"/>
          <w:i/>
          <w:lang w:val="en-GB"/>
        </w:rPr>
        <w:t xml:space="preserve">Expected Mean </w:t>
      </w:r>
      <w:r w:rsidRPr="008D4E4B">
        <w:rPr>
          <w:b w:val="0"/>
          <w:lang w:val="en-GB"/>
        </w:rPr>
        <w:t>and</w:t>
      </w:r>
      <w:r w:rsidRPr="008D4E4B">
        <w:rPr>
          <w:b w:val="0"/>
          <w:i/>
          <w:lang w:val="en-GB"/>
        </w:rPr>
        <w:t xml:space="preserve"> Expected Range</w:t>
      </w:r>
      <w:r>
        <w:rPr>
          <w:b w:val="0"/>
          <w:lang w:val="en-GB"/>
        </w:rPr>
        <w:t>)</w:t>
      </w:r>
      <w:bookmarkEnd w:id="259"/>
    </w:p>
    <w:p w14:paraId="130EB58B" w14:textId="77777777" w:rsidR="00A876E6" w:rsidRPr="008D4E4B" w:rsidRDefault="00A876E6" w:rsidP="00A876E6">
      <w:pPr>
        <w:rPr>
          <w:iCs/>
          <w:color w:val="000000" w:themeColor="text1"/>
          <w:sz w:val="20"/>
          <w:szCs w:val="18"/>
          <w:lang w:val="en-GB"/>
        </w:rPr>
      </w:pPr>
      <w:r w:rsidRPr="0082680A">
        <w:rPr>
          <w:b/>
          <w:lang w:val="en-GB"/>
        </w:rPr>
        <w:br w:type="page"/>
      </w:r>
    </w:p>
    <w:p w14:paraId="36574C92" w14:textId="77777777" w:rsidR="00A876E6" w:rsidRPr="00691215" w:rsidRDefault="00A876E6" w:rsidP="00A876E6">
      <w:pPr>
        <w:pStyle w:val="Heading3"/>
      </w:pPr>
      <w:bookmarkStart w:id="260" w:name="_k85zoimqlo0a" w:colFirst="0" w:colLast="0"/>
      <w:bookmarkStart w:id="261" w:name="_Toc3211407"/>
      <w:bookmarkEnd w:id="260"/>
      <w:r w:rsidRPr="00691215">
        <w:lastRenderedPageBreak/>
        <w:t>Functional and benchmark enrichment of differentially expressed genes</w:t>
      </w:r>
      <w:bookmarkEnd w:id="261"/>
    </w:p>
    <w:p w14:paraId="4E2143EC" w14:textId="3659A4C0" w:rsidR="00A876E6" w:rsidRPr="0082680A" w:rsidRDefault="00A876E6" w:rsidP="00A876E6">
      <w:pPr>
        <w:rPr>
          <w:lang w:val="en-GB"/>
        </w:rPr>
      </w:pPr>
      <w:r w:rsidRPr="0082680A">
        <w:rPr>
          <w:lang w:val="en-GB"/>
        </w:rPr>
        <w:t xml:space="preserve">Benchmark enrichment analysis shows significant enrichment of all three lists, though some overlap is present (Table </w:t>
      </w:r>
      <w:r>
        <w:rPr>
          <w:lang w:val="en-GB"/>
        </w:rPr>
        <w:t>27</w:t>
      </w:r>
      <w:r w:rsidRPr="0082680A">
        <w:rPr>
          <w:lang w:val="en-GB"/>
        </w:rPr>
        <w:t xml:space="preserve">). Within this list is </w:t>
      </w:r>
      <w:r w:rsidRPr="0082680A">
        <w:rPr>
          <w:i/>
          <w:lang w:val="en-GB"/>
        </w:rPr>
        <w:t>SNCA</w:t>
      </w:r>
      <w:r w:rsidRPr="0082680A">
        <w:rPr>
          <w:lang w:val="en-GB"/>
        </w:rPr>
        <w:t xml:space="preserve"> and </w:t>
      </w:r>
      <w:r w:rsidRPr="0082680A">
        <w:rPr>
          <w:i/>
          <w:lang w:val="en-GB"/>
        </w:rPr>
        <w:t>UCHL1,</w:t>
      </w:r>
      <w:r w:rsidRPr="0082680A">
        <w:rPr>
          <w:lang w:val="en-GB"/>
        </w:rPr>
        <w:t xml:space="preserve"> two causative genes of PD (though </w:t>
      </w:r>
      <w:r w:rsidRPr="0082680A">
        <w:rPr>
          <w:i/>
          <w:lang w:val="en-GB"/>
        </w:rPr>
        <w:t>UCHL1</w:t>
      </w:r>
      <w:r w:rsidRPr="0082680A">
        <w:rPr>
          <w:lang w:val="en-GB"/>
        </w:rPr>
        <w:t xml:space="preserve">’s association is still debated). </w:t>
      </w:r>
      <w:r w:rsidRPr="0082680A">
        <w:rPr>
          <w:i/>
          <w:lang w:val="en-GB"/>
        </w:rPr>
        <w:t>SPR</w:t>
      </w:r>
      <w:r w:rsidRPr="0082680A">
        <w:rPr>
          <w:lang w:val="en-GB"/>
        </w:rPr>
        <w:t xml:space="preserve"> is located in the - as of yet - unassigned PARK3 locus associated with PD, but is not currently considered a causative PD gene </w:t>
      </w:r>
      <w:r w:rsidRPr="0082680A">
        <w:rPr>
          <w:lang w:val="en-GB"/>
        </w:rPr>
        <w:fldChar w:fldCharType="begin" w:fldLock="1"/>
      </w:r>
      <w:r>
        <w:rPr>
          <w:lang w:val="en-GB"/>
        </w:rPr>
        <w:instrText>ADDIN CSL_CITATION {"citationItems":[{"id":"ITEM-1","itemData":{"DOI":"10.1136/jmg.2005.039149","ISSN":"1468-6244","PMID":"16443856","abstract":"BACKGROUND Parkinson's disease is a genetically complex disease with mixed mode of inheritance. Recently, a haplotype across the sepiapterin reductase (SPR) gene, which is located in the PARK3 linkage region, was shown to modulate age of onset of Parkinson's disease in sibships from North America. OBJECTIVE To make a thorough assessment of the SPR gene region in sporadic Parkinson's disease. METHODS A linkage study in 122 European sibship families with five microsatellite and 17 single nucleotide polymorphism (SNP) markers in and around the SPR gene region, and an association analysis in 340 sporadic cases of Parkinson's disease and 680 control subjects from Germany with 40 SNPs. Linkage was evaluated by non-parametric linkage scores and genotypic or haplotype association was tested by regression analysis, assuming different risk effect models. RESULTS Significant LOD scores between 2 and 3 were obtained at the two SPR-flanking markers D2S2110 and D2S1394 and seven SNP markers around the SPR gene. We found the previously reported promoter SNP rs1876487 also significantly associated with age of onset in our sib pair families (p-value 0.02). One strong linkage disequilibrium (LD) block of 45 kb including the entire SPR gene was observed. Within this LD block all 14 inter-correlated SNPs were significantly associated with Parkinson's disease affection status (p-value 0.004). CONCLUSIONS DNA polymorphisms in a highly intercorrelated LD block, which includes the SPR gene, appear to be associated with both sporadic and familial Parkinson's disease. This confirms a previous study showing that SPR potentially modulates the onset of or risk for Parkinson's disease.","author":[{"dropping-particle":"","family":"Sharma","given":"M","non-dropping-particle":"","parse-names":false,"suffix":""},{"dropping-particle":"","family":"Mueller","given":"J C","non-dropping-particle":"","parse-names":false,"suffix":""},{"dropping-particle":"","family":"Zimprich","given":"A","non-dropping-particle":"","parse-names":false,"suffix":""},{"dropping-particle":"","family":"Lichtner","given":"P","non-dropping-particle":"","parse-names":false,"suffix":""},{"dropping-particle":"","family":"Hofer","given":"A","non-dropping-particle":"","parse-names":false,"suffix":""},{"dropping-particle":"","family":"Leitner","given":"P","non-dropping-particle":"","parse-names":false,"suffix":""},{"dropping-particle":"","family":"Maass","given":"S","non-dropping-particle":"","parse-names":false,"suffix":""},{"dropping-particle":"","family":"Berg","given":"D","non-dropping-particle":"","parse-names":false,"suffix":""},{"dropping-particle":"","family":"Dürr","given":"A","non-dropping-particle":"","parse-names":false,"suffix":""},{"dropping-particle":"","family":"Bonifati","given":"V","non-dropping-particle":"","parse-names":false,"suffix":""},{"dropping-particle":"","family":"Michele","given":"G","non-dropping-particle":"De","parse-names":false,"suffix":""},{"dropping-particle":"","family":"Oostra","given":"B","non-dropping-particle":"","parse-names":false,"suffix":""},{"dropping-particle":"","family":"Brice","given":"A","non-dropping-particle":"","parse-names":false,"suffix":""},{"dropping-particle":"","family":"Wood","given":"N W","non-dropping-particle":"","parse-names":false,"suffix":""},{"dropping-particle":"","family":"Muller-Myhsok","given":"B","non-dropping-particle":"","parse-names":false,"suffix":""},{"dropping-particle":"","family":"Gasser","given":"T","non-dropping-particle":"","parse-names":false,"suffix":""},{"dropping-particle":"","family":"European Consortium on Genetic Susceptibility in Parkinson's Disease (GSPD)","given":"","non-dropping-particle":"","parse-names":false,"suffix":""}],"container-title":"Journal of medical genetics","id":"ITEM-1","issue":"7","issued":{"date-parts":[["2006","7","18"]]},"page":"557-62","title":"The sepiapterin reductase gene region reveals association in the PARK3 locus: analysis of familial and sporadic Parkinson's disease in European populations.","type":"article-journal","volume":"43"},"uris":["http://www.mendeley.com/documents/?uuid=32de8509-e264-3d69-8fd5-9dfb4395c846"]}],"mendeley":{"formattedCitation":"&lt;sup&gt;333&lt;/sup&gt;","plainTextFormattedCitation":"333","previouslyFormattedCitation":"&lt;sup&gt;333&lt;/sup&gt;"},"properties":{"noteIndex":0},"schema":"https://github.com/citation-style-language/schema/raw/master/csl-citation.json"}</w:instrText>
      </w:r>
      <w:r w:rsidRPr="0082680A">
        <w:rPr>
          <w:lang w:val="en-GB"/>
        </w:rPr>
        <w:fldChar w:fldCharType="separate"/>
      </w:r>
      <w:r w:rsidRPr="00426B19">
        <w:rPr>
          <w:noProof/>
          <w:vertAlign w:val="superscript"/>
          <w:lang w:val="en-GB"/>
        </w:rPr>
        <w:t>333</w:t>
      </w:r>
      <w:r w:rsidRPr="0082680A">
        <w:rPr>
          <w:lang w:val="en-GB"/>
        </w:rPr>
        <w:fldChar w:fldCharType="end"/>
      </w:r>
      <w:r w:rsidRPr="0082680A">
        <w:rPr>
          <w:lang w:val="en-GB"/>
        </w:rPr>
        <w:t xml:space="preserve">. </w:t>
      </w:r>
      <w:r w:rsidRPr="0082680A">
        <w:rPr>
          <w:i/>
          <w:lang w:val="en-GB"/>
        </w:rPr>
        <w:t>MSX1</w:t>
      </w:r>
      <w:r w:rsidRPr="0082680A">
        <w:rPr>
          <w:lang w:val="en-GB"/>
        </w:rPr>
        <w:t xml:space="preserve">, </w:t>
      </w:r>
      <w:r w:rsidRPr="0082680A">
        <w:rPr>
          <w:i/>
          <w:lang w:val="en-GB"/>
        </w:rPr>
        <w:t>ALDH1A1</w:t>
      </w:r>
      <w:r w:rsidRPr="0082680A">
        <w:rPr>
          <w:lang w:val="en-GB"/>
        </w:rPr>
        <w:t xml:space="preserve">, and </w:t>
      </w:r>
      <w:r w:rsidRPr="0082680A">
        <w:rPr>
          <w:i/>
          <w:lang w:val="en-GB"/>
        </w:rPr>
        <w:t>CYCS</w:t>
      </w:r>
      <w:r w:rsidRPr="0082680A">
        <w:rPr>
          <w:lang w:val="en-GB"/>
        </w:rPr>
        <w:t xml:space="preserve"> have each been implicated in the downstream mechanisms of PD-related dopaminergic neurodegeneration </w:t>
      </w:r>
      <w:r w:rsidRPr="0082680A">
        <w:rPr>
          <w:lang w:val="en-GB"/>
        </w:rPr>
        <w:fldChar w:fldCharType="begin" w:fldLock="1"/>
      </w:r>
      <w:r>
        <w:rPr>
          <w:lang w:val="en-GB"/>
        </w:rPr>
        <w:instrText>ADDIN CSL_CITATION {"citationItems":[{"id":"ITEM-1","itemData":{"DOI":"10.1016/j.cell.2005.10.037","ISSN":"0092-8674","PMID":"16439212","abstract":"The prospect of using cell replacement therapies has raised the key issue of whether elucidation of developmental pathways can facilitate the generation of therapeutically important cell types from stem cells. Here we show that the homeodomain proteins Lmx1a and Msx1 function as determinants of midbrain dopamine neurons, cells that degenerate in patients with Parkinson's disease. Lmx1a is sufficient and required to trigger dopamine cell differentiation. An early activity of Lmx1a is to induce the expression of Msx1, which complements Lmx1a by inducing the proneural protein Ngn2 and neuronal differentiation. Importantly, expression of Lmx1a in embryonic stem cells results in a robust generation of dopamine neurons with a \"correct\" midbrain identity. These data establish that Lmx1a and Msx1 are critical intrinsic dopamine-neuron determinants in vivo and suggest that they may be essential tools in cell replacement strategies in Parkinson's disease.","author":[{"dropping-particle":"","family":"Andersson","given":"Elisabet","non-dropping-particle":"","parse-names":false,"suffix":""},{"dropping-particle":"","family":"Tryggvason","given":"Ulrika","non-dropping-particle":"","parse-names":false,"suffix":""},{"dropping-particle":"","family":"Deng","given":"Qiaolin","non-dropping-particle":"","parse-names":false,"suffix":""},{"dropping-particle":"","family":"Friling","given":"Stina","non-dropping-particle":"","parse-names":false,"suffix":""},{"dropping-particle":"","family":"Alekseenko","given":"Zhanna","non-dropping-particle":"","parse-names":false,"suffix":""},{"dropping-particle":"","family":"Robert","given":"Benoit","non-dropping-particle":"","parse-names":false,"suffix":""},{"dropping-particle":"","family":"Perlmann","given":"Thomas","non-dropping-particle":"","parse-names":false,"suffix":""},{"dropping-particle":"","family":"Ericson","given":"Johan","non-dropping-particle":"","parse-names":false,"suffix":""}],"container-title":"Cell","id":"ITEM-1","issue":"2","issued":{"date-parts":[["2006","1","27"]]},"page":"393-405","title":"Identification of intrinsic determinants of midbrain dopamine neurons.","type":"article-journal","volume":"124"},"uris":["http://www.mendeley.com/documents/?uuid=40bbc966-483b-333c-aa63-7a21aa8bb1aa"]},{"id":"ITEM-2","itemData":{"ISSN":"0969-9961","PMID":"14678778","abstract":"Dopamine (DA) neurons degenerate in Parkinson's disease and dopamine neurotransmission may be affected in psychotic states seen in schizophrenia. Understanding the regulation of enzymes involved in DA metabolism may therefore lead to new treatment strategies for these severe conditions. We investigated mRNA expression of the cytosolic aldehyde dehydrogenase (ALDH1), presumably involved in DA degradation, by in situ hybridization in DA neurons of human postmortem material. Parallel labeling for GAPDH, neuron-specific enolase, tyrosine hydroxylase, dopamine transporter, and dopamine beta-hydroxylase was used to ensure suitability of tissue specimen and to identify all dopamine neurons. ALDH1 was found to be expressed highly and specifically in DA cells of both substantia nigra (SN) and the ventral tegmental area (VTA) of controls. A marked reduction of ALDH1 expression was seen in surviving neurons of SN pars compacta but not of those in the VTA in Parkinson's disease. In patients suffering from schizophrenia we found ALDH1 expression at normal levels in DA cells of SN but at significantly reduced levels in those of the VTA. We conclude that ALDH1 is strongly and specifically expressed in human mesencephalic dopamine neurons and that low levels of ALDH1 expression correlate with DA neuron dysfunction in the two investigated human conditions.","author":[{"dropping-particle":"","family":"Galter","given":"Dagmar","non-dropping-particle":"","parse-names":false,"suffix":""},{"dropping-particle":"","family":"Buervenich","given":"Silvia","non-dropping-particle":"","parse-names":false,"suffix":""},{"dropping-particle":"","family":"Carmine","given":"Andrea","non-dropping-particle":"","parse-names":false,"suffix":""},{"dropping-particle":"","family":"Anvret","given":"Maria","non-dropping-particle":"","parse-names":false,"suffix":""},{"dropping-particle":"","family":"Olson","given":"Lars","non-dropping-particle":"","parse-names":false,"suffix":""}],"container-title":"Neurobiology of disease","id":"ITEM-2","issue":"3","issued":{"date-parts":[["2003","12"]]},"page":"637-47","title":"ALDH1 mRNA: presence in human dopamine neurons and decreases in substantia nigra in Parkinson's disease and in the ventral tegmental area in schizophrenia.","type":"article-journal","volume":"14"},"uris":["http://www.mendeley.com/documents/?uuid=7ecb47ca-49b2-3ce2-9338-bb558d71fb2e"]},{"id":"ITEM-3","itemData":{"ISSN":"0021-9258","PMID":"10506125","abstract":"alpha-Synuclein is a major component of aggregates forming amyloid-like fibrils in diseases with Lewy bodies and other neurodegenerative disorders, yet the mechanism by which alpha-synuclein is intracellularly aggregated during neurodegeneration is poorly understood. Recent studies suggest that oxidative stress reactions might contribute to abnormal aggregation of this molecule. In this context, the main objective of the present study was to determine the potential role of the heme protein cytochrome c in alpha-synuclein aggregation. When recombinant alpha-synuclein was coincubated with cytochrome c/hydrogen peroxide, alpha-synuclein was concomitantly induced to be aggregated. This process was blocked by antioxidant agents such as N-acetyl-L-cysteine. Hemin/hydrogen peroxide similarly induced aggregation of alpha-synuclein, and both cytochrome c/hydrogen peroxide- and hemin/hydrogen peroxide-induced aggregation of alpha-synuclein was partially inhibited by treatment with iron chelator deferoxisamine. This indicates that iron-catalyzed oxidative reaction mediated by cytochrome c/hydrogen peroxide might be critically involved in promoting alpha-synuclein aggregation. Furthermore, double labeling studies for cytochrome c/alpha-synuclein showed that they were colocalized in Lewy bodies of patients with Parkinson's disease. Taken together, these results suggest that cytochrome c, a well known electron transfer, and mediator of apoptotic cell death may be involved in the oxidative stress-induced aggregation of alpha-synuclein in Parkinson's disease and related disorders.","author":[{"dropping-particle":"","family":"Hashimoto","given":"M","non-dropping-particle":"","parse-names":false,"suffix":""},{"dropping-particle":"","family":"Takeda","given":"A","non-dropping-particle":"","parse-names":false,"suffix":""},{"dropping-particle":"","family":"Hsu","given":"L J","non-dropping-particle":"","parse-names":false,"suffix":""},{"dropping-particle":"","family":"Takenouchi","given":"T","non-dropping-particle":"","parse-names":false,"suffix":""},{"dropping-particle":"","family":"Masliah","given":"E","non-dropping-particle":"","parse-names":false,"suffix":""}],"container-title":"The Journal of biological chemistry","id":"ITEM-3","issue":"41","issued":{"date-parts":[["1999","10","8"]]},"page":"28849-52","title":"Role of cytochrome c as a stimulator of alpha-synuclein aggregation in Lewy body disease.","type":"article-journal","volume":"274"},"uris":["http://www.mendeley.com/documents/?uuid=0fd61f56-6bcc-39cd-afc5-c60d05882c2b"]}],"mendeley":{"formattedCitation":"&lt;sup&gt;334–336&lt;/sup&gt;","plainTextFormattedCitation":"334–336","previouslyFormattedCitation":"&lt;sup&gt;334–336&lt;/sup&gt;"},"properties":{"noteIndex":0},"schema":"https://github.com/citation-style-language/schema/raw/master/csl-citation.json"}</w:instrText>
      </w:r>
      <w:r w:rsidRPr="0082680A">
        <w:rPr>
          <w:lang w:val="en-GB"/>
        </w:rPr>
        <w:fldChar w:fldCharType="separate"/>
      </w:r>
      <w:r w:rsidRPr="00426B19">
        <w:rPr>
          <w:noProof/>
          <w:vertAlign w:val="superscript"/>
          <w:lang w:val="en-GB"/>
        </w:rPr>
        <w:t>334–336</w:t>
      </w:r>
      <w:r w:rsidRPr="0082680A">
        <w:rPr>
          <w:lang w:val="en-GB"/>
        </w:rPr>
        <w:fldChar w:fldCharType="end"/>
      </w:r>
      <w:r w:rsidRPr="0082680A">
        <w:rPr>
          <w:lang w:val="en-GB"/>
        </w:rPr>
        <w:t xml:space="preserve">. PD GWAS gene overlap again contained </w:t>
      </w:r>
      <w:r w:rsidRPr="0082680A">
        <w:rPr>
          <w:i/>
          <w:lang w:val="en-GB"/>
        </w:rPr>
        <w:t>SNCA</w:t>
      </w:r>
      <w:r w:rsidRPr="0082680A">
        <w:rPr>
          <w:lang w:val="en-GB"/>
        </w:rPr>
        <w:t xml:space="preserve">. </w:t>
      </w:r>
      <w:r w:rsidRPr="0082680A">
        <w:rPr>
          <w:i/>
          <w:lang w:val="en-GB"/>
        </w:rPr>
        <w:t>SYT11</w:t>
      </w:r>
      <w:r w:rsidRPr="0082680A">
        <w:rPr>
          <w:lang w:val="en-GB"/>
        </w:rPr>
        <w:t xml:space="preserve"> is a synaptotagmin, regulating calcium dependent trafficking of synaptic vesicles, and has recently been discovered to be a mediator of </w:t>
      </w:r>
      <w:r w:rsidRPr="0082680A">
        <w:rPr>
          <w:i/>
          <w:lang w:val="en-GB"/>
        </w:rPr>
        <w:t>PRKN</w:t>
      </w:r>
      <w:r w:rsidRPr="0082680A">
        <w:rPr>
          <w:lang w:val="en-GB"/>
        </w:rPr>
        <w:t xml:space="preserve">-linked neurotoxicity </w:t>
      </w:r>
      <w:r w:rsidRPr="0082680A">
        <w:rPr>
          <w:lang w:val="en-GB"/>
        </w:rPr>
        <w:fldChar w:fldCharType="begin" w:fldLock="1"/>
      </w:r>
      <w:r>
        <w:rPr>
          <w:lang w:val="en-GB"/>
        </w:rPr>
        <w:instrText>ADDIN CSL_CITATION {"citationItems":[{"id":"ITEM-1","itemData":{"DOI":"10.1038/s41467-017-02593-y","ISSN":"2041-1723","abstract":"Loss-of-function mutations in Parkin are the most common causes of autosomal recessive Parkinson’s disease (PD). Many putative substrates of parkin have been reported; their pathogenic roles, however, remain obscure due to poor characterization, particularly in vivo. Here, we show that synaptotagmin-11, encoded by a PD-risk gene SYT11, is a physiological substrate of parkin and plays critical roles in mediating parkin-linked neurotoxicity. Unilateral overexpression of full-length, but not C2B-truncated, synaptotagmin-11 in the substantia nigra pars compacta (SNpc) impairs ipsilateral striatal dopamine release, causes late-onset degeneration of dopaminergic neurons, and induces progressive contralateral motor abnormalities. Mechanistically, synaptotagmin-11 impairs vesicle pool replenishment and thus dopamine release by inhibiting endocytosis. Furthermore, parkin deficiency induces synaptotagmin-11 accumulation and PD-like neurotoxicity in mouse models, which is reversed by SYT11 knockdown in the SNpc or knockout of SYT11 restricted to dopaminergic neurons. Thus, PD-like neurotoxicity induced by parkin dysfunction requires synaptotagmin-11 accumulation in SNpc dopaminergic neurons.","author":[{"dropping-particle":"","family":"Wang","given":"Changhe","non-dropping-particle":"","parse-names":false,"suffix":""},{"dropping-particle":"","family":"Kang","given":"Xinjiang","non-dropping-particle":"","parse-names":false,"suffix":""},{"dropping-particle":"","family":"Zhou","given":"Li","non-dropping-particle":"","parse-names":false,"suffix":""},{"dropping-particle":"","family":"Chai","given":"Zuying","non-dropping-particle":"","parse-names":false,"suffix":""},{"dropping-particle":"","family":"Wu","given":"Qihui","non-dropping-particle":"","parse-names":false,"suffix":""},{"dropping-particle":"","family":"Huang","given":"Rong","non-dropping-particle":"","parse-names":false,"suffix":""},{"dropping-particle":"","family":"Xu","given":"Huadong","non-dropping-particle":"","parse-names":false,"suffix":""},{"dropping-particle":"","family":"Hu","given":"Meiqin","non-dropping-particle":"","parse-names":false,"suffix":""},{"dropping-particle":"","family":"Sun","given":"Xiaoxuan","non-dropping-particle":"","parse-names":false,"suffix":""},{"dropping-particle":"","family":"Sun","given":"Suhua","non-dropping-particle":"","parse-names":false,"suffix":""},{"dropping-particle":"","family":"Li","given":"Jie","non-dropping-particle":"","parse-names":false,"suffix":""},{"dropping-particle":"","family":"Jiao","given":"Ruiying","non-dropping-particle":"","parse-names":false,"suffix":""},{"dropping-particle":"","family":"Zuo","given":"Panli","non-dropping-particle":"","parse-names":false,"suffix":""},{"dropping-particle":"","family":"Zheng","given":"Lianghong","non-dropping-particle":"","parse-names":false,"suffix":""},{"dropping-particle":"","family":"Yue","given":"Zhenyu","non-dropping-particle":"","parse-names":false,"suffix":""},{"dropping-particle":"","family":"Zhou","given":"Zhuan","non-dropping-particle":"","parse-names":false,"suffix":""}],"container-title":"Nature Communications","id":"ITEM-1","issue":"1","issued":{"date-parts":[["2018","12","8"]]},"page":"81","publisher":"Nature Publishing Group","title":"Synaptotagmin-11 is a critical mediator of parkin-linked neurotoxicity and Parkinson’s disease-like pathology","type":"article-journal","volume":"9"},"uris":["http://www.mendeley.com/documents/?uuid=eb0e04a9-9820-3b84-b6bb-7545033392bf"]}],"mendeley":{"formattedCitation":"&lt;sup&gt;337&lt;/sup&gt;","plainTextFormattedCitation":"337","previouslyFormattedCitation":"&lt;sup&gt;337&lt;/sup&gt;"},"properties":{"noteIndex":0},"schema":"https://github.com/citation-style-language/schema/raw/master/csl-citation.json"}</w:instrText>
      </w:r>
      <w:r w:rsidRPr="0082680A">
        <w:rPr>
          <w:lang w:val="en-GB"/>
        </w:rPr>
        <w:fldChar w:fldCharType="separate"/>
      </w:r>
      <w:r w:rsidRPr="00426B19">
        <w:rPr>
          <w:noProof/>
          <w:vertAlign w:val="superscript"/>
          <w:lang w:val="en-GB"/>
        </w:rPr>
        <w:t>337</w:t>
      </w:r>
      <w:r w:rsidRPr="0082680A">
        <w:rPr>
          <w:lang w:val="en-GB"/>
        </w:rPr>
        <w:fldChar w:fldCharType="end"/>
      </w:r>
      <w:r w:rsidRPr="0082680A">
        <w:rPr>
          <w:lang w:val="en-GB"/>
        </w:rPr>
        <w:t xml:space="preserve">. </w:t>
      </w:r>
      <w:r w:rsidRPr="0082680A">
        <w:rPr>
          <w:i/>
          <w:lang w:val="en-GB"/>
        </w:rPr>
        <w:t>LRRK2</w:t>
      </w:r>
      <w:r w:rsidRPr="0082680A">
        <w:rPr>
          <w:lang w:val="en-GB"/>
        </w:rPr>
        <w:t xml:space="preserve"> PPI genes contained </w:t>
      </w:r>
      <w:r w:rsidRPr="0082680A">
        <w:rPr>
          <w:i/>
          <w:lang w:val="en-GB"/>
        </w:rPr>
        <w:t>SNCA</w:t>
      </w:r>
      <w:r w:rsidRPr="0082680A">
        <w:rPr>
          <w:lang w:val="en-GB"/>
        </w:rPr>
        <w:t xml:space="preserve"> and </w:t>
      </w:r>
      <w:r w:rsidRPr="0082680A">
        <w:rPr>
          <w:i/>
          <w:lang w:val="en-GB"/>
        </w:rPr>
        <w:t>STY11</w:t>
      </w:r>
      <w:r w:rsidRPr="0082680A">
        <w:rPr>
          <w:lang w:val="en-GB"/>
        </w:rPr>
        <w:t xml:space="preserve">, but also contained </w:t>
      </w:r>
      <w:r w:rsidRPr="0082680A">
        <w:rPr>
          <w:i/>
          <w:lang w:val="en-GB"/>
        </w:rPr>
        <w:t>MAP1B</w:t>
      </w:r>
      <w:r w:rsidRPr="0082680A">
        <w:rPr>
          <w:lang w:val="en-GB"/>
        </w:rPr>
        <w:t xml:space="preserve">, whose light chain portion has been shown to rescue </w:t>
      </w:r>
      <w:r w:rsidRPr="0082680A">
        <w:rPr>
          <w:i/>
          <w:lang w:val="en-GB"/>
        </w:rPr>
        <w:t>LRRK2</w:t>
      </w:r>
      <w:r w:rsidRPr="0082680A">
        <w:rPr>
          <w:lang w:val="en-GB"/>
        </w:rPr>
        <w:t xml:space="preserve">-mutant toxicity </w:t>
      </w:r>
      <w:r w:rsidRPr="0082680A">
        <w:rPr>
          <w:lang w:val="en-GB"/>
        </w:rPr>
        <w:fldChar w:fldCharType="begin" w:fldLock="1"/>
      </w:r>
      <w:r>
        <w:rPr>
          <w:lang w:val="en-GB"/>
        </w:rPr>
        <w:instrText>ADDIN CSL_CITATION {"citationItems":[{"id":"ITEM-1","itemData":{"DOI":"10.1186/1756-6606-7-29","ISSN":"1756-6606","PMID":"24754922","abstract":"Leucine-rich repeat kinase 2 (LRRK2) mutations are the most common cause of dominant and sporadic Parkinson's disease (PD), a common neurodegenerative disorder. Yeast-two-hybrid screening using human LRRK2 kinase domain as bait identified microtubule associated protein 1B (MAP1B) as a LRRK2 interactor. The interacting domains were LRRK2 kinase and the light chain portion of MAP1B (LC1). LRRK2 + LC1 interaction resulted in LRRK2 kinase inhibition. LRRK2 mutants (R1441C, G2019S and I2020T) exhibited decreased endogenous LC1 expression and its co-expression with LC1 rescued LRRK2 mutant-mediated toxicity. This study presented the first data on the effects of LRRK2 + LC1 interaction and also suggested that LCI possibly rescued LRRK2 mutant-induced cytotoxicity by inhibiting LRRK2 kinase activity. Compounds that upregulate LC1 expression may therefore hold therapeutic potential for LRRK2-linked diseases.","author":[{"dropping-particle":"","family":"Chan","given":"Sharon L","non-dropping-particle":"","parse-names":false,"suffix":""},{"dropping-particle":"","family":"Chua","given":"Ling-Ling","non-dropping-particle":"","parse-names":false,"suffix":""},{"dropping-particle":"","family":"Angeles","given":"Dario C","non-dropping-particle":"","parse-names":false,"suffix":""},{"dropping-particle":"","family":"Tan","given":"Eng-King","non-dropping-particle":"","parse-names":false,"suffix":""}],"container-title":"Molecular brain","id":"ITEM-1","issue":"1","issued":{"date-parts":[["2014","4","22"]]},"page":"29","title":"MAP1B rescues LRRK2 mutant-mediated cytotoxicity.","type":"article-journal","volume":"7"},"uris":["http://www.mendeley.com/documents/?uuid=6e26b3c1-b0ac-37a2-bba9-c3f995f6237b"]}],"mendeley":{"formattedCitation":"&lt;sup&gt;338&lt;/sup&gt;","plainTextFormattedCitation":"338","previouslyFormattedCitation":"&lt;sup&gt;338&lt;/sup&gt;"},"properties":{"noteIndex":0},"schema":"https://github.com/citation-style-language/schema/raw/master/csl-citation.json"}</w:instrText>
      </w:r>
      <w:r w:rsidRPr="0082680A">
        <w:rPr>
          <w:lang w:val="en-GB"/>
        </w:rPr>
        <w:fldChar w:fldCharType="separate"/>
      </w:r>
      <w:r w:rsidRPr="00426B19">
        <w:rPr>
          <w:noProof/>
          <w:vertAlign w:val="superscript"/>
          <w:lang w:val="en-GB"/>
        </w:rPr>
        <w:t>338</w:t>
      </w:r>
      <w:r w:rsidRPr="0082680A">
        <w:rPr>
          <w:lang w:val="en-GB"/>
        </w:rPr>
        <w:fldChar w:fldCharType="end"/>
      </w:r>
      <w:r w:rsidRPr="0082680A">
        <w:rPr>
          <w:lang w:val="en-GB"/>
        </w:rPr>
        <w:t xml:space="preserve">. </w:t>
      </w:r>
      <w:r w:rsidRPr="0082680A">
        <w:rPr>
          <w:i/>
          <w:lang w:val="en-GB"/>
        </w:rPr>
        <w:t xml:space="preserve">RAB7A </w:t>
      </w:r>
      <w:r w:rsidRPr="0082680A">
        <w:rPr>
          <w:lang w:val="en-GB"/>
        </w:rPr>
        <w:t xml:space="preserve">has been shown to be regulated by LRRK2 for membrane trafficking </w:t>
      </w:r>
      <w:r w:rsidRPr="0082680A">
        <w:rPr>
          <w:lang w:val="en-GB"/>
        </w:rPr>
        <w:fldChar w:fldCharType="begin" w:fldLock="1"/>
      </w:r>
      <w:r>
        <w:rPr>
          <w:lang w:val="en-GB"/>
        </w:rPr>
        <w:instrText>ADDIN CSL_CITATION {"citationItems":[{"id":"ITEM-1","itemData":{"DOI":"10.1093/hmg/ddu395","ISSN":"1460-2083","PMID":"25080504","abstract":"Mutations in the leucine-rich repeat kinase 2 (LRRK2) gene cause late-onset autosomal dominant Parkinson's disease (PD), and sequence variations at the LRRK2 locus are associated with increased risk for sporadic PD. LRRK2 contains both GTPase and kinase domains flanked by protein interaction motifs, and mutations associated with familial PD have been described for both catalytic domains. LRRK2 has been implicated in diverse cellular processes, and recent evidence pinpoints to an important role for LRRK2 in modulating a variety of intracellular membrane trafficking pathways. However, the underlying mechanisms are poorly understood. Here, by studying the classical, well-understood, degradative trafficking pathway of the epidermal growth factor receptor (EGFR), we show that LRRK2 regulates endocytic membrane trafficking in an Rab7-dependent manner. Mutant LRRK2 expression causes a slight delay in early-to-late endosomal trafficking, and a pronounced delay in trafficking out of late endosomes, which become aberrantly elongated into tubules. This is accompanied by a delay in EGFR degradation. The LRRK2-mediated deficits in EGFR trafficking and degradation can be reverted upon coexpression of active Rab7 and of a series of proteins involved in bridging the EGFR to Rab7 on late endosomes. Effector pulldown assays indicate that pathogenic LRRK2 decreases Rab7 activity both in cells overexpressing LRRK2, as well as in fibroblasts from pathogenic mutant LRRK2 PD patients when compared with healthy controls. Together, these findings provide novel insights into a previously unknown regulation of Rab7 activity by mutant LRRK2 which impairs membrane trafficking at very late stages of the endocytic pathway.","author":[{"dropping-particle":"","family":"Gómez-Suaga","given":"Patricia","non-dropping-particle":"","parse-names":false,"suffix":""},{"dropping-particle":"","family":"Rivero-Ríos","given":"Pilar","non-dropping-particle":"","parse-names":false,"suffix":""},{"dropping-particle":"","family":"Fdez","given":"Elena","non-dropping-particle":"","parse-names":false,"suffix":""},{"dropping-particle":"","family":"Blanca Ramírez","given":"Marian","non-dropping-particle":"","parse-names":false,"suffix":""},{"dropping-particle":"","family":"Ferrer","given":"Isidro","non-dropping-particle":"","parse-names":false,"suffix":""},{"dropping-particle":"","family":"Aiastui","given":"Ana","non-dropping-particle":"","parse-names":false,"suffix":""},{"dropping-particle":"","family":"López De Munain","given":"Adolfo","non-dropping-particle":"","parse-names":false,"suffix":""},{"dropping-particle":"","family":"Hilfiker","given":"Sabine","non-dropping-particle":"","parse-names":false,"suffix":""}],"id":"ITEM-1","issue":"25","issued":{"date-parts":[["2014","12","20"]]},"title":"LRRK2 delays degradative receptor trafficking by impeding late endosomal budding through decreasing Rab7 activity","type":"article-journal","volume":"23"},"uris":["http://www.mendeley.com/documents/?uuid=98bced5d-d203-4a6e-8d01-7a6d72b7084b"]}],"mendeley":{"formattedCitation":"&lt;sup&gt;339&lt;/sup&gt;","plainTextFormattedCitation":"339","previouslyFormattedCitation":"&lt;sup&gt;339&lt;/sup&gt;"},"properties":{"noteIndex":0},"schema":"https://github.com/citation-style-language/schema/raw/master/csl-citation.json"}</w:instrText>
      </w:r>
      <w:r w:rsidRPr="0082680A">
        <w:rPr>
          <w:lang w:val="en-GB"/>
        </w:rPr>
        <w:fldChar w:fldCharType="separate"/>
      </w:r>
      <w:r w:rsidRPr="00426B19">
        <w:rPr>
          <w:noProof/>
          <w:vertAlign w:val="superscript"/>
          <w:lang w:val="en-GB"/>
        </w:rPr>
        <w:t>339</w:t>
      </w:r>
      <w:r w:rsidRPr="0082680A">
        <w:rPr>
          <w:lang w:val="en-GB"/>
        </w:rPr>
        <w:fldChar w:fldCharType="end"/>
      </w:r>
      <w:r w:rsidRPr="0082680A">
        <w:rPr>
          <w:lang w:val="en-GB"/>
        </w:rPr>
        <w:t>. There was also presence of 4 genes associated with mitochondrial complex I deficiency (</w:t>
      </w:r>
      <w:r w:rsidRPr="0082680A">
        <w:rPr>
          <w:i/>
          <w:lang w:val="en-GB"/>
        </w:rPr>
        <w:t>NDUFS1, NDUFS3, NDUFV2, TMEM126B)</w:t>
      </w:r>
      <w:r w:rsidRPr="0082680A">
        <w:rPr>
          <w:lang w:val="en-GB"/>
        </w:rPr>
        <w:t xml:space="preserve"> a condition which, like PD, is associated with mitochondrial dysfunction, and can lead to development of some forms of PD.</w:t>
      </w:r>
    </w:p>
    <w:p w14:paraId="6D378821" w14:textId="77777777" w:rsidR="00A876E6" w:rsidRPr="0082680A" w:rsidRDefault="00A876E6" w:rsidP="00A876E6">
      <w:pPr>
        <w:rPr>
          <w:lang w:val="en-GB"/>
        </w:rPr>
      </w:pPr>
    </w:p>
    <w:p w14:paraId="066E3A33" w14:textId="21133655" w:rsidR="00A876E6" w:rsidRPr="0082680A" w:rsidRDefault="00A876E6" w:rsidP="00A876E6">
      <w:pPr>
        <w:rPr>
          <w:lang w:val="en-GB"/>
        </w:rPr>
      </w:pPr>
      <w:r w:rsidRPr="0082680A">
        <w:rPr>
          <w:lang w:val="en-GB"/>
        </w:rPr>
        <w:t xml:space="preserve">For upregulated genes, enriched processes were predominantly associated with apoptosis and cell cycle signalling pathways, such as TGF-beta, Ras and PI3K-AKT (Table </w:t>
      </w:r>
      <w:r>
        <w:rPr>
          <w:lang w:val="en-GB"/>
        </w:rPr>
        <w:t>28</w:t>
      </w:r>
      <w:r w:rsidRPr="0082680A">
        <w:rPr>
          <w:lang w:val="en-GB"/>
        </w:rPr>
        <w:t xml:space="preserve">, </w:t>
      </w:r>
      <w:hyperlink r:id="rId101" w:history="1">
        <w:r w:rsidRPr="0082680A">
          <w:rPr>
            <w:rStyle w:val="Hyperlink"/>
            <w:lang w:val="en-GB"/>
          </w:rPr>
          <w:t>http://amp.pharm.mssm.edu/Enrichr/enrich?dataset=8gl6z</w:t>
        </w:r>
      </w:hyperlink>
      <w:r w:rsidRPr="0082680A">
        <w:rPr>
          <w:lang w:val="en-GB"/>
        </w:rPr>
        <w:t xml:space="preserve">). Alternatively, downregulated genes showed strong enrichment for Parkinson’s Disease pathways, the mitochondrion, and autophagosome processes (Table </w:t>
      </w:r>
      <w:r>
        <w:rPr>
          <w:lang w:val="en-GB"/>
        </w:rPr>
        <w:t>29</w:t>
      </w:r>
      <w:r w:rsidRPr="0082680A">
        <w:rPr>
          <w:lang w:val="en-GB"/>
        </w:rPr>
        <w:t xml:space="preserve">, </w:t>
      </w:r>
      <w:hyperlink r:id="rId102" w:history="1">
        <w:r w:rsidRPr="0082680A">
          <w:rPr>
            <w:rStyle w:val="Hyperlink"/>
            <w:lang w:val="en-GB"/>
          </w:rPr>
          <w:t>http://amp.pharm.mssm.edu/Enrichr/enrich?dataset=8gl71</w:t>
        </w:r>
      </w:hyperlink>
      <w:r w:rsidRPr="0082680A">
        <w:rPr>
          <w:lang w:val="en-GB"/>
        </w:rPr>
        <w:t>)</w:t>
      </w:r>
    </w:p>
    <w:p w14:paraId="4DBB72B2" w14:textId="77777777" w:rsidR="00A876E6" w:rsidRPr="0082680A" w:rsidRDefault="00A876E6" w:rsidP="00A876E6">
      <w:pPr>
        <w:pStyle w:val="NoSpacing"/>
        <w:rPr>
          <w:lang w:val="en-GB"/>
        </w:rPr>
      </w:pPr>
      <w:r w:rsidRPr="0082680A">
        <w:rPr>
          <w:noProof/>
          <w:lang w:val="en-GB"/>
        </w:rPr>
        <w:drawing>
          <wp:inline distT="0" distB="0" distL="0" distR="0" wp14:anchorId="79E562F6" wp14:editId="701276AB">
            <wp:extent cx="5039360" cy="2257425"/>
            <wp:effectExtent l="0" t="0" r="254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D_DEG_BenchmarkEnrichments.pdf"/>
                    <pic:cNvPicPr/>
                  </pic:nvPicPr>
                  <pic:blipFill rotWithShape="1">
                    <a:blip r:embed="rId103">
                      <a:extLst>
                        <a:ext uri="{28A0092B-C50C-407E-A947-70E740481C1C}">
                          <a14:useLocalDpi xmlns:a14="http://schemas.microsoft.com/office/drawing/2010/main" val="0"/>
                        </a:ext>
                      </a:extLst>
                    </a:blip>
                    <a:srcRect b="39262"/>
                    <a:stretch/>
                  </pic:blipFill>
                  <pic:spPr bwMode="auto">
                    <a:xfrm>
                      <a:off x="0" y="0"/>
                      <a:ext cx="5039360" cy="2257425"/>
                    </a:xfrm>
                    <a:prstGeom prst="rect">
                      <a:avLst/>
                    </a:prstGeom>
                    <a:ln>
                      <a:noFill/>
                    </a:ln>
                    <a:extLst>
                      <a:ext uri="{53640926-AAD7-44D8-BBD7-CCE9431645EC}">
                        <a14:shadowObscured xmlns:a14="http://schemas.microsoft.com/office/drawing/2010/main"/>
                      </a:ext>
                    </a:extLst>
                  </pic:spPr>
                </pic:pic>
              </a:graphicData>
            </a:graphic>
          </wp:inline>
        </w:drawing>
      </w:r>
    </w:p>
    <w:p w14:paraId="2B2BEB09" w14:textId="1443DF30" w:rsidR="00A876E6" w:rsidRPr="0082680A" w:rsidRDefault="00A876E6" w:rsidP="00A876E6">
      <w:pPr>
        <w:pStyle w:val="Caption"/>
        <w:rPr>
          <w:b w:val="0"/>
          <w:lang w:val="en-GB"/>
        </w:rPr>
      </w:pPr>
      <w:bookmarkStart w:id="262" w:name="_Toc3225941"/>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27</w:t>
      </w:r>
      <w:r>
        <w:rPr>
          <w:lang w:val="en-GB"/>
        </w:rPr>
        <w:fldChar w:fldCharType="end"/>
      </w:r>
      <w:r w:rsidRPr="0082680A">
        <w:rPr>
          <w:lang w:val="en-GB"/>
        </w:rPr>
        <w:t>:</w:t>
      </w:r>
      <w:r w:rsidRPr="0082680A">
        <w:rPr>
          <w:b w:val="0"/>
          <w:lang w:val="en-GB"/>
        </w:rPr>
        <w:t xml:space="preserve"> Results of enrichment analysis for overlap between curated PD-associated genes and common DEG list</w:t>
      </w:r>
      <w:bookmarkEnd w:id="262"/>
      <w:r w:rsidRPr="0082680A">
        <w:rPr>
          <w:lang w:val="en-GB"/>
        </w:rPr>
        <w:br w:type="page"/>
      </w:r>
    </w:p>
    <w:p w14:paraId="4EE47FFA" w14:textId="77777777" w:rsidR="00A876E6" w:rsidRPr="0082680A" w:rsidRDefault="00A876E6" w:rsidP="00A876E6">
      <w:pPr>
        <w:pStyle w:val="NoSpacing"/>
        <w:rPr>
          <w:lang w:val="en-GB"/>
        </w:rPr>
      </w:pPr>
      <w:r w:rsidRPr="0082680A">
        <w:rPr>
          <w:noProof/>
          <w:lang w:val="en-GB"/>
        </w:rPr>
        <w:lastRenderedPageBreak/>
        <w:drawing>
          <wp:inline distT="0" distB="0" distL="0" distR="0" wp14:anchorId="0F5F6F57" wp14:editId="5B3F21C3">
            <wp:extent cx="5039360" cy="3716655"/>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D_UpDEG_PathwayEnrichment.pdf"/>
                    <pic:cNvPicPr/>
                  </pic:nvPicPr>
                  <pic:blipFill>
                    <a:blip r:embed="rId104">
                      <a:extLst>
                        <a:ext uri="{28A0092B-C50C-407E-A947-70E740481C1C}">
                          <a14:useLocalDpi xmlns:a14="http://schemas.microsoft.com/office/drawing/2010/main" val="0"/>
                        </a:ext>
                      </a:extLst>
                    </a:blip>
                    <a:stretch>
                      <a:fillRect/>
                    </a:stretch>
                  </pic:blipFill>
                  <pic:spPr>
                    <a:xfrm>
                      <a:off x="0" y="0"/>
                      <a:ext cx="5039360" cy="3716655"/>
                    </a:xfrm>
                    <a:prstGeom prst="rect">
                      <a:avLst/>
                    </a:prstGeom>
                  </pic:spPr>
                </pic:pic>
              </a:graphicData>
            </a:graphic>
          </wp:inline>
        </w:drawing>
      </w:r>
    </w:p>
    <w:p w14:paraId="2F0E6D24" w14:textId="246CD901" w:rsidR="00A876E6" w:rsidRPr="0082680A" w:rsidRDefault="00A876E6" w:rsidP="00A876E6">
      <w:pPr>
        <w:pStyle w:val="Caption"/>
        <w:rPr>
          <w:b w:val="0"/>
          <w:lang w:val="en-GB"/>
        </w:rPr>
      </w:pPr>
      <w:bookmarkStart w:id="263" w:name="_Toc3225942"/>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28</w:t>
      </w:r>
      <w:r>
        <w:rPr>
          <w:lang w:val="en-GB"/>
        </w:rPr>
        <w:fldChar w:fldCharType="end"/>
      </w:r>
      <w:r w:rsidRPr="0082680A">
        <w:rPr>
          <w:lang w:val="en-GB"/>
        </w:rPr>
        <w:t>:</w:t>
      </w:r>
      <w:r w:rsidRPr="0082680A">
        <w:rPr>
          <w:b w:val="0"/>
          <w:lang w:val="en-GB"/>
        </w:rPr>
        <w:t xml:space="preserve"> Top 10 enriched pathways in each of the pathway databases for PD upregulated DEGs</w:t>
      </w:r>
      <w:r>
        <w:rPr>
          <w:b w:val="0"/>
          <w:lang w:val="en-GB"/>
        </w:rPr>
        <w:t>. P-Values are adjusted.</w:t>
      </w:r>
      <w:bookmarkEnd w:id="263"/>
    </w:p>
    <w:p w14:paraId="577DD751" w14:textId="77777777" w:rsidR="00A876E6" w:rsidRPr="0082680A" w:rsidRDefault="00A876E6" w:rsidP="00A876E6">
      <w:pPr>
        <w:rPr>
          <w:lang w:val="en-GB"/>
        </w:rPr>
      </w:pPr>
    </w:p>
    <w:p w14:paraId="11BA2515" w14:textId="77777777" w:rsidR="00A876E6" w:rsidRPr="0082680A" w:rsidRDefault="00A876E6" w:rsidP="00A876E6">
      <w:pPr>
        <w:pStyle w:val="NoSpacing"/>
        <w:rPr>
          <w:lang w:val="en-GB"/>
        </w:rPr>
      </w:pPr>
      <w:r w:rsidRPr="0082680A">
        <w:rPr>
          <w:noProof/>
          <w:lang w:val="en-GB"/>
        </w:rPr>
        <w:drawing>
          <wp:inline distT="0" distB="0" distL="0" distR="0" wp14:anchorId="1FFF28C8" wp14:editId="1ACC4C90">
            <wp:extent cx="5039360" cy="3716655"/>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D_DownDEG_PathwayEnrichment.pdf"/>
                    <pic:cNvPicPr/>
                  </pic:nvPicPr>
                  <pic:blipFill>
                    <a:blip r:embed="rId105">
                      <a:extLst>
                        <a:ext uri="{28A0092B-C50C-407E-A947-70E740481C1C}">
                          <a14:useLocalDpi xmlns:a14="http://schemas.microsoft.com/office/drawing/2010/main" val="0"/>
                        </a:ext>
                      </a:extLst>
                    </a:blip>
                    <a:stretch>
                      <a:fillRect/>
                    </a:stretch>
                  </pic:blipFill>
                  <pic:spPr>
                    <a:xfrm>
                      <a:off x="0" y="0"/>
                      <a:ext cx="5039360" cy="3716655"/>
                    </a:xfrm>
                    <a:prstGeom prst="rect">
                      <a:avLst/>
                    </a:prstGeom>
                  </pic:spPr>
                </pic:pic>
              </a:graphicData>
            </a:graphic>
          </wp:inline>
        </w:drawing>
      </w:r>
    </w:p>
    <w:p w14:paraId="2D2D4443" w14:textId="633A3F88" w:rsidR="00A876E6" w:rsidRPr="0082680A" w:rsidRDefault="00A876E6" w:rsidP="00A876E6">
      <w:pPr>
        <w:pStyle w:val="Caption"/>
        <w:rPr>
          <w:sz w:val="20"/>
          <w:lang w:val="en-GB"/>
        </w:rPr>
      </w:pPr>
      <w:bookmarkStart w:id="264" w:name="_Toc3225943"/>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29</w:t>
      </w:r>
      <w:r>
        <w:rPr>
          <w:lang w:val="en-GB"/>
        </w:rPr>
        <w:fldChar w:fldCharType="end"/>
      </w:r>
      <w:r w:rsidRPr="0082680A">
        <w:rPr>
          <w:lang w:val="en-GB"/>
        </w:rPr>
        <w:t>:</w:t>
      </w:r>
      <w:r w:rsidRPr="0082680A">
        <w:rPr>
          <w:b w:val="0"/>
          <w:lang w:val="en-GB"/>
        </w:rPr>
        <w:t xml:space="preserve"> Top 10 enriched pathways in each of the pathway databases for PD downregulated DEGs</w:t>
      </w:r>
      <w:r>
        <w:rPr>
          <w:b w:val="0"/>
          <w:lang w:val="en-GB"/>
        </w:rPr>
        <w:t>. P-Values are adjusted.</w:t>
      </w:r>
      <w:bookmarkEnd w:id="264"/>
      <w:r w:rsidRPr="0082680A">
        <w:rPr>
          <w:b w:val="0"/>
          <w:lang w:val="en-GB"/>
        </w:rPr>
        <w:t xml:space="preserve"> </w:t>
      </w:r>
      <w:r w:rsidRPr="0082680A">
        <w:rPr>
          <w:lang w:val="en-GB"/>
        </w:rPr>
        <w:br w:type="page"/>
      </w:r>
    </w:p>
    <w:p w14:paraId="3CA08992" w14:textId="77777777" w:rsidR="00A876E6" w:rsidRPr="00691215" w:rsidRDefault="00A876E6" w:rsidP="00A876E6">
      <w:pPr>
        <w:pStyle w:val="Heading3"/>
      </w:pPr>
      <w:bookmarkStart w:id="265" w:name="_ekud5jxl5m7l" w:colFirst="0" w:colLast="0"/>
      <w:bookmarkStart w:id="266" w:name="_Toc3211408"/>
      <w:bookmarkEnd w:id="265"/>
      <w:r w:rsidRPr="00691215">
        <w:lastRenderedPageBreak/>
        <w:t>Generation of protein-protein interaction network</w:t>
      </w:r>
      <w:bookmarkEnd w:id="266"/>
      <w:r w:rsidRPr="00691215">
        <w:t xml:space="preserve"> </w:t>
      </w:r>
    </w:p>
    <w:p w14:paraId="75CA6799" w14:textId="4BEEAA2E" w:rsidR="00A876E6" w:rsidRPr="0082680A" w:rsidRDefault="00A876E6" w:rsidP="00A876E6">
      <w:pPr>
        <w:rPr>
          <w:lang w:val="en-GB"/>
        </w:rPr>
      </w:pPr>
      <w:r w:rsidRPr="0082680A">
        <w:rPr>
          <w:lang w:val="en-GB"/>
        </w:rPr>
        <w:t>Two-hundred and forty one of the 243 common DEGs successfully seeded a PPI network of 2797 nodes and 4637 edges</w:t>
      </w:r>
      <w:r>
        <w:rPr>
          <w:lang w:val="en-GB"/>
        </w:rPr>
        <w:t>.</w:t>
      </w:r>
      <w:r w:rsidRPr="0082680A">
        <w:rPr>
          <w:lang w:val="en-GB"/>
        </w:rPr>
        <w:t xml:space="preserve"> The remaining 2 transcripts were non-protein coding RNAs. Benchmark enrichment revealed the PPI network also enriched for PD disease genes and LRRK2 PPI genes, but not for PD GWAS genes (Table 3</w:t>
      </w:r>
      <w:r>
        <w:rPr>
          <w:lang w:val="en-GB"/>
        </w:rPr>
        <w:t>0</w:t>
      </w:r>
      <w:r w:rsidRPr="0082680A">
        <w:rPr>
          <w:lang w:val="en-GB"/>
        </w:rPr>
        <w:t>). A number of important PD proteins are members of the PPI network; SNCA, LRRK2 (</w:t>
      </w:r>
      <w:proofErr w:type="spellStart"/>
      <w:r w:rsidRPr="0082680A">
        <w:rPr>
          <w:lang w:val="en-GB"/>
        </w:rPr>
        <w:t>Dardarin</w:t>
      </w:r>
      <w:proofErr w:type="spellEnd"/>
      <w:r w:rsidRPr="0082680A">
        <w:rPr>
          <w:lang w:val="en-GB"/>
        </w:rPr>
        <w:t>), DJ-1 (PARK7), PINK1, and UCHL1. Additionally, proteins important to other neurodegenerative conditions are present; APP in Alzheimer’s disease, HTT in Huntington’s disease, and SQSTM1 in ALS. Functional enrichment analysis of this network revealed a strong representation of processes involved in transcription and translation, and immune system pathways (Tables 3</w:t>
      </w:r>
      <w:r>
        <w:rPr>
          <w:lang w:val="en-GB"/>
        </w:rPr>
        <w:t>1</w:t>
      </w:r>
      <w:r w:rsidRPr="0082680A">
        <w:rPr>
          <w:lang w:val="en-GB"/>
        </w:rPr>
        <w:t xml:space="preserve"> &amp; 3</w:t>
      </w:r>
      <w:r>
        <w:rPr>
          <w:lang w:val="en-GB"/>
        </w:rPr>
        <w:t>2</w:t>
      </w:r>
      <w:r w:rsidRPr="0082680A">
        <w:rPr>
          <w:lang w:val="en-GB"/>
        </w:rPr>
        <w:t xml:space="preserve">, </w:t>
      </w:r>
      <w:hyperlink r:id="rId106" w:history="1">
        <w:r w:rsidRPr="0082680A">
          <w:rPr>
            <w:rStyle w:val="Hyperlink"/>
            <w:lang w:val="en-GB"/>
          </w:rPr>
          <w:t>http://amp.pharm.mssm.edu/Enrichr/enrich?dataset=8gl75</w:t>
        </w:r>
      </w:hyperlink>
      <w:r w:rsidRPr="0082680A">
        <w:rPr>
          <w:lang w:val="en-GB"/>
        </w:rPr>
        <w:t xml:space="preserve">). These pathways are very similar to those identified in the TDP-43 analysis and is possibly a reflection of the vulnerabilities of pathway enrichment for large gene sets. </w:t>
      </w:r>
    </w:p>
    <w:p w14:paraId="70F5564F" w14:textId="77777777" w:rsidR="00A876E6" w:rsidRPr="0082680A" w:rsidRDefault="00A876E6" w:rsidP="00A876E6">
      <w:pPr>
        <w:rPr>
          <w:lang w:val="en-GB"/>
        </w:rPr>
      </w:pPr>
    </w:p>
    <w:p w14:paraId="0EFD0D1D" w14:textId="77777777" w:rsidR="00A876E6" w:rsidRPr="0082680A" w:rsidRDefault="00A876E6" w:rsidP="00A876E6">
      <w:pPr>
        <w:rPr>
          <w:lang w:val="en-GB"/>
        </w:rPr>
      </w:pPr>
    </w:p>
    <w:p w14:paraId="1CECC11E" w14:textId="77777777" w:rsidR="00A876E6" w:rsidRPr="0082680A" w:rsidRDefault="00A876E6" w:rsidP="00A876E6">
      <w:pPr>
        <w:pStyle w:val="NoSpacing"/>
        <w:rPr>
          <w:lang w:val="en-GB"/>
        </w:rPr>
      </w:pPr>
      <w:r w:rsidRPr="0082680A">
        <w:rPr>
          <w:noProof/>
          <w:lang w:val="en-GB"/>
        </w:rPr>
        <w:drawing>
          <wp:inline distT="0" distB="0" distL="0" distR="0" wp14:anchorId="2AA1E3DD" wp14:editId="1FAF6DED">
            <wp:extent cx="5007783" cy="301302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D_PPI_BenchmarkEnrichment.pdf"/>
                    <pic:cNvPicPr/>
                  </pic:nvPicPr>
                  <pic:blipFill rotWithShape="1">
                    <a:blip r:embed="rId107">
                      <a:extLst>
                        <a:ext uri="{28A0092B-C50C-407E-A947-70E740481C1C}">
                          <a14:useLocalDpi xmlns:a14="http://schemas.microsoft.com/office/drawing/2010/main" val="0"/>
                        </a:ext>
                      </a:extLst>
                    </a:blip>
                    <a:srcRect b="11411"/>
                    <a:stretch/>
                  </pic:blipFill>
                  <pic:spPr bwMode="auto">
                    <a:xfrm>
                      <a:off x="0" y="0"/>
                      <a:ext cx="5017135" cy="3018650"/>
                    </a:xfrm>
                    <a:prstGeom prst="rect">
                      <a:avLst/>
                    </a:prstGeom>
                    <a:ln>
                      <a:noFill/>
                    </a:ln>
                    <a:extLst>
                      <a:ext uri="{53640926-AAD7-44D8-BBD7-CCE9431645EC}">
                        <a14:shadowObscured xmlns:a14="http://schemas.microsoft.com/office/drawing/2010/main"/>
                      </a:ext>
                    </a:extLst>
                  </pic:spPr>
                </pic:pic>
              </a:graphicData>
            </a:graphic>
          </wp:inline>
        </w:drawing>
      </w:r>
    </w:p>
    <w:p w14:paraId="41B95C7D" w14:textId="07698C0A" w:rsidR="00A876E6" w:rsidRPr="0082680A" w:rsidRDefault="00A876E6" w:rsidP="00A876E6">
      <w:pPr>
        <w:pStyle w:val="Caption"/>
        <w:rPr>
          <w:b w:val="0"/>
          <w:lang w:val="en-GB"/>
        </w:rPr>
      </w:pPr>
      <w:bookmarkStart w:id="267" w:name="_Toc3225944"/>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30</w:t>
      </w:r>
      <w:r>
        <w:rPr>
          <w:lang w:val="en-GB"/>
        </w:rPr>
        <w:fldChar w:fldCharType="end"/>
      </w:r>
      <w:r w:rsidRPr="0082680A">
        <w:rPr>
          <w:lang w:val="en-GB"/>
        </w:rPr>
        <w:t xml:space="preserve">: </w:t>
      </w:r>
      <w:r w:rsidRPr="0082680A">
        <w:rPr>
          <w:b w:val="0"/>
          <w:lang w:val="en-GB"/>
        </w:rPr>
        <w:t>Enrichment of PD-associated gene</w:t>
      </w:r>
      <w:r>
        <w:rPr>
          <w:b w:val="0"/>
          <w:lang w:val="en-GB"/>
        </w:rPr>
        <w:t xml:space="preserve"> lists</w:t>
      </w:r>
      <w:r w:rsidRPr="0082680A">
        <w:rPr>
          <w:b w:val="0"/>
          <w:lang w:val="en-GB"/>
        </w:rPr>
        <w:t xml:space="preserve"> in PD PPI network</w:t>
      </w:r>
      <w:bookmarkEnd w:id="267"/>
    </w:p>
    <w:p w14:paraId="7F1DF0E9" w14:textId="77777777" w:rsidR="00A876E6" w:rsidRPr="0082680A" w:rsidRDefault="00A876E6" w:rsidP="00A876E6">
      <w:pPr>
        <w:rPr>
          <w:lang w:val="en-GB"/>
        </w:rPr>
      </w:pPr>
      <w:r w:rsidRPr="0082680A">
        <w:rPr>
          <w:lang w:val="en-GB"/>
        </w:rPr>
        <w:br w:type="page"/>
      </w:r>
    </w:p>
    <w:p w14:paraId="3AB0221E" w14:textId="77777777" w:rsidR="00A876E6" w:rsidRPr="0082680A" w:rsidRDefault="00A876E6" w:rsidP="00A876E6">
      <w:pPr>
        <w:pStyle w:val="NoSpacing"/>
        <w:rPr>
          <w:lang w:val="en-GB"/>
        </w:rPr>
      </w:pPr>
      <w:r w:rsidRPr="0082680A">
        <w:rPr>
          <w:noProof/>
          <w:lang w:val="en-GB"/>
        </w:rPr>
        <w:lastRenderedPageBreak/>
        <w:drawing>
          <wp:inline distT="0" distB="0" distL="0" distR="0" wp14:anchorId="2818F25E" wp14:editId="6016CEBF">
            <wp:extent cx="5039360" cy="3716655"/>
            <wp:effectExtent l="0" t="0" r="254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D_PPI_KWREnrichments.pdf"/>
                    <pic:cNvPicPr/>
                  </pic:nvPicPr>
                  <pic:blipFill>
                    <a:blip r:embed="rId108">
                      <a:extLst>
                        <a:ext uri="{28A0092B-C50C-407E-A947-70E740481C1C}">
                          <a14:useLocalDpi xmlns:a14="http://schemas.microsoft.com/office/drawing/2010/main" val="0"/>
                        </a:ext>
                      </a:extLst>
                    </a:blip>
                    <a:stretch>
                      <a:fillRect/>
                    </a:stretch>
                  </pic:blipFill>
                  <pic:spPr>
                    <a:xfrm>
                      <a:off x="0" y="0"/>
                      <a:ext cx="5039360" cy="3716655"/>
                    </a:xfrm>
                    <a:prstGeom prst="rect">
                      <a:avLst/>
                    </a:prstGeom>
                  </pic:spPr>
                </pic:pic>
              </a:graphicData>
            </a:graphic>
          </wp:inline>
        </w:drawing>
      </w:r>
    </w:p>
    <w:p w14:paraId="12199BF6" w14:textId="6553F105" w:rsidR="00A876E6" w:rsidRPr="0082680A" w:rsidRDefault="00A876E6" w:rsidP="00A876E6">
      <w:pPr>
        <w:pStyle w:val="Caption"/>
        <w:rPr>
          <w:b w:val="0"/>
          <w:lang w:val="en-GB"/>
        </w:rPr>
      </w:pPr>
      <w:bookmarkStart w:id="268" w:name="_Toc3225945"/>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31</w:t>
      </w:r>
      <w:r>
        <w:rPr>
          <w:lang w:val="en-GB"/>
        </w:rPr>
        <w:fldChar w:fldCharType="end"/>
      </w:r>
      <w:r w:rsidRPr="0082680A">
        <w:rPr>
          <w:lang w:val="en-GB"/>
        </w:rPr>
        <w:t xml:space="preserve">: </w:t>
      </w:r>
      <w:r w:rsidRPr="0082680A">
        <w:rPr>
          <w:b w:val="0"/>
          <w:lang w:val="en-GB"/>
        </w:rPr>
        <w:t>Top 10 enriched pathways in KEGG, Wikipathways and Reactome for PD protein interaction network</w:t>
      </w:r>
      <w:r>
        <w:rPr>
          <w:b w:val="0"/>
          <w:lang w:val="en-GB"/>
        </w:rPr>
        <w:t>. P-Values are adjusted.</w:t>
      </w:r>
      <w:bookmarkEnd w:id="268"/>
    </w:p>
    <w:p w14:paraId="7B80F5A5" w14:textId="77777777" w:rsidR="00A876E6" w:rsidRPr="0082680A" w:rsidRDefault="00A876E6" w:rsidP="00A876E6">
      <w:pPr>
        <w:rPr>
          <w:lang w:val="en-GB"/>
        </w:rPr>
      </w:pPr>
    </w:p>
    <w:p w14:paraId="1D5CAD82" w14:textId="77777777" w:rsidR="00A876E6" w:rsidRPr="0082680A" w:rsidRDefault="00A876E6" w:rsidP="00A876E6">
      <w:pPr>
        <w:pStyle w:val="NoSpacing"/>
        <w:rPr>
          <w:lang w:val="en-GB"/>
        </w:rPr>
      </w:pPr>
      <w:r w:rsidRPr="0082680A">
        <w:rPr>
          <w:noProof/>
          <w:lang w:val="en-GB"/>
        </w:rPr>
        <w:drawing>
          <wp:inline distT="0" distB="0" distL="0" distR="0" wp14:anchorId="660663FB" wp14:editId="1E3671EC">
            <wp:extent cx="5039360" cy="3716655"/>
            <wp:effectExtent l="0" t="0" r="254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D_PPI_GOEnrichments.pdf"/>
                    <pic:cNvPicPr/>
                  </pic:nvPicPr>
                  <pic:blipFill>
                    <a:blip r:embed="rId109">
                      <a:extLst>
                        <a:ext uri="{28A0092B-C50C-407E-A947-70E740481C1C}">
                          <a14:useLocalDpi xmlns:a14="http://schemas.microsoft.com/office/drawing/2010/main" val="0"/>
                        </a:ext>
                      </a:extLst>
                    </a:blip>
                    <a:stretch>
                      <a:fillRect/>
                    </a:stretch>
                  </pic:blipFill>
                  <pic:spPr>
                    <a:xfrm>
                      <a:off x="0" y="0"/>
                      <a:ext cx="5039360" cy="3716655"/>
                    </a:xfrm>
                    <a:prstGeom prst="rect">
                      <a:avLst/>
                    </a:prstGeom>
                  </pic:spPr>
                </pic:pic>
              </a:graphicData>
            </a:graphic>
          </wp:inline>
        </w:drawing>
      </w:r>
    </w:p>
    <w:p w14:paraId="077923BB" w14:textId="56CB9554" w:rsidR="00A876E6" w:rsidRPr="0082680A" w:rsidRDefault="00A876E6" w:rsidP="00A876E6">
      <w:pPr>
        <w:pStyle w:val="Caption"/>
        <w:rPr>
          <w:lang w:val="en-GB"/>
        </w:rPr>
      </w:pPr>
      <w:bookmarkStart w:id="269" w:name="_Toc3225946"/>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32</w:t>
      </w:r>
      <w:r>
        <w:rPr>
          <w:lang w:val="en-GB"/>
        </w:rPr>
        <w:fldChar w:fldCharType="end"/>
      </w:r>
      <w:r w:rsidRPr="0082680A">
        <w:rPr>
          <w:lang w:val="en-GB"/>
        </w:rPr>
        <w:t xml:space="preserve">: </w:t>
      </w:r>
      <w:r w:rsidRPr="0082680A">
        <w:rPr>
          <w:b w:val="0"/>
          <w:lang w:val="en-GB"/>
        </w:rPr>
        <w:t>Top 10 enriched GO terms in each category for the PD protein interaction network</w:t>
      </w:r>
      <w:r>
        <w:rPr>
          <w:b w:val="0"/>
          <w:lang w:val="en-GB"/>
        </w:rPr>
        <w:t>. P-Values are adjusted.</w:t>
      </w:r>
      <w:bookmarkEnd w:id="269"/>
      <w:r w:rsidRPr="0082680A">
        <w:rPr>
          <w:b w:val="0"/>
          <w:lang w:val="en-GB"/>
        </w:rPr>
        <w:t xml:space="preserve"> </w:t>
      </w:r>
      <w:r w:rsidRPr="0082680A">
        <w:rPr>
          <w:lang w:val="en-GB"/>
        </w:rPr>
        <w:br w:type="page"/>
      </w:r>
    </w:p>
    <w:p w14:paraId="4D5C65B2" w14:textId="77777777" w:rsidR="00A876E6" w:rsidRPr="00691215" w:rsidRDefault="00A876E6" w:rsidP="00A876E6">
      <w:pPr>
        <w:pStyle w:val="Heading3"/>
      </w:pPr>
      <w:bookmarkStart w:id="270" w:name="_v9o3i9rghieb" w:colFirst="0" w:colLast="0"/>
      <w:bookmarkStart w:id="271" w:name="_Toc3211409"/>
      <w:bookmarkEnd w:id="270"/>
      <w:r w:rsidRPr="00691215">
        <w:lastRenderedPageBreak/>
        <w:t>Generation of a common coexpression module</w:t>
      </w:r>
      <w:bookmarkEnd w:id="271"/>
      <w:r w:rsidRPr="00691215">
        <w:t xml:space="preserve"> </w:t>
      </w:r>
    </w:p>
    <w:p w14:paraId="6CB6304F" w14:textId="72E7A2DE" w:rsidR="00A876E6" w:rsidRPr="0082680A" w:rsidRDefault="00A876E6" w:rsidP="00A876E6">
      <w:pPr>
        <w:rPr>
          <w:lang w:val="en-GB"/>
        </w:rPr>
      </w:pPr>
      <w:r w:rsidRPr="0082680A">
        <w:rPr>
          <w:lang w:val="en-GB"/>
        </w:rPr>
        <w:t>Coexpression matrices for the PPI network nodes were generated from 8 of the 12 datasets. The two LRRK2 datasets had patient numbers lower than 4 samples, rendering coexpression analysis too underpowered. Two datasets (GSE8397 &amp; GSE19587) were removed as histograms of their correlation values revealed non-normal distributions (Figure 1</w:t>
      </w:r>
      <w:r>
        <w:rPr>
          <w:lang w:val="en-GB"/>
        </w:rPr>
        <w:t>2</w:t>
      </w:r>
      <w:r w:rsidRPr="0082680A">
        <w:rPr>
          <w:lang w:val="en-GB"/>
        </w:rPr>
        <w:t xml:space="preserve">). After filtering for common edges, 267 nodes and 753 edges were conserved. The largest connected component of this network consisted of a subnetwork module of 233 nodes and 731 edges. </w:t>
      </w:r>
    </w:p>
    <w:p w14:paraId="24682DF4" w14:textId="77777777" w:rsidR="00A876E6" w:rsidRPr="0082680A" w:rsidRDefault="00A876E6" w:rsidP="00A876E6">
      <w:pPr>
        <w:rPr>
          <w:lang w:val="en-GB"/>
        </w:rPr>
      </w:pPr>
    </w:p>
    <w:p w14:paraId="4BB7A8CE" w14:textId="0094E3D1" w:rsidR="00A876E6" w:rsidRPr="0082680A" w:rsidRDefault="00A876E6" w:rsidP="00A876E6">
      <w:pPr>
        <w:rPr>
          <w:lang w:val="en-GB"/>
        </w:rPr>
      </w:pPr>
      <w:r w:rsidRPr="0082680A">
        <w:rPr>
          <w:lang w:val="en-GB"/>
        </w:rPr>
        <w:t>In controls, 172 edges between 103 nodes could be recreated, and all were in the same direction as patients. Subsequently these edges were removed, as well as 6 nodes whose connections to the coexpression module were lost, leaving a coexpression module of 227 genes and 559 edges (Table 3</w:t>
      </w:r>
      <w:r>
        <w:rPr>
          <w:lang w:val="en-GB"/>
        </w:rPr>
        <w:t>3</w:t>
      </w:r>
      <w:r w:rsidRPr="0082680A">
        <w:rPr>
          <w:lang w:val="en-GB"/>
        </w:rPr>
        <w:t xml:space="preserve">). The network was also recreated in the </w:t>
      </w:r>
      <w:r w:rsidRPr="0082680A">
        <w:rPr>
          <w:i/>
          <w:lang w:val="en-GB"/>
        </w:rPr>
        <w:t>ATP13A2</w:t>
      </w:r>
      <w:r w:rsidRPr="0082680A">
        <w:rPr>
          <w:lang w:val="en-GB"/>
        </w:rPr>
        <w:t xml:space="preserve">, </w:t>
      </w:r>
      <w:r w:rsidRPr="0082680A">
        <w:rPr>
          <w:i/>
          <w:lang w:val="en-GB"/>
        </w:rPr>
        <w:t>PRKN</w:t>
      </w:r>
      <w:r w:rsidRPr="0082680A">
        <w:rPr>
          <w:lang w:val="en-GB"/>
        </w:rPr>
        <w:t xml:space="preserve"> and </w:t>
      </w:r>
      <w:r w:rsidRPr="0082680A">
        <w:rPr>
          <w:i/>
          <w:lang w:val="en-GB"/>
        </w:rPr>
        <w:t>PINK1</w:t>
      </w:r>
      <w:r w:rsidRPr="0082680A">
        <w:rPr>
          <w:lang w:val="en-GB"/>
        </w:rPr>
        <w:t xml:space="preserve"> blood samples. Seventy-four edges and 7 nodes were removed, leaving 220 nodes and 485 edges. The </w:t>
      </w:r>
      <w:r w:rsidRPr="0082680A">
        <w:rPr>
          <w:i/>
          <w:lang w:val="en-GB"/>
        </w:rPr>
        <w:t>LRRK2</w:t>
      </w:r>
      <w:r w:rsidRPr="0082680A">
        <w:rPr>
          <w:lang w:val="en-GB"/>
        </w:rPr>
        <w:t xml:space="preserve"> fibroblast dataset was not used to recreate the network due to too few samples. Four ALS datasets had 4 or more samples (GSE68605, Kirby, GSE67196, GSE76220), however recreation of the network produced no common edges. Similarly, no edges were recreated in sporadic blood. Eight genes formed dyads separate from the LCC, and so were removed also. The final common coexpression module constituted 212 nodes with 481 edges (Table 3</w:t>
      </w:r>
      <w:r>
        <w:rPr>
          <w:lang w:val="en-GB"/>
        </w:rPr>
        <w:t>4</w:t>
      </w:r>
      <w:r w:rsidRPr="0082680A">
        <w:rPr>
          <w:lang w:val="en-GB"/>
        </w:rPr>
        <w:t>, Figure 1</w:t>
      </w:r>
      <w:r>
        <w:rPr>
          <w:lang w:val="en-GB"/>
        </w:rPr>
        <w:t>3</w:t>
      </w:r>
      <w:r w:rsidRPr="0082680A">
        <w:rPr>
          <w:lang w:val="en-GB"/>
        </w:rPr>
        <w:t>)</w:t>
      </w:r>
    </w:p>
    <w:p w14:paraId="5FD3C565" w14:textId="77777777" w:rsidR="00A876E6" w:rsidRPr="0082680A" w:rsidRDefault="00A876E6" w:rsidP="00A876E6">
      <w:pPr>
        <w:pStyle w:val="Caption"/>
        <w:keepNext/>
        <w:jc w:val="center"/>
        <w:rPr>
          <w:lang w:val="en-GB"/>
        </w:rPr>
      </w:pPr>
      <w:r w:rsidRPr="0082680A">
        <w:rPr>
          <w:noProof/>
          <w:lang w:val="en-GB"/>
        </w:rPr>
        <w:lastRenderedPageBreak/>
        <w:drawing>
          <wp:inline distT="0" distB="0" distL="0" distR="0" wp14:anchorId="29BD2721" wp14:editId="5892DFE6">
            <wp:extent cx="4727793" cy="8454452"/>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D_Coexpr_Histograms_1.pdf"/>
                    <pic:cNvPicPr/>
                  </pic:nvPicPr>
                  <pic:blipFill rotWithShape="1">
                    <a:blip r:embed="rId110">
                      <a:extLst>
                        <a:ext uri="{28A0092B-C50C-407E-A947-70E740481C1C}">
                          <a14:useLocalDpi xmlns:a14="http://schemas.microsoft.com/office/drawing/2010/main" val="0"/>
                        </a:ext>
                      </a:extLst>
                    </a:blip>
                    <a:srcRect l="8393" r="11918"/>
                    <a:stretch/>
                  </pic:blipFill>
                  <pic:spPr bwMode="auto">
                    <a:xfrm>
                      <a:off x="0" y="0"/>
                      <a:ext cx="4741987" cy="8479834"/>
                    </a:xfrm>
                    <a:prstGeom prst="rect">
                      <a:avLst/>
                    </a:prstGeom>
                    <a:ln>
                      <a:noFill/>
                    </a:ln>
                    <a:extLst>
                      <a:ext uri="{53640926-AAD7-44D8-BBD7-CCE9431645EC}">
                        <a14:shadowObscured xmlns:a14="http://schemas.microsoft.com/office/drawing/2010/main"/>
                      </a:ext>
                    </a:extLst>
                  </pic:spPr>
                </pic:pic>
              </a:graphicData>
            </a:graphic>
          </wp:inline>
        </w:drawing>
      </w:r>
    </w:p>
    <w:p w14:paraId="5A48965F" w14:textId="3680E605" w:rsidR="00A876E6" w:rsidRPr="0082680A" w:rsidRDefault="00A876E6" w:rsidP="00A876E6">
      <w:pPr>
        <w:pStyle w:val="Caption"/>
        <w:ind w:left="567"/>
        <w:rPr>
          <w:lang w:val="en-GB"/>
        </w:rPr>
      </w:pPr>
      <w:bookmarkStart w:id="272" w:name="_Toc3226008"/>
      <w:r w:rsidRPr="0082680A">
        <w:rPr>
          <w:lang w:val="en-GB"/>
        </w:rPr>
        <w:t xml:space="preserve">Figure </w:t>
      </w:r>
      <w:r w:rsidRPr="0082680A">
        <w:rPr>
          <w:noProof/>
          <w:lang w:val="en-GB"/>
        </w:rPr>
        <w:fldChar w:fldCharType="begin"/>
      </w:r>
      <w:r w:rsidRPr="0082680A">
        <w:rPr>
          <w:noProof/>
          <w:lang w:val="en-GB"/>
        </w:rPr>
        <w:instrText xml:space="preserve"> SEQ Figure \* ARABIC </w:instrText>
      </w:r>
      <w:r w:rsidRPr="0082680A">
        <w:rPr>
          <w:noProof/>
          <w:lang w:val="en-GB"/>
        </w:rPr>
        <w:fldChar w:fldCharType="separate"/>
      </w:r>
      <w:r w:rsidR="00066B5A">
        <w:rPr>
          <w:noProof/>
          <w:lang w:val="en-GB"/>
        </w:rPr>
        <w:t>12</w:t>
      </w:r>
      <w:r w:rsidRPr="0082680A">
        <w:rPr>
          <w:noProof/>
          <w:lang w:val="en-GB"/>
        </w:rPr>
        <w:fldChar w:fldCharType="end"/>
      </w:r>
      <w:r w:rsidRPr="0082680A">
        <w:rPr>
          <w:lang w:val="en-GB"/>
        </w:rPr>
        <w:t xml:space="preserve">: </w:t>
      </w:r>
      <w:r w:rsidRPr="0082680A">
        <w:rPr>
          <w:b w:val="0"/>
          <w:lang w:val="en-GB"/>
        </w:rPr>
        <w:t xml:space="preserve">Histograms of </w:t>
      </w:r>
      <w:r>
        <w:rPr>
          <w:b w:val="0"/>
          <w:lang w:val="en-GB"/>
        </w:rPr>
        <w:t>Spearman’s Rho values</w:t>
      </w:r>
      <w:r w:rsidRPr="0082680A">
        <w:rPr>
          <w:b w:val="0"/>
          <w:lang w:val="en-GB"/>
        </w:rPr>
        <w:t xml:space="preserve"> for each PD dataset</w:t>
      </w:r>
      <w:r>
        <w:rPr>
          <w:b w:val="0"/>
          <w:lang w:val="en-GB"/>
        </w:rPr>
        <w:t>. Datasets GSE8397 and GSE19687 demonstrated non-normal distributions</w:t>
      </w:r>
      <w:bookmarkEnd w:id="272"/>
    </w:p>
    <w:p w14:paraId="2DBD9CD2" w14:textId="77777777" w:rsidR="00A876E6" w:rsidRPr="0082680A" w:rsidRDefault="00A876E6" w:rsidP="00A876E6">
      <w:pPr>
        <w:pStyle w:val="NoSpacing"/>
        <w:keepNext/>
        <w:jc w:val="center"/>
        <w:rPr>
          <w:lang w:val="en-GB"/>
        </w:rPr>
      </w:pPr>
      <w:r w:rsidRPr="0082680A">
        <w:rPr>
          <w:noProof/>
          <w:lang w:val="en-GB"/>
        </w:rPr>
        <w:lastRenderedPageBreak/>
        <w:drawing>
          <wp:inline distT="0" distB="0" distL="0" distR="0" wp14:anchorId="15A45C44" wp14:editId="5D744AC8">
            <wp:extent cx="4901338" cy="3614737"/>
            <wp:effectExtent l="0" t="0" r="127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D_Network_FilterTable.pdf"/>
                    <pic:cNvPicPr/>
                  </pic:nvPicPr>
                  <pic:blipFill>
                    <a:blip r:embed="rId111">
                      <a:extLst>
                        <a:ext uri="{28A0092B-C50C-407E-A947-70E740481C1C}">
                          <a14:useLocalDpi xmlns:a14="http://schemas.microsoft.com/office/drawing/2010/main" val="0"/>
                        </a:ext>
                      </a:extLst>
                    </a:blip>
                    <a:stretch>
                      <a:fillRect/>
                    </a:stretch>
                  </pic:blipFill>
                  <pic:spPr bwMode="auto">
                    <a:xfrm>
                      <a:off x="0" y="0"/>
                      <a:ext cx="4903554" cy="3616371"/>
                    </a:xfrm>
                    <a:prstGeom prst="rect">
                      <a:avLst/>
                    </a:prstGeom>
                    <a:ln>
                      <a:noFill/>
                    </a:ln>
                    <a:extLst>
                      <a:ext uri="{53640926-AAD7-44D8-BBD7-CCE9431645EC}">
                        <a14:shadowObscured xmlns:a14="http://schemas.microsoft.com/office/drawing/2010/main"/>
                      </a:ext>
                    </a:extLst>
                  </pic:spPr>
                </pic:pic>
              </a:graphicData>
            </a:graphic>
          </wp:inline>
        </w:drawing>
      </w:r>
    </w:p>
    <w:p w14:paraId="5E35E3C0" w14:textId="26CD72AD" w:rsidR="00A876E6" w:rsidRPr="0082680A" w:rsidRDefault="00A876E6" w:rsidP="00A876E6">
      <w:pPr>
        <w:pStyle w:val="Caption"/>
        <w:rPr>
          <w:b w:val="0"/>
          <w:lang w:val="en-GB"/>
        </w:rPr>
      </w:pPr>
      <w:bookmarkStart w:id="273" w:name="_Toc3225947"/>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33</w:t>
      </w:r>
      <w:r>
        <w:rPr>
          <w:lang w:val="en-GB"/>
        </w:rPr>
        <w:fldChar w:fldCharType="end"/>
      </w:r>
      <w:r w:rsidRPr="0082680A">
        <w:rPr>
          <w:lang w:val="en-GB"/>
        </w:rPr>
        <w:t>:</w:t>
      </w:r>
      <w:r w:rsidRPr="0082680A">
        <w:rPr>
          <w:b w:val="0"/>
          <w:lang w:val="en-GB"/>
        </w:rPr>
        <w:t xml:space="preserve"> Numbers of nodes and edges overlapping between the filter datasets and the PD common coexpression module</w:t>
      </w:r>
      <w:bookmarkEnd w:id="273"/>
    </w:p>
    <w:p w14:paraId="546F372F" w14:textId="77777777" w:rsidR="00A876E6" w:rsidRPr="0082680A" w:rsidRDefault="00A876E6" w:rsidP="00A876E6">
      <w:pPr>
        <w:rPr>
          <w:lang w:val="en-GB"/>
        </w:rPr>
      </w:pPr>
    </w:p>
    <w:p w14:paraId="49A4D845" w14:textId="77777777" w:rsidR="00A876E6" w:rsidRPr="0082680A" w:rsidRDefault="00A876E6" w:rsidP="00A876E6">
      <w:pPr>
        <w:pStyle w:val="NoSpacing"/>
        <w:rPr>
          <w:lang w:val="en-GB"/>
        </w:rPr>
      </w:pPr>
      <w:r w:rsidRPr="0082680A">
        <w:rPr>
          <w:noProof/>
          <w:lang w:val="en-GB"/>
        </w:rPr>
        <w:drawing>
          <wp:inline distT="0" distB="0" distL="0" distR="0" wp14:anchorId="5165CFB2" wp14:editId="49DDAEDD">
            <wp:extent cx="5039360" cy="3716655"/>
            <wp:effectExtent l="0" t="0" r="254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D_CommonCoexpressionModule.pdf"/>
                    <pic:cNvPicPr/>
                  </pic:nvPicPr>
                  <pic:blipFill>
                    <a:blip r:embed="rId112">
                      <a:extLst>
                        <a:ext uri="{28A0092B-C50C-407E-A947-70E740481C1C}">
                          <a14:useLocalDpi xmlns:a14="http://schemas.microsoft.com/office/drawing/2010/main" val="0"/>
                        </a:ext>
                      </a:extLst>
                    </a:blip>
                    <a:stretch>
                      <a:fillRect/>
                    </a:stretch>
                  </pic:blipFill>
                  <pic:spPr>
                    <a:xfrm>
                      <a:off x="0" y="0"/>
                      <a:ext cx="5039360" cy="3716655"/>
                    </a:xfrm>
                    <a:prstGeom prst="rect">
                      <a:avLst/>
                    </a:prstGeom>
                  </pic:spPr>
                </pic:pic>
              </a:graphicData>
            </a:graphic>
          </wp:inline>
        </w:drawing>
      </w:r>
    </w:p>
    <w:p w14:paraId="5409B2DF" w14:textId="384C5BF2" w:rsidR="00A876E6" w:rsidRPr="0082680A" w:rsidRDefault="00A876E6" w:rsidP="00A876E6">
      <w:pPr>
        <w:pStyle w:val="Caption"/>
        <w:rPr>
          <w:b w:val="0"/>
          <w:lang w:val="en-GB"/>
        </w:rPr>
      </w:pPr>
      <w:bookmarkStart w:id="274" w:name="_Toc3225948"/>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34</w:t>
      </w:r>
      <w:r>
        <w:rPr>
          <w:lang w:val="en-GB"/>
        </w:rPr>
        <w:fldChar w:fldCharType="end"/>
      </w:r>
      <w:r w:rsidRPr="0082680A">
        <w:rPr>
          <w:lang w:val="en-GB"/>
        </w:rPr>
        <w:t xml:space="preserve">: </w:t>
      </w:r>
      <w:r w:rsidRPr="0082680A">
        <w:rPr>
          <w:b w:val="0"/>
          <w:lang w:val="en-GB"/>
        </w:rPr>
        <w:t>Members of the PD common coexpression module</w:t>
      </w:r>
      <w:bookmarkEnd w:id="274"/>
    </w:p>
    <w:p w14:paraId="131FECC1" w14:textId="77777777" w:rsidR="00A876E6" w:rsidRPr="0082680A" w:rsidRDefault="00A876E6" w:rsidP="00A876E6">
      <w:pPr>
        <w:keepNext/>
        <w:rPr>
          <w:lang w:val="en-GB"/>
        </w:rPr>
      </w:pPr>
    </w:p>
    <w:p w14:paraId="4ACA767D" w14:textId="77777777" w:rsidR="00A876E6" w:rsidRPr="0082680A" w:rsidRDefault="00A876E6" w:rsidP="00A876E6">
      <w:pPr>
        <w:rPr>
          <w:lang w:val="en-GB"/>
        </w:rPr>
      </w:pPr>
      <w:r w:rsidRPr="0082680A">
        <w:rPr>
          <w:noProof/>
          <w:lang w:val="en-GB"/>
        </w:rPr>
        <mc:AlternateContent>
          <mc:Choice Requires="wps">
            <w:drawing>
              <wp:anchor distT="0" distB="0" distL="114300" distR="114300" simplePos="0" relativeHeight="251924480" behindDoc="0" locked="0" layoutInCell="1" allowOverlap="1" wp14:anchorId="588A2DE6" wp14:editId="6A6DF7A1">
                <wp:simplePos x="0" y="0"/>
                <wp:positionH relativeFrom="column">
                  <wp:posOffset>-3274060</wp:posOffset>
                </wp:positionH>
                <wp:positionV relativeFrom="paragraph">
                  <wp:posOffset>3395980</wp:posOffset>
                </wp:positionV>
                <wp:extent cx="8060055" cy="1828800"/>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rot="5400000">
                          <a:off x="0" y="0"/>
                          <a:ext cx="8060055" cy="1828800"/>
                        </a:xfrm>
                        <a:prstGeom prst="rect">
                          <a:avLst/>
                        </a:prstGeom>
                        <a:noFill/>
                        <a:ln w="6350">
                          <a:noFill/>
                        </a:ln>
                      </wps:spPr>
                      <wps:txbx>
                        <w:txbxContent>
                          <w:p w14:paraId="0126F595" w14:textId="5C6133C8" w:rsidR="00C2072C" w:rsidRPr="00886E5E" w:rsidRDefault="00C2072C" w:rsidP="00A876E6">
                            <w:pPr>
                              <w:pStyle w:val="Caption"/>
                            </w:pPr>
                            <w:bookmarkStart w:id="275" w:name="_Toc3226009"/>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 xml:space="preserve">: </w:t>
                            </w:r>
                            <w:r w:rsidRPr="00FA6E6C">
                              <w:rPr>
                                <w:b w:val="0"/>
                              </w:rPr>
                              <w:t>The PD common coexpression network. Positively correlated edges are red, negatively correlated edges are blue.</w:t>
                            </w:r>
                            <w:bookmarkEnd w:id="27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8A2DE6" id="Text Box 87" o:spid="_x0000_s1030" type="#_x0000_t202" style="position:absolute;margin-left:-257.8pt;margin-top:267.4pt;width:634.65pt;height:2in;rotation:90;z-index:25192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" filled="f" stroked="f" strokeweight=".5pt">
                <v:textbox style="mso-fit-shape-to-text:t">
                  <w:txbxContent>
                    <w:p w14:paraId="0126F595" w14:textId="5C6133C8" w:rsidR="00C2072C" w:rsidRPr="00886E5E" w:rsidRDefault="00C2072C" w:rsidP="00A876E6">
                      <w:pPr>
                        <w:pStyle w:val="Caption"/>
                      </w:pPr>
                      <w:bookmarkStart w:id="276" w:name="_Toc3226009"/>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r>
                        <w:t xml:space="preserve">: </w:t>
                      </w:r>
                      <w:r w:rsidRPr="00FA6E6C">
                        <w:rPr>
                          <w:b w:val="0"/>
                        </w:rPr>
                        <w:t>The PD common coexpression network. Positively correlated edges are red, negatively correlated edges are blue.</w:t>
                      </w:r>
                      <w:bookmarkEnd w:id="276"/>
                    </w:p>
                  </w:txbxContent>
                </v:textbox>
                <w10:wrap type="square"/>
              </v:shape>
            </w:pict>
          </mc:Fallback>
        </mc:AlternateContent>
      </w:r>
      <w:r w:rsidRPr="0082680A">
        <w:rPr>
          <w:noProof/>
          <w:lang w:val="en-GB"/>
        </w:rPr>
        <w:drawing>
          <wp:anchor distT="0" distB="0" distL="114300" distR="114300" simplePos="0" relativeHeight="251660287" behindDoc="0" locked="0" layoutInCell="1" allowOverlap="1" wp14:anchorId="1D6D2654" wp14:editId="28E2597D">
            <wp:simplePos x="0" y="0"/>
            <wp:positionH relativeFrom="margin">
              <wp:posOffset>-580390</wp:posOffset>
            </wp:positionH>
            <wp:positionV relativeFrom="margin">
              <wp:posOffset>1357630</wp:posOffset>
            </wp:positionV>
            <wp:extent cx="6617335" cy="5188585"/>
            <wp:effectExtent l="3175" t="0" r="2540" b="254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NAL_NETWORKthesis.pdf"/>
                    <pic:cNvPicPr/>
                  </pic:nvPicPr>
                  <pic:blipFill rotWithShape="1">
                    <a:blip r:embed="rId113">
                      <a:extLst>
                        <a:ext uri="{28A0092B-C50C-407E-A947-70E740481C1C}">
                          <a14:useLocalDpi xmlns:a14="http://schemas.microsoft.com/office/drawing/2010/main" val="0"/>
                        </a:ext>
                      </a:extLst>
                    </a:blip>
                    <a:srcRect l="15443" t="1" r="15073" b="57894"/>
                    <a:stretch/>
                  </pic:blipFill>
                  <pic:spPr bwMode="auto">
                    <a:xfrm rot="5400000">
                      <a:off x="0" y="0"/>
                      <a:ext cx="6617335" cy="518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680A">
        <w:rPr>
          <w:lang w:val="en-GB"/>
        </w:rPr>
        <w:br w:type="page"/>
      </w:r>
    </w:p>
    <w:p w14:paraId="54307319" w14:textId="0F419BA3" w:rsidR="00A876E6" w:rsidRPr="0082680A" w:rsidRDefault="00A876E6" w:rsidP="00A876E6">
      <w:pPr>
        <w:rPr>
          <w:lang w:val="en-GB"/>
        </w:rPr>
      </w:pPr>
      <w:r w:rsidRPr="0082680A">
        <w:rPr>
          <w:lang w:val="en-GB"/>
        </w:rPr>
        <w:lastRenderedPageBreak/>
        <w:t>In benchmark enrichment, LRRK2 PPI genes are enriched, but PD disease genes and PD GWAS genes are not significantly enriched (Table 3</w:t>
      </w:r>
      <w:r>
        <w:rPr>
          <w:lang w:val="en-GB"/>
        </w:rPr>
        <w:t>5</w:t>
      </w:r>
      <w:r w:rsidRPr="0082680A">
        <w:rPr>
          <w:lang w:val="en-GB"/>
        </w:rPr>
        <w:t xml:space="preserve">). Functional enrichment of the subnetwork module implicated processes related to mitochondria and the citrate cycle, and the proteasome (Table </w:t>
      </w:r>
      <w:r>
        <w:rPr>
          <w:lang w:val="en-GB"/>
        </w:rPr>
        <w:t>36</w:t>
      </w:r>
      <w:r w:rsidRPr="0082680A">
        <w:rPr>
          <w:lang w:val="en-GB"/>
        </w:rPr>
        <w:t xml:space="preserve"> &amp; </w:t>
      </w:r>
      <w:r>
        <w:rPr>
          <w:lang w:val="en-GB"/>
        </w:rPr>
        <w:t>37</w:t>
      </w:r>
      <w:r w:rsidRPr="0082680A">
        <w:rPr>
          <w:lang w:val="en-GB"/>
        </w:rPr>
        <w:t xml:space="preserve">, </w:t>
      </w:r>
      <w:hyperlink r:id="rId114" w:history="1">
        <w:r w:rsidRPr="0082680A">
          <w:rPr>
            <w:rStyle w:val="Hyperlink"/>
            <w:lang w:val="en-GB"/>
          </w:rPr>
          <w:t>http://amp.pharm.mssm.edu/Enrichr/enrich?dataset=8gl7a</w:t>
        </w:r>
      </w:hyperlink>
      <w:r w:rsidRPr="0082680A">
        <w:rPr>
          <w:lang w:val="en-GB"/>
        </w:rPr>
        <w:t xml:space="preserve">). The KEGG pathway “Parkinson’s Disease” is highly enriched, reflected by the presence of 19 members of this pathway in the coexpression module, including DJ-1(PARK7), UCHL1, and CYCS. </w:t>
      </w:r>
    </w:p>
    <w:p w14:paraId="61BC702E" w14:textId="77777777" w:rsidR="00A876E6" w:rsidRPr="0082680A" w:rsidRDefault="00A876E6" w:rsidP="00A876E6">
      <w:pPr>
        <w:rPr>
          <w:lang w:val="en-GB"/>
        </w:rPr>
      </w:pPr>
    </w:p>
    <w:p w14:paraId="15287658" w14:textId="77777777" w:rsidR="00A876E6" w:rsidRPr="0082680A" w:rsidRDefault="00A876E6" w:rsidP="00A876E6">
      <w:pPr>
        <w:pStyle w:val="NoSpacing"/>
        <w:rPr>
          <w:lang w:val="en-GB"/>
        </w:rPr>
      </w:pPr>
      <w:r w:rsidRPr="0082680A">
        <w:rPr>
          <w:noProof/>
          <w:lang w:val="en-GB"/>
        </w:rPr>
        <w:drawing>
          <wp:inline distT="0" distB="0" distL="0" distR="0" wp14:anchorId="41D050B7" wp14:editId="6FB55FE8">
            <wp:extent cx="5038556" cy="1900238"/>
            <wp:effectExtent l="0" t="0" r="381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D_Network_BenchmarkEnrichments.pdf"/>
                    <pic:cNvPicPr/>
                  </pic:nvPicPr>
                  <pic:blipFill rotWithShape="1">
                    <a:blip r:embed="rId115">
                      <a:extLst>
                        <a:ext uri="{28A0092B-C50C-407E-A947-70E740481C1C}">
                          <a14:useLocalDpi xmlns:a14="http://schemas.microsoft.com/office/drawing/2010/main" val="0"/>
                        </a:ext>
                      </a:extLst>
                    </a:blip>
                    <a:srcRect b="48864"/>
                    <a:stretch/>
                  </pic:blipFill>
                  <pic:spPr bwMode="auto">
                    <a:xfrm>
                      <a:off x="0" y="0"/>
                      <a:ext cx="5039360" cy="1900541"/>
                    </a:xfrm>
                    <a:prstGeom prst="rect">
                      <a:avLst/>
                    </a:prstGeom>
                    <a:ln>
                      <a:noFill/>
                    </a:ln>
                    <a:extLst>
                      <a:ext uri="{53640926-AAD7-44D8-BBD7-CCE9431645EC}">
                        <a14:shadowObscured xmlns:a14="http://schemas.microsoft.com/office/drawing/2010/main"/>
                      </a:ext>
                    </a:extLst>
                  </pic:spPr>
                </pic:pic>
              </a:graphicData>
            </a:graphic>
          </wp:inline>
        </w:drawing>
      </w:r>
    </w:p>
    <w:p w14:paraId="4C50DB72" w14:textId="49B140EC" w:rsidR="00A876E6" w:rsidRPr="0082680A" w:rsidRDefault="00A876E6" w:rsidP="00A876E6">
      <w:pPr>
        <w:pStyle w:val="Caption"/>
        <w:rPr>
          <w:lang w:val="en-GB"/>
        </w:rPr>
      </w:pPr>
      <w:bookmarkStart w:id="277" w:name="_Toc3225949"/>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35</w:t>
      </w:r>
      <w:r>
        <w:rPr>
          <w:lang w:val="en-GB"/>
        </w:rPr>
        <w:fldChar w:fldCharType="end"/>
      </w:r>
      <w:r w:rsidRPr="0082680A">
        <w:rPr>
          <w:lang w:val="en-GB"/>
        </w:rPr>
        <w:t xml:space="preserve">: </w:t>
      </w:r>
      <w:r w:rsidRPr="0082680A">
        <w:rPr>
          <w:b w:val="0"/>
          <w:lang w:val="en-GB"/>
        </w:rPr>
        <w:t>Enrichment of PD-associated genes in the common coexpression module</w:t>
      </w:r>
      <w:bookmarkEnd w:id="277"/>
    </w:p>
    <w:p w14:paraId="54FF7735" w14:textId="77777777" w:rsidR="00A876E6" w:rsidRPr="0082680A" w:rsidRDefault="00A876E6" w:rsidP="00A876E6">
      <w:pPr>
        <w:rPr>
          <w:lang w:val="en-GB"/>
        </w:rPr>
      </w:pPr>
    </w:p>
    <w:p w14:paraId="678D2171" w14:textId="77777777" w:rsidR="00A876E6" w:rsidRPr="0082680A" w:rsidRDefault="00A876E6" w:rsidP="00A876E6">
      <w:pPr>
        <w:pStyle w:val="NoSpacing"/>
        <w:rPr>
          <w:lang w:val="en-GB"/>
        </w:rPr>
      </w:pPr>
      <w:r w:rsidRPr="0082680A">
        <w:rPr>
          <w:noProof/>
          <w:lang w:val="en-GB"/>
        </w:rPr>
        <w:drawing>
          <wp:inline distT="0" distB="0" distL="0" distR="0" wp14:anchorId="1C2D48E9" wp14:editId="1052CF6A">
            <wp:extent cx="4994357" cy="3117954"/>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D_Network_KWREnrichments.pdf"/>
                    <pic:cNvPicPr/>
                  </pic:nvPicPr>
                  <pic:blipFill rotWithShape="1">
                    <a:blip r:embed="rId116">
                      <a:extLst>
                        <a:ext uri="{28A0092B-C50C-407E-A947-70E740481C1C}">
                          <a14:useLocalDpi xmlns:a14="http://schemas.microsoft.com/office/drawing/2010/main" val="0"/>
                        </a:ext>
                      </a:extLst>
                    </a:blip>
                    <a:srcRect b="8079"/>
                    <a:stretch/>
                  </pic:blipFill>
                  <pic:spPr bwMode="auto">
                    <a:xfrm>
                      <a:off x="0" y="0"/>
                      <a:ext cx="5003984" cy="3123964"/>
                    </a:xfrm>
                    <a:prstGeom prst="rect">
                      <a:avLst/>
                    </a:prstGeom>
                    <a:ln>
                      <a:noFill/>
                    </a:ln>
                    <a:extLst>
                      <a:ext uri="{53640926-AAD7-44D8-BBD7-CCE9431645EC}">
                        <a14:shadowObscured xmlns:a14="http://schemas.microsoft.com/office/drawing/2010/main"/>
                      </a:ext>
                    </a:extLst>
                  </pic:spPr>
                </pic:pic>
              </a:graphicData>
            </a:graphic>
          </wp:inline>
        </w:drawing>
      </w:r>
    </w:p>
    <w:p w14:paraId="2C48C930" w14:textId="3CBD1D0C" w:rsidR="00A876E6" w:rsidRPr="0082680A" w:rsidRDefault="00A876E6" w:rsidP="00A876E6">
      <w:pPr>
        <w:pStyle w:val="Caption"/>
        <w:rPr>
          <w:b w:val="0"/>
          <w:lang w:val="en-GB"/>
        </w:rPr>
      </w:pPr>
      <w:bookmarkStart w:id="278" w:name="_Toc3225950"/>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36</w:t>
      </w:r>
      <w:r>
        <w:rPr>
          <w:lang w:val="en-GB"/>
        </w:rPr>
        <w:fldChar w:fldCharType="end"/>
      </w:r>
      <w:r w:rsidRPr="0082680A">
        <w:rPr>
          <w:lang w:val="en-GB"/>
        </w:rPr>
        <w:t xml:space="preserve">: </w:t>
      </w:r>
      <w:r w:rsidRPr="0082680A">
        <w:rPr>
          <w:b w:val="0"/>
          <w:lang w:val="en-GB"/>
        </w:rPr>
        <w:t>Top 10 enriched pathways in KEGG, Wikipathways, and Reactome databases for the PD common coexpression module</w:t>
      </w:r>
      <w:r>
        <w:rPr>
          <w:b w:val="0"/>
          <w:lang w:val="en-GB"/>
        </w:rPr>
        <w:t>. P-Values are adjusted.</w:t>
      </w:r>
      <w:bookmarkEnd w:id="278"/>
    </w:p>
    <w:p w14:paraId="7F5B07CE" w14:textId="77777777" w:rsidR="00A876E6" w:rsidRPr="0082680A" w:rsidRDefault="00A876E6" w:rsidP="00A876E6">
      <w:pPr>
        <w:pStyle w:val="NoSpacing"/>
        <w:rPr>
          <w:lang w:val="en-GB"/>
        </w:rPr>
      </w:pPr>
      <w:r w:rsidRPr="0082680A">
        <w:rPr>
          <w:noProof/>
          <w:lang w:val="en-GB"/>
        </w:rPr>
        <w:lastRenderedPageBreak/>
        <w:drawing>
          <wp:inline distT="0" distB="0" distL="0" distR="0" wp14:anchorId="53EBD4E5" wp14:editId="195348A9">
            <wp:extent cx="5020744" cy="3207895"/>
            <wp:effectExtent l="0" t="0" r="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D_Network_GOEnrichments.pdf"/>
                    <pic:cNvPicPr/>
                  </pic:nvPicPr>
                  <pic:blipFill rotWithShape="1">
                    <a:blip r:embed="rId117">
                      <a:extLst>
                        <a:ext uri="{28A0092B-C50C-407E-A947-70E740481C1C}">
                          <a14:useLocalDpi xmlns:a14="http://schemas.microsoft.com/office/drawing/2010/main" val="0"/>
                        </a:ext>
                      </a:extLst>
                    </a:blip>
                    <a:srcRect b="5925"/>
                    <a:stretch/>
                  </pic:blipFill>
                  <pic:spPr bwMode="auto">
                    <a:xfrm>
                      <a:off x="0" y="0"/>
                      <a:ext cx="5025445" cy="3210898"/>
                    </a:xfrm>
                    <a:prstGeom prst="rect">
                      <a:avLst/>
                    </a:prstGeom>
                    <a:ln>
                      <a:noFill/>
                    </a:ln>
                    <a:extLst>
                      <a:ext uri="{53640926-AAD7-44D8-BBD7-CCE9431645EC}">
                        <a14:shadowObscured xmlns:a14="http://schemas.microsoft.com/office/drawing/2010/main"/>
                      </a:ext>
                    </a:extLst>
                  </pic:spPr>
                </pic:pic>
              </a:graphicData>
            </a:graphic>
          </wp:inline>
        </w:drawing>
      </w:r>
    </w:p>
    <w:p w14:paraId="62477414" w14:textId="44F3FE02" w:rsidR="00A876E6" w:rsidRPr="0082680A" w:rsidRDefault="00A876E6" w:rsidP="00A876E6">
      <w:pPr>
        <w:pStyle w:val="Caption"/>
        <w:rPr>
          <w:lang w:val="en-GB"/>
        </w:rPr>
      </w:pPr>
      <w:bookmarkStart w:id="279" w:name="_Toc3225951"/>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37</w:t>
      </w:r>
      <w:r>
        <w:rPr>
          <w:lang w:val="en-GB"/>
        </w:rPr>
        <w:fldChar w:fldCharType="end"/>
      </w:r>
      <w:r w:rsidRPr="0082680A">
        <w:rPr>
          <w:lang w:val="en-GB"/>
        </w:rPr>
        <w:t xml:space="preserve">: </w:t>
      </w:r>
      <w:r w:rsidRPr="0082680A">
        <w:rPr>
          <w:b w:val="0"/>
          <w:lang w:val="en-GB"/>
        </w:rPr>
        <w:t>Top 10 enriched GO terms in each category for the PD common coexpression module</w:t>
      </w:r>
      <w:r>
        <w:rPr>
          <w:b w:val="0"/>
          <w:lang w:val="en-GB"/>
        </w:rPr>
        <w:t>. P-Values are adjusted.</w:t>
      </w:r>
      <w:bookmarkEnd w:id="279"/>
    </w:p>
    <w:p w14:paraId="6A3D020C" w14:textId="77777777" w:rsidR="00A876E6" w:rsidRPr="0082680A" w:rsidRDefault="00A876E6" w:rsidP="00A876E6">
      <w:pPr>
        <w:rPr>
          <w:lang w:val="en-GB"/>
        </w:rPr>
      </w:pPr>
    </w:p>
    <w:p w14:paraId="41847DF2" w14:textId="3DA77548" w:rsidR="00A876E6" w:rsidRPr="0082680A" w:rsidRDefault="00A876E6" w:rsidP="00A876E6">
      <w:pPr>
        <w:rPr>
          <w:lang w:val="en-GB"/>
        </w:rPr>
      </w:pPr>
      <w:r w:rsidRPr="0082680A">
        <w:rPr>
          <w:lang w:val="en-GB"/>
        </w:rPr>
        <w:t>Direct protein-protein interactions between the subnetwork module and the members of the Parkinson’s Disease Malacards gene list revealed 117 protein interactions between 76 module members and 38 PD-associated proteins (two of which, PARK7 and UCHL1 belonging to both lists) (Figure 1</w:t>
      </w:r>
      <w:r>
        <w:rPr>
          <w:lang w:val="en-GB"/>
        </w:rPr>
        <w:t>4</w:t>
      </w:r>
      <w:r w:rsidRPr="0082680A">
        <w:rPr>
          <w:lang w:val="en-GB"/>
        </w:rPr>
        <w:t>). Random permutation testing sampled against the human genome revealed this number of interactions to be greatly more than expected by chance, with a mean number of expected edges of 35.37, and a range of 13:61. As 117 does not lie within this range, a P-value could not be computed.</w:t>
      </w:r>
      <w:bookmarkStart w:id="280" w:name="_j8p5xwjb7oir" w:colFirst="0" w:colLast="0"/>
      <w:bookmarkEnd w:id="280"/>
    </w:p>
    <w:p w14:paraId="12E082DC" w14:textId="77777777" w:rsidR="00A876E6" w:rsidRPr="0082680A" w:rsidRDefault="00A876E6" w:rsidP="00A876E6">
      <w:pPr>
        <w:rPr>
          <w:lang w:val="en-GB"/>
        </w:rPr>
      </w:pPr>
      <w:r w:rsidRPr="0082680A">
        <w:rPr>
          <w:noProof/>
          <w:lang w:val="en-GB"/>
        </w:rPr>
        <w:lastRenderedPageBreak/>
        <mc:AlternateContent>
          <mc:Choice Requires="wps">
            <w:drawing>
              <wp:anchor distT="0" distB="0" distL="114300" distR="114300" simplePos="0" relativeHeight="251927552" behindDoc="0" locked="0" layoutInCell="1" allowOverlap="1" wp14:anchorId="2B172B5A" wp14:editId="32E6D8C3">
                <wp:simplePos x="0" y="0"/>
                <wp:positionH relativeFrom="column">
                  <wp:posOffset>1294765</wp:posOffset>
                </wp:positionH>
                <wp:positionV relativeFrom="paragraph">
                  <wp:posOffset>4438650</wp:posOffset>
                </wp:positionV>
                <wp:extent cx="6967220" cy="635"/>
                <wp:effectExtent l="1587" t="0" r="0" b="0"/>
                <wp:wrapSquare wrapText="bothSides"/>
                <wp:docPr id="90" name="Text Box 90"/>
                <wp:cNvGraphicFramePr/>
                <a:graphic xmlns:a="http://schemas.openxmlformats.org/drawingml/2006/main">
                  <a:graphicData uri="http://schemas.microsoft.com/office/word/2010/wordprocessingShape">
                    <wps:wsp>
                      <wps:cNvSpPr txBox="1"/>
                      <wps:spPr>
                        <a:xfrm rot="16200000">
                          <a:off x="0" y="0"/>
                          <a:ext cx="6967220" cy="635"/>
                        </a:xfrm>
                        <a:prstGeom prst="rect">
                          <a:avLst/>
                        </a:prstGeom>
                        <a:solidFill>
                          <a:prstClr val="white"/>
                        </a:solidFill>
                        <a:ln>
                          <a:noFill/>
                        </a:ln>
                      </wps:spPr>
                      <wps:txbx>
                        <w:txbxContent>
                          <w:p w14:paraId="4EA80B3A" w14:textId="44E27952" w:rsidR="00C2072C" w:rsidRPr="00A36CC1" w:rsidRDefault="00C2072C" w:rsidP="00A876E6">
                            <w:pPr>
                              <w:pStyle w:val="NoSpacing"/>
                            </w:pPr>
                            <w:bookmarkStart w:id="281" w:name="_Toc3226010"/>
                            <w:r w:rsidRPr="00A36CC1">
                              <w:rPr>
                                <w:b/>
                              </w:rPr>
                              <w:t xml:space="preserve">Figure </w:t>
                            </w:r>
                            <w:r w:rsidRPr="00A36CC1">
                              <w:rPr>
                                <w:b/>
                                <w:noProof/>
                              </w:rPr>
                              <w:fldChar w:fldCharType="begin"/>
                            </w:r>
                            <w:r w:rsidRPr="00A36CC1">
                              <w:rPr>
                                <w:b/>
                                <w:noProof/>
                              </w:rPr>
                              <w:instrText xml:space="preserve"> SEQ Figure \* ARABIC </w:instrText>
                            </w:r>
                            <w:r w:rsidRPr="00A36CC1">
                              <w:rPr>
                                <w:b/>
                                <w:noProof/>
                              </w:rPr>
                              <w:fldChar w:fldCharType="separate"/>
                            </w:r>
                            <w:r>
                              <w:rPr>
                                <w:b/>
                                <w:noProof/>
                              </w:rPr>
                              <w:t>14</w:t>
                            </w:r>
                            <w:r w:rsidRPr="00A36CC1">
                              <w:rPr>
                                <w:b/>
                                <w:noProof/>
                              </w:rPr>
                              <w:fldChar w:fldCharType="end"/>
                            </w:r>
                            <w:r w:rsidRPr="00A36CC1">
                              <w:rPr>
                                <w:b/>
                              </w:rPr>
                              <w:t>:</w:t>
                            </w:r>
                            <w:r w:rsidRPr="00A36CC1">
                              <w:t xml:space="preserve"> Protein-protein interaction network showing relationships between coexpression module proteins (blue) and PD </w:t>
                            </w:r>
                            <w:proofErr w:type="spellStart"/>
                            <w:r w:rsidRPr="00A36CC1">
                              <w:t>Malacards</w:t>
                            </w:r>
                            <w:proofErr w:type="spellEnd"/>
                            <w:r w:rsidRPr="00A36CC1">
                              <w:t xml:space="preserve"> proteins (green).</w:t>
                            </w:r>
                            <w:r>
                              <w:t xml:space="preserve"> Orange-</w:t>
                            </w:r>
                            <w:proofErr w:type="spellStart"/>
                            <w:r>
                              <w:t>coloured</w:t>
                            </w:r>
                            <w:proofErr w:type="spellEnd"/>
                            <w:r>
                              <w:t xml:space="preserve"> proteins are both.</w:t>
                            </w:r>
                            <w:bookmarkEnd w:id="2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172B5A" id="Text Box 90" o:spid="_x0000_s1031" type="#_x0000_t202" style="position:absolute;margin-left:101.95pt;margin-top:349.5pt;width:548.6pt;height:.05pt;rotation:-90;z-index:25192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" stroked="f">
                <v:textbox style="mso-fit-shape-to-text:t" inset="0,0,0,0">
                  <w:txbxContent>
                    <w:p w14:paraId="4EA80B3A" w14:textId="44E27952" w:rsidR="00C2072C" w:rsidRPr="00A36CC1" w:rsidRDefault="00C2072C" w:rsidP="00A876E6">
                      <w:pPr>
                        <w:pStyle w:val="NoSpacing"/>
                      </w:pPr>
                      <w:bookmarkStart w:id="282" w:name="_Toc3226010"/>
                      <w:r w:rsidRPr="00A36CC1">
                        <w:rPr>
                          <w:b/>
                        </w:rPr>
                        <w:t xml:space="preserve">Figure </w:t>
                      </w:r>
                      <w:r w:rsidRPr="00A36CC1">
                        <w:rPr>
                          <w:b/>
                          <w:noProof/>
                        </w:rPr>
                        <w:fldChar w:fldCharType="begin"/>
                      </w:r>
                      <w:r w:rsidRPr="00A36CC1">
                        <w:rPr>
                          <w:b/>
                          <w:noProof/>
                        </w:rPr>
                        <w:instrText xml:space="preserve"> SEQ Figure \* ARABIC </w:instrText>
                      </w:r>
                      <w:r w:rsidRPr="00A36CC1">
                        <w:rPr>
                          <w:b/>
                          <w:noProof/>
                        </w:rPr>
                        <w:fldChar w:fldCharType="separate"/>
                      </w:r>
                      <w:r>
                        <w:rPr>
                          <w:b/>
                          <w:noProof/>
                        </w:rPr>
                        <w:t>14</w:t>
                      </w:r>
                      <w:r w:rsidRPr="00A36CC1">
                        <w:rPr>
                          <w:b/>
                          <w:noProof/>
                        </w:rPr>
                        <w:fldChar w:fldCharType="end"/>
                      </w:r>
                      <w:r w:rsidRPr="00A36CC1">
                        <w:rPr>
                          <w:b/>
                        </w:rPr>
                        <w:t>:</w:t>
                      </w:r>
                      <w:r w:rsidRPr="00A36CC1">
                        <w:t xml:space="preserve"> Protein-protein interaction network showing relationships between coexpression module proteins (blue) and PD </w:t>
                      </w:r>
                      <w:proofErr w:type="spellStart"/>
                      <w:r w:rsidRPr="00A36CC1">
                        <w:t>Malacards</w:t>
                      </w:r>
                      <w:proofErr w:type="spellEnd"/>
                      <w:r w:rsidRPr="00A36CC1">
                        <w:t xml:space="preserve"> proteins (green).</w:t>
                      </w:r>
                      <w:r>
                        <w:t xml:space="preserve"> Orange-</w:t>
                      </w:r>
                      <w:proofErr w:type="spellStart"/>
                      <w:r>
                        <w:t>coloured</w:t>
                      </w:r>
                      <w:proofErr w:type="spellEnd"/>
                      <w:r>
                        <w:t xml:space="preserve"> proteins are both.</w:t>
                      </w:r>
                      <w:bookmarkEnd w:id="282"/>
                    </w:p>
                  </w:txbxContent>
                </v:textbox>
                <w10:wrap type="square"/>
              </v:shape>
            </w:pict>
          </mc:Fallback>
        </mc:AlternateContent>
      </w:r>
      <w:r w:rsidRPr="0082680A">
        <w:rPr>
          <w:noProof/>
          <w:lang w:val="en-GB"/>
        </w:rPr>
        <w:drawing>
          <wp:anchor distT="0" distB="0" distL="114300" distR="114300" simplePos="0" relativeHeight="251926528" behindDoc="0" locked="0" layoutInCell="1" allowOverlap="1" wp14:anchorId="5D168C1A" wp14:editId="4509A46D">
            <wp:simplePos x="0" y="0"/>
            <wp:positionH relativeFrom="margin">
              <wp:posOffset>-1243330</wp:posOffset>
            </wp:positionH>
            <wp:positionV relativeFrom="margin">
              <wp:posOffset>1953260</wp:posOffset>
            </wp:positionV>
            <wp:extent cx="6916420" cy="5165725"/>
            <wp:effectExtent l="0" t="953" r="0" b="4127"/>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inalPDPPIthesis.pdf"/>
                    <pic:cNvPicPr/>
                  </pic:nvPicPr>
                  <pic:blipFill rotWithShape="1">
                    <a:blip r:embed="rId118">
                      <a:extLst>
                        <a:ext uri="{28A0092B-C50C-407E-A947-70E740481C1C}">
                          <a14:useLocalDpi xmlns:a14="http://schemas.microsoft.com/office/drawing/2010/main" val="0"/>
                        </a:ext>
                      </a:extLst>
                    </a:blip>
                    <a:srcRect l="13111" r="11261" b="56350"/>
                    <a:stretch/>
                  </pic:blipFill>
                  <pic:spPr bwMode="auto">
                    <a:xfrm rot="16200000">
                      <a:off x="0" y="0"/>
                      <a:ext cx="6916420" cy="5165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680A">
        <w:rPr>
          <w:lang w:val="en-GB"/>
        </w:rPr>
        <w:br w:type="page"/>
      </w:r>
    </w:p>
    <w:p w14:paraId="4A08F283" w14:textId="77777777" w:rsidR="00A876E6" w:rsidRPr="00691215" w:rsidRDefault="00A876E6" w:rsidP="00A876E6">
      <w:pPr>
        <w:pStyle w:val="Heading3"/>
      </w:pPr>
      <w:bookmarkStart w:id="283" w:name="_1wcz7tr53adi" w:colFirst="0" w:colLast="0"/>
      <w:bookmarkStart w:id="284" w:name="_Toc3211410"/>
      <w:bookmarkEnd w:id="283"/>
      <w:r w:rsidRPr="00691215">
        <w:lastRenderedPageBreak/>
        <w:t>Prioritisation of in vitro candidates</w:t>
      </w:r>
      <w:bookmarkEnd w:id="284"/>
    </w:p>
    <w:p w14:paraId="544C5518" w14:textId="77777777" w:rsidR="00A876E6" w:rsidRPr="0082680A" w:rsidRDefault="00A876E6" w:rsidP="00A876E6">
      <w:pPr>
        <w:rPr>
          <w:lang w:val="en-GB"/>
        </w:rPr>
      </w:pPr>
      <w:r w:rsidRPr="0082680A">
        <w:rPr>
          <w:lang w:val="en-GB"/>
        </w:rPr>
        <w:t>Seven sources of information were used to prioritise the 212 genes of the subnetwork. Scoring was conducted as described in the previous chapter. The top 9 scoring genes can be found in Table 45.</w:t>
      </w:r>
    </w:p>
    <w:p w14:paraId="0F695AD4" w14:textId="77777777" w:rsidR="00A876E6" w:rsidRPr="0082680A" w:rsidRDefault="00A876E6" w:rsidP="00A876E6">
      <w:pPr>
        <w:rPr>
          <w:lang w:val="en-GB"/>
        </w:rPr>
      </w:pPr>
    </w:p>
    <w:p w14:paraId="57CE3A13" w14:textId="002356E7" w:rsidR="00A876E6" w:rsidRPr="0082680A" w:rsidRDefault="00A876E6" w:rsidP="00A876E6">
      <w:pPr>
        <w:rPr>
          <w:lang w:val="en-GB"/>
        </w:rPr>
      </w:pPr>
      <w:r w:rsidRPr="0082680A">
        <w:rPr>
          <w:lang w:val="en-GB"/>
        </w:rPr>
        <w:t xml:space="preserve">Seventeen LoF mutations were identified in 13 genes (Table </w:t>
      </w:r>
      <w:r w:rsidR="00AA3DEE">
        <w:rPr>
          <w:lang w:val="en-GB"/>
        </w:rPr>
        <w:t>38</w:t>
      </w:r>
      <w:r w:rsidRPr="0082680A">
        <w:rPr>
          <w:lang w:val="en-GB"/>
        </w:rPr>
        <w:t xml:space="preserve">). Seven of these mutations were predicted to result in either the gain of a stop, or loss of a start or stop codon. Two mutations were found to be homozygous in the patient; a start lost mutation in the gene </w:t>
      </w:r>
      <w:r w:rsidRPr="0082680A">
        <w:rPr>
          <w:i/>
          <w:lang w:val="en-GB"/>
        </w:rPr>
        <w:t>MAGED1</w:t>
      </w:r>
      <w:r w:rsidRPr="0082680A">
        <w:rPr>
          <w:lang w:val="en-GB"/>
        </w:rPr>
        <w:t xml:space="preserve">, and a stop lost in the gene </w:t>
      </w:r>
      <w:r w:rsidRPr="0082680A">
        <w:rPr>
          <w:i/>
          <w:lang w:val="en-GB"/>
        </w:rPr>
        <w:t>STRAP</w:t>
      </w:r>
      <w:r w:rsidRPr="0082680A">
        <w:rPr>
          <w:lang w:val="en-GB"/>
        </w:rPr>
        <w:t xml:space="preserve">. Lobby index identified two genes, </w:t>
      </w:r>
      <w:r w:rsidRPr="0082680A">
        <w:rPr>
          <w:i/>
          <w:lang w:val="en-GB"/>
        </w:rPr>
        <w:t>UBE2N</w:t>
      </w:r>
      <w:r w:rsidRPr="0082680A">
        <w:rPr>
          <w:lang w:val="en-GB"/>
        </w:rPr>
        <w:t xml:space="preserve"> and </w:t>
      </w:r>
      <w:r w:rsidRPr="0082680A">
        <w:rPr>
          <w:i/>
          <w:lang w:val="en-GB"/>
        </w:rPr>
        <w:t>TERF2IP</w:t>
      </w:r>
      <w:r w:rsidRPr="0082680A">
        <w:rPr>
          <w:lang w:val="en-GB"/>
        </w:rPr>
        <w:t xml:space="preserve">, to have a particularly high lobby index score of 13 (Appendix Table </w:t>
      </w:r>
      <w:r w:rsidR="000E46C0">
        <w:rPr>
          <w:lang w:val="en-GB"/>
        </w:rPr>
        <w:t>7</w:t>
      </w:r>
      <w:r w:rsidRPr="0082680A">
        <w:rPr>
          <w:lang w:val="en-GB"/>
        </w:rPr>
        <w:t xml:space="preserve">). Seventeen genes were found to be significant GeneXplain master regulators, with 7 in the Top 20 (Appendix Table </w:t>
      </w:r>
      <w:r w:rsidR="000E46C0">
        <w:rPr>
          <w:lang w:val="en-GB"/>
        </w:rPr>
        <w:t>8</w:t>
      </w:r>
      <w:r w:rsidRPr="0082680A">
        <w:rPr>
          <w:lang w:val="en-GB"/>
        </w:rPr>
        <w:t xml:space="preserve">). Only 4 genes were found to regulate another network module member, as suggested by IPA (Appendix Table </w:t>
      </w:r>
      <w:r w:rsidR="000E46C0">
        <w:rPr>
          <w:lang w:val="en-GB"/>
        </w:rPr>
        <w:t>9</w:t>
      </w:r>
      <w:r w:rsidRPr="0082680A">
        <w:rPr>
          <w:lang w:val="en-GB"/>
        </w:rPr>
        <w:t xml:space="preserve"> &amp; 1</w:t>
      </w:r>
      <w:r w:rsidR="000E46C0">
        <w:rPr>
          <w:lang w:val="en-GB"/>
        </w:rPr>
        <w:t>0</w:t>
      </w:r>
      <w:r w:rsidRPr="0082680A">
        <w:rPr>
          <w:lang w:val="en-GB"/>
        </w:rPr>
        <w:t xml:space="preserve">). Forty-eight genes - nearly 23% of the network - were also commonly differentially expressed. Seven genes coded for proteins which have been found to bind directly to LRRK2. Using </w:t>
      </w:r>
      <w:r w:rsidRPr="0082680A">
        <w:rPr>
          <w:i/>
          <w:lang w:val="en-GB"/>
        </w:rPr>
        <w:t>LRRK2</w:t>
      </w:r>
      <w:r w:rsidRPr="0082680A">
        <w:rPr>
          <w:lang w:val="en-GB"/>
        </w:rPr>
        <w:t xml:space="preserve"> as a training gene, Endeavour ranked PD-associated genes </w:t>
      </w:r>
      <w:r w:rsidRPr="0082680A">
        <w:rPr>
          <w:i/>
          <w:lang w:val="en-GB"/>
        </w:rPr>
        <w:t>PARK7</w:t>
      </w:r>
      <w:r w:rsidRPr="0082680A">
        <w:rPr>
          <w:lang w:val="en-GB"/>
        </w:rPr>
        <w:t xml:space="preserve"> and </w:t>
      </w:r>
      <w:r w:rsidRPr="0082680A">
        <w:rPr>
          <w:i/>
          <w:lang w:val="en-GB"/>
        </w:rPr>
        <w:t>UCHL1</w:t>
      </w:r>
      <w:r w:rsidRPr="0082680A">
        <w:rPr>
          <w:lang w:val="en-GB"/>
        </w:rPr>
        <w:t xml:space="preserve"> as top ranked (Appendix Table 1</w:t>
      </w:r>
      <w:r w:rsidR="000E46C0">
        <w:rPr>
          <w:lang w:val="en-GB"/>
        </w:rPr>
        <w:t>1</w:t>
      </w:r>
      <w:r w:rsidRPr="0082680A">
        <w:rPr>
          <w:lang w:val="en-GB"/>
        </w:rPr>
        <w:t>).</w:t>
      </w:r>
    </w:p>
    <w:p w14:paraId="1D96DA8C" w14:textId="77777777" w:rsidR="00A876E6" w:rsidRPr="0082680A" w:rsidRDefault="00A876E6" w:rsidP="00A876E6">
      <w:pPr>
        <w:rPr>
          <w:lang w:val="en-GB"/>
        </w:rPr>
      </w:pPr>
    </w:p>
    <w:p w14:paraId="3F4AF910" w14:textId="77777777" w:rsidR="00A876E6" w:rsidRPr="0082680A" w:rsidRDefault="00A876E6" w:rsidP="00A876E6">
      <w:pPr>
        <w:rPr>
          <w:lang w:val="en-GB"/>
        </w:rPr>
      </w:pPr>
      <w:r w:rsidRPr="0082680A">
        <w:rPr>
          <w:lang w:val="en-GB"/>
        </w:rPr>
        <w:t xml:space="preserve">Random permutation testing of the mean scores of known PD-associated genes, </w:t>
      </w:r>
      <w:r w:rsidRPr="0082680A">
        <w:rPr>
          <w:i/>
          <w:lang w:val="en-GB"/>
        </w:rPr>
        <w:t>PARK7</w:t>
      </w:r>
      <w:r w:rsidRPr="0082680A">
        <w:rPr>
          <w:lang w:val="en-GB"/>
        </w:rPr>
        <w:t xml:space="preserve">, </w:t>
      </w:r>
      <w:r w:rsidRPr="0082680A">
        <w:rPr>
          <w:i/>
          <w:lang w:val="en-GB"/>
        </w:rPr>
        <w:t>UCHL1</w:t>
      </w:r>
      <w:r w:rsidRPr="0082680A">
        <w:rPr>
          <w:lang w:val="en-GB"/>
        </w:rPr>
        <w:t xml:space="preserve">, and </w:t>
      </w:r>
      <w:r w:rsidRPr="0082680A">
        <w:rPr>
          <w:i/>
          <w:lang w:val="en-GB"/>
        </w:rPr>
        <w:t>CYCS</w:t>
      </w:r>
      <w:r w:rsidRPr="0082680A">
        <w:rPr>
          <w:lang w:val="en-GB"/>
        </w:rPr>
        <w:t xml:space="preserve"> indicated that these genes achieved a significantly higher score</w:t>
      </w:r>
      <w:r>
        <w:rPr>
          <w:lang w:val="en-GB"/>
        </w:rPr>
        <w:t xml:space="preserve"> of 12</w:t>
      </w:r>
      <w:r w:rsidRPr="0082680A">
        <w:rPr>
          <w:lang w:val="en-GB"/>
        </w:rPr>
        <w:t xml:space="preserve"> than expected by chance</w:t>
      </w:r>
      <w:r>
        <w:rPr>
          <w:lang w:val="en-GB"/>
        </w:rPr>
        <w:t xml:space="preserve"> (mean expected score = 6.045, mean expected range = 1:15.7, p = 0.0051).</w:t>
      </w:r>
    </w:p>
    <w:p w14:paraId="3A41AA3D" w14:textId="77777777" w:rsidR="00A876E6" w:rsidRPr="0082680A" w:rsidRDefault="00A876E6" w:rsidP="00A876E6">
      <w:pPr>
        <w:rPr>
          <w:lang w:val="en-GB"/>
        </w:rPr>
      </w:pPr>
      <w:r w:rsidRPr="0082680A">
        <w:rPr>
          <w:lang w:val="en-GB"/>
        </w:rPr>
        <w:br w:type="page"/>
      </w:r>
    </w:p>
    <w:p w14:paraId="042CAE52" w14:textId="77777777" w:rsidR="00A876E6" w:rsidRPr="0082680A" w:rsidRDefault="00A876E6" w:rsidP="00A876E6">
      <w:pPr>
        <w:pStyle w:val="NoSpacing"/>
        <w:rPr>
          <w:lang w:val="en-GB"/>
        </w:rPr>
      </w:pPr>
      <w:r w:rsidRPr="0082680A">
        <w:rPr>
          <w:noProof/>
          <w:lang w:val="en-GB"/>
        </w:rPr>
        <w:lastRenderedPageBreak/>
        <w:drawing>
          <wp:inline distT="0" distB="0" distL="0" distR="0" wp14:anchorId="1DF5C16B" wp14:editId="7809D4D9">
            <wp:extent cx="5042746" cy="3110459"/>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D_LoFMutationTable.pdf"/>
                    <pic:cNvPicPr/>
                  </pic:nvPicPr>
                  <pic:blipFill rotWithShape="1">
                    <a:blip r:embed="rId119">
                      <a:extLst>
                        <a:ext uri="{28A0092B-C50C-407E-A947-70E740481C1C}">
                          <a14:useLocalDpi xmlns:a14="http://schemas.microsoft.com/office/drawing/2010/main" val="0"/>
                        </a:ext>
                      </a:extLst>
                    </a:blip>
                    <a:srcRect b="9180"/>
                    <a:stretch/>
                  </pic:blipFill>
                  <pic:spPr bwMode="auto">
                    <a:xfrm>
                      <a:off x="0" y="0"/>
                      <a:ext cx="5051778" cy="3116030"/>
                    </a:xfrm>
                    <a:prstGeom prst="rect">
                      <a:avLst/>
                    </a:prstGeom>
                    <a:ln>
                      <a:noFill/>
                    </a:ln>
                    <a:extLst>
                      <a:ext uri="{53640926-AAD7-44D8-BBD7-CCE9431645EC}">
                        <a14:shadowObscured xmlns:a14="http://schemas.microsoft.com/office/drawing/2010/main"/>
                      </a:ext>
                    </a:extLst>
                  </pic:spPr>
                </pic:pic>
              </a:graphicData>
            </a:graphic>
          </wp:inline>
        </w:drawing>
      </w:r>
    </w:p>
    <w:p w14:paraId="41283031" w14:textId="2130659C" w:rsidR="00A876E6" w:rsidRPr="00495357" w:rsidRDefault="00A876E6" w:rsidP="00A876E6">
      <w:pPr>
        <w:pStyle w:val="Caption"/>
        <w:rPr>
          <w:b w:val="0"/>
          <w:lang w:val="en-GB"/>
        </w:rPr>
      </w:pPr>
      <w:bookmarkStart w:id="285" w:name="_Toc3225952"/>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38</w:t>
      </w:r>
      <w:r>
        <w:rPr>
          <w:lang w:val="en-GB"/>
        </w:rPr>
        <w:fldChar w:fldCharType="end"/>
      </w:r>
      <w:r w:rsidRPr="0082680A">
        <w:rPr>
          <w:lang w:val="en-GB"/>
        </w:rPr>
        <w:t xml:space="preserve">: </w:t>
      </w:r>
      <w:r w:rsidRPr="0082680A">
        <w:rPr>
          <w:b w:val="0"/>
          <w:lang w:val="en-GB"/>
        </w:rPr>
        <w:t>Thirteen genes contained predicted LoF mutations in PD patients</w:t>
      </w:r>
      <w:r>
        <w:rPr>
          <w:b w:val="0"/>
          <w:lang w:val="en-GB"/>
        </w:rPr>
        <w:t xml:space="preserve">. </w:t>
      </w:r>
      <w:r>
        <w:rPr>
          <w:b w:val="0"/>
          <w:i/>
          <w:lang w:val="en-GB"/>
        </w:rPr>
        <w:t xml:space="preserve">Gene Symbol </w:t>
      </w:r>
      <w:r>
        <w:rPr>
          <w:b w:val="0"/>
          <w:lang w:val="en-GB"/>
        </w:rPr>
        <w:t xml:space="preserve">lists the associated gene with each SNP according to Gemini annotation. </w:t>
      </w:r>
      <w:r>
        <w:rPr>
          <w:b w:val="0"/>
          <w:i/>
          <w:lang w:val="en-GB"/>
        </w:rPr>
        <w:t>Chromosome</w:t>
      </w:r>
      <w:r>
        <w:rPr>
          <w:b w:val="0"/>
          <w:lang w:val="en-GB"/>
        </w:rPr>
        <w:t xml:space="preserve"> and </w:t>
      </w:r>
      <w:r>
        <w:rPr>
          <w:b w:val="0"/>
          <w:i/>
          <w:lang w:val="en-GB"/>
        </w:rPr>
        <w:t>Location</w:t>
      </w:r>
      <w:r>
        <w:rPr>
          <w:b w:val="0"/>
          <w:lang w:val="en-GB"/>
        </w:rPr>
        <w:t xml:space="preserve"> indicate the location of each SNP. </w:t>
      </w:r>
      <w:r>
        <w:rPr>
          <w:b w:val="0"/>
          <w:i/>
          <w:lang w:val="en-GB"/>
        </w:rPr>
        <w:t>Ref</w:t>
      </w:r>
      <w:r>
        <w:rPr>
          <w:b w:val="0"/>
          <w:lang w:val="en-GB"/>
        </w:rPr>
        <w:t xml:space="preserve"> and </w:t>
      </w:r>
      <w:r>
        <w:rPr>
          <w:b w:val="0"/>
          <w:i/>
          <w:lang w:val="en-GB"/>
        </w:rPr>
        <w:t>Alt</w:t>
      </w:r>
      <w:r>
        <w:rPr>
          <w:b w:val="0"/>
          <w:lang w:val="en-GB"/>
        </w:rPr>
        <w:t xml:space="preserve"> indicate the reference and alternative base. </w:t>
      </w:r>
      <w:r>
        <w:rPr>
          <w:b w:val="0"/>
          <w:i/>
          <w:lang w:val="en-GB"/>
        </w:rPr>
        <w:t>RS ID</w:t>
      </w:r>
      <w:r>
        <w:rPr>
          <w:b w:val="0"/>
          <w:lang w:val="en-GB"/>
        </w:rPr>
        <w:t xml:space="preserve"> lists the reference SNP ID number if the SNP has been identified before. </w:t>
      </w:r>
      <w:r>
        <w:rPr>
          <w:b w:val="0"/>
          <w:i/>
          <w:lang w:val="en-GB"/>
        </w:rPr>
        <w:t>Mutation Type</w:t>
      </w:r>
      <w:r>
        <w:rPr>
          <w:b w:val="0"/>
          <w:lang w:val="en-GB"/>
        </w:rPr>
        <w:t xml:space="preserve"> lists the type of mutation observed. </w:t>
      </w:r>
      <w:proofErr w:type="spellStart"/>
      <w:r>
        <w:rPr>
          <w:b w:val="0"/>
          <w:i/>
          <w:lang w:val="en-GB"/>
        </w:rPr>
        <w:t>Hom</w:t>
      </w:r>
      <w:proofErr w:type="spellEnd"/>
      <w:r>
        <w:rPr>
          <w:b w:val="0"/>
          <w:i/>
          <w:lang w:val="en-GB"/>
        </w:rPr>
        <w:t>/Het</w:t>
      </w:r>
      <w:r>
        <w:rPr>
          <w:b w:val="0"/>
          <w:lang w:val="en-GB"/>
        </w:rPr>
        <w:t xml:space="preserve"> indicates if the mutation is homo- or heterozygous.</w:t>
      </w:r>
      <w:bookmarkEnd w:id="285"/>
      <w:r>
        <w:rPr>
          <w:b w:val="0"/>
          <w:lang w:val="en-GB"/>
        </w:rPr>
        <w:t xml:space="preserve"> </w:t>
      </w:r>
    </w:p>
    <w:p w14:paraId="3DCDAEAE" w14:textId="77777777" w:rsidR="00A876E6" w:rsidRPr="0082680A" w:rsidRDefault="00A876E6" w:rsidP="00A876E6">
      <w:pPr>
        <w:rPr>
          <w:lang w:val="en-GB"/>
        </w:rPr>
      </w:pPr>
      <w:r w:rsidRPr="0082680A">
        <w:rPr>
          <w:lang w:val="en-GB"/>
        </w:rPr>
        <w:br w:type="page"/>
      </w:r>
    </w:p>
    <w:p w14:paraId="16B30BC0" w14:textId="77777777" w:rsidR="00A876E6" w:rsidRPr="00691215" w:rsidRDefault="00A876E6" w:rsidP="00A876E6">
      <w:pPr>
        <w:pStyle w:val="Heading3"/>
      </w:pPr>
      <w:bookmarkStart w:id="286" w:name="_pz77vohphgyn" w:colFirst="0" w:colLast="0"/>
      <w:bookmarkStart w:id="287" w:name="_Toc3211411"/>
      <w:bookmarkEnd w:id="286"/>
      <w:r w:rsidRPr="00691215">
        <w:lastRenderedPageBreak/>
        <w:t>Top Candidate Analysis</w:t>
      </w:r>
      <w:bookmarkEnd w:id="287"/>
    </w:p>
    <w:p w14:paraId="6DD6839D" w14:textId="77777777" w:rsidR="00A876E6" w:rsidRPr="0082680A" w:rsidRDefault="00A876E6" w:rsidP="00A876E6">
      <w:pPr>
        <w:rPr>
          <w:i/>
          <w:lang w:val="en-GB"/>
        </w:rPr>
      </w:pPr>
      <w:r w:rsidRPr="0082680A">
        <w:rPr>
          <w:lang w:val="en-GB"/>
        </w:rPr>
        <w:t>The top 9 genes – scoring 14 points or more – are discussed below (Table 45).</w:t>
      </w:r>
    </w:p>
    <w:p w14:paraId="59840715" w14:textId="77777777" w:rsidR="00A876E6" w:rsidRPr="0082680A" w:rsidRDefault="00A876E6" w:rsidP="00A876E6">
      <w:pPr>
        <w:pStyle w:val="NoSpacing"/>
        <w:rPr>
          <w:lang w:val="en-GB"/>
        </w:rPr>
      </w:pPr>
      <w:r w:rsidRPr="0082680A">
        <w:rPr>
          <w:noProof/>
          <w:lang w:val="en-GB"/>
        </w:rPr>
        <w:drawing>
          <wp:inline distT="0" distB="0" distL="0" distR="0" wp14:anchorId="2C3784C4" wp14:editId="68ED1776">
            <wp:extent cx="4964639" cy="2592729"/>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D_Prioritisation_Top9.pdf"/>
                    <pic:cNvPicPr/>
                  </pic:nvPicPr>
                  <pic:blipFill rotWithShape="1">
                    <a:blip r:embed="rId120">
                      <a:extLst>
                        <a:ext uri="{28A0092B-C50C-407E-A947-70E740481C1C}">
                          <a14:useLocalDpi xmlns:a14="http://schemas.microsoft.com/office/drawing/2010/main" val="0"/>
                        </a:ext>
                      </a:extLst>
                    </a:blip>
                    <a:srcRect b="29188"/>
                    <a:stretch/>
                  </pic:blipFill>
                  <pic:spPr bwMode="auto">
                    <a:xfrm>
                      <a:off x="0" y="0"/>
                      <a:ext cx="4975412" cy="2598355"/>
                    </a:xfrm>
                    <a:prstGeom prst="rect">
                      <a:avLst/>
                    </a:prstGeom>
                    <a:ln>
                      <a:noFill/>
                    </a:ln>
                    <a:extLst>
                      <a:ext uri="{53640926-AAD7-44D8-BBD7-CCE9431645EC}">
                        <a14:shadowObscured xmlns:a14="http://schemas.microsoft.com/office/drawing/2010/main"/>
                      </a:ext>
                    </a:extLst>
                  </pic:spPr>
                </pic:pic>
              </a:graphicData>
            </a:graphic>
          </wp:inline>
        </w:drawing>
      </w:r>
    </w:p>
    <w:p w14:paraId="3910A3F2" w14:textId="0485BA9A" w:rsidR="00A876E6" w:rsidRPr="0082680A" w:rsidRDefault="00A876E6" w:rsidP="00A876E6">
      <w:pPr>
        <w:pStyle w:val="Caption"/>
        <w:rPr>
          <w:b w:val="0"/>
          <w:lang w:val="en-GB"/>
        </w:rPr>
      </w:pPr>
      <w:bookmarkStart w:id="288" w:name="_Toc3225953"/>
      <w:r w:rsidRPr="0082680A">
        <w:rPr>
          <w:lang w:val="en-GB"/>
        </w:rPr>
        <w:t xml:space="preserve">Table </w:t>
      </w:r>
      <w:r>
        <w:rPr>
          <w:lang w:val="en-GB"/>
        </w:rPr>
        <w:fldChar w:fldCharType="begin"/>
      </w:r>
      <w:r>
        <w:rPr>
          <w:lang w:val="en-GB"/>
        </w:rPr>
        <w:instrText xml:space="preserve"> SEQ Table \* ARABIC </w:instrText>
      </w:r>
      <w:r>
        <w:rPr>
          <w:lang w:val="en-GB"/>
        </w:rPr>
        <w:fldChar w:fldCharType="separate"/>
      </w:r>
      <w:r w:rsidR="00066B5A">
        <w:rPr>
          <w:noProof/>
          <w:lang w:val="en-GB"/>
        </w:rPr>
        <w:t>39</w:t>
      </w:r>
      <w:r>
        <w:rPr>
          <w:lang w:val="en-GB"/>
        </w:rPr>
        <w:fldChar w:fldCharType="end"/>
      </w:r>
      <w:r w:rsidRPr="0082680A">
        <w:rPr>
          <w:lang w:val="en-GB"/>
        </w:rPr>
        <w:t xml:space="preserve">: </w:t>
      </w:r>
      <w:r w:rsidRPr="0082680A">
        <w:rPr>
          <w:b w:val="0"/>
          <w:lang w:val="en-GB"/>
        </w:rPr>
        <w:t>Top 9 scoring PD network module genes</w:t>
      </w:r>
      <w:bookmarkEnd w:id="288"/>
    </w:p>
    <w:p w14:paraId="4E6E434B" w14:textId="77777777" w:rsidR="00A876E6" w:rsidRPr="0082680A" w:rsidRDefault="00A876E6" w:rsidP="00A876E6">
      <w:pPr>
        <w:rPr>
          <w:lang w:val="en-GB"/>
        </w:rPr>
      </w:pPr>
    </w:p>
    <w:p w14:paraId="77187FEA" w14:textId="77777777" w:rsidR="00A876E6" w:rsidRPr="0082680A" w:rsidRDefault="00A876E6" w:rsidP="00A876E6">
      <w:pPr>
        <w:rPr>
          <w:lang w:val="en-GB"/>
        </w:rPr>
      </w:pPr>
      <w:r w:rsidRPr="0082680A">
        <w:rPr>
          <w:i/>
          <w:lang w:val="en-GB"/>
        </w:rPr>
        <w:t xml:space="preserve">UCHL1, </w:t>
      </w:r>
      <w:r w:rsidRPr="0082680A">
        <w:rPr>
          <w:lang w:val="en-GB"/>
        </w:rPr>
        <w:t xml:space="preserve">as previously discussed, is a gene that has already been associated with PD, but whose genetic relationship with the condition has been heavily disputed. Although the genetics of </w:t>
      </w:r>
      <w:r w:rsidRPr="0082680A">
        <w:rPr>
          <w:i/>
          <w:lang w:val="en-GB"/>
        </w:rPr>
        <w:t xml:space="preserve">UCHL1 </w:t>
      </w:r>
      <w:r w:rsidRPr="0082680A">
        <w:rPr>
          <w:lang w:val="en-GB"/>
        </w:rPr>
        <w:t xml:space="preserve">are not clear, the biological relationship with PD is compelling. Its strong neuronal expression and recruitment to Lewy Bodies, alongside its neurodegenerative phenotype when knocked down in mice suggests that abandoning </w:t>
      </w:r>
      <w:r w:rsidRPr="0082680A">
        <w:rPr>
          <w:i/>
          <w:lang w:val="en-GB"/>
        </w:rPr>
        <w:t>UCHL1</w:t>
      </w:r>
      <w:r w:rsidRPr="0082680A">
        <w:rPr>
          <w:lang w:val="en-GB"/>
        </w:rPr>
        <w:t xml:space="preserve"> in the development of PD treatments may be unwise </w:t>
      </w:r>
      <w:r w:rsidRPr="0082680A">
        <w:rPr>
          <w:lang w:val="en-GB"/>
        </w:rPr>
        <w:fldChar w:fldCharType="begin" w:fldLock="1"/>
      </w:r>
      <w:r>
        <w:rPr>
          <w:lang w:val="en-GB"/>
        </w:rPr>
        <w:instrText>ADDIN CSL_CITATION {"citationItems":[{"id":"ITEM-1","itemData":{"DOI":"10.3389/fnagi.2014.00129","ISSN":"1663-4365","PMID":"24994982","abstract":"UCHL1 (ubiquitin carboxyterminal hydrolase 1) is a deubiquitinating enzyme that is particularly abundant in neurons. From studies of a spontaneous mutation arising in a mouse line it is clear that loss of function of UCHL1 generates profound degenerative changes in the central nervous system, and it is likely that a proteolytic deficit contributes to the pathology. Here these effects were found to be recapitulated in mice in which the Uchl1 gene had been inactivated by homologous recombination. In addition to the previously documented neuropathology associated with loss of UCHL1 function, axonal swellings were detected in the striatum. In agreement with previously reported findings the loss of UCHL1 function was accompanied by perturbations in ubiquitin pools, but glutathione levels were also significantly depleted in the brains of the knockout mice, suggesting that oxidative defense mechanisms may be doubly compromised. To determine if, in addition to its role in the central nervous system, UCHL1 function is also required for homeostasis of the enteric nervous system the gastrointestinal tract was analyzed in UCHL1 knockout mice. The mice displayed functional changes and morphological changes in gut neurons that preceded degenerative changes in the brain. The changes were qualitatively and quantitatively similar to those observed in wild type mice of much greater age, and strongly resemble changes reported for elderly humans. UCHL1 knockout mice should therefore serve as a useful model of gut aging.","author":[{"dropping-particle":"","family":"Coulombe","given":"Josée","non-dropping-particle":"","parse-names":false,"suffix":""},{"dropping-particle":"","family":"Gamage","given":"Prasanna","non-dropping-particle":"","parse-names":false,"suffix":""},{"dropping-particle":"","family":"Gray","given":"Madison T","non-dropping-particle":"","parse-names":false,"suffix":""},{"dropping-particle":"","family":"Zhang","given":"Mei","non-dropping-particle":"","parse-names":false,"suffix":""},{"dropping-particle":"","family":"Tang","given":"Matthew Y","non-dropping-particle":"","parse-names":false,"suffix":""},{"dropping-particle":"","family":"Woulfe","given":"John","non-dropping-particle":"","parse-names":false,"suffix":""},{"dropping-particle":"","family":"Saffrey","given":"M Jill","non-dropping-particle":"","parse-names":false,"suffix":""},{"dropping-particle":"","family":"Gray","given":"Douglas A","non-dropping-particle":"","parse-names":false,"suffix":""}],"container-title":"Frontiers in aging neuroscience","id":"ITEM-1","issued":{"date-parts":[["2014"]]},"page":"129","publisher":"Frontiers Media SA","title":"Loss of UCHL1 promotes age-related degenerative changes in the enteric nervous system.","type":"article-journal","volume":"6"},"uris":["http://www.mendeley.com/documents/?uuid=4179de8b-31be-3c25-afe3-78fb0cb08654"]}],"mendeley":{"formattedCitation":"&lt;sup&gt;283&lt;/sup&gt;","plainTextFormattedCitation":"283","previouslyFormattedCitation":"&lt;sup&gt;283&lt;/sup&gt;"},"properties":{"noteIndex":0},"schema":"https://github.com/citation-style-language/schema/raw/master/csl-citation.json"}</w:instrText>
      </w:r>
      <w:r w:rsidRPr="0082680A">
        <w:rPr>
          <w:lang w:val="en-GB"/>
        </w:rPr>
        <w:fldChar w:fldCharType="separate"/>
      </w:r>
      <w:r w:rsidRPr="00426B19">
        <w:rPr>
          <w:noProof/>
          <w:vertAlign w:val="superscript"/>
          <w:lang w:val="en-GB"/>
        </w:rPr>
        <w:t>283</w:t>
      </w:r>
      <w:r w:rsidRPr="0082680A">
        <w:rPr>
          <w:lang w:val="en-GB"/>
        </w:rPr>
        <w:fldChar w:fldCharType="end"/>
      </w:r>
      <w:r w:rsidRPr="0082680A">
        <w:rPr>
          <w:lang w:val="en-GB"/>
        </w:rPr>
        <w:t xml:space="preserve">. Our own data corroborates these findings, as we found </w:t>
      </w:r>
      <w:r w:rsidRPr="0082680A">
        <w:rPr>
          <w:i/>
          <w:lang w:val="en-GB"/>
        </w:rPr>
        <w:t>UCHL1</w:t>
      </w:r>
      <w:r w:rsidRPr="0082680A">
        <w:rPr>
          <w:lang w:val="en-GB"/>
        </w:rPr>
        <w:t xml:space="preserve"> to be consistently downregulated across all 12 input datasets. Although we too have not found any genetic association between PD patients and </w:t>
      </w:r>
      <w:r w:rsidRPr="0082680A">
        <w:rPr>
          <w:i/>
          <w:lang w:val="en-GB"/>
        </w:rPr>
        <w:t xml:space="preserve">UCHL1, </w:t>
      </w:r>
      <w:r w:rsidRPr="0082680A">
        <w:rPr>
          <w:lang w:val="en-GB"/>
        </w:rPr>
        <w:t xml:space="preserve">its presence within our network may suggest it still has a driving role in the progression of the disease. </w:t>
      </w:r>
    </w:p>
    <w:p w14:paraId="01F034E3" w14:textId="77777777" w:rsidR="00A876E6" w:rsidRPr="0082680A" w:rsidRDefault="00A876E6" w:rsidP="00A876E6">
      <w:pPr>
        <w:rPr>
          <w:i/>
          <w:lang w:val="en-GB"/>
        </w:rPr>
      </w:pPr>
    </w:p>
    <w:p w14:paraId="7729AC1F" w14:textId="77777777" w:rsidR="00A876E6" w:rsidRPr="0082680A" w:rsidRDefault="00A876E6" w:rsidP="00A876E6">
      <w:pPr>
        <w:rPr>
          <w:lang w:val="en-GB"/>
        </w:rPr>
      </w:pPr>
      <w:r w:rsidRPr="0082680A">
        <w:rPr>
          <w:i/>
          <w:lang w:val="en-GB"/>
        </w:rPr>
        <w:t>COPS5</w:t>
      </w:r>
      <w:r w:rsidRPr="0082680A">
        <w:rPr>
          <w:lang w:val="en-GB"/>
        </w:rPr>
        <w:t xml:space="preserve"> codes for a protein which forms part of the COP9 signalosome, a protein complex involved in the third and final ligation step in the ubiquitin-proteasome pathway. </w:t>
      </w:r>
      <w:r w:rsidRPr="0082680A">
        <w:rPr>
          <w:i/>
          <w:lang w:val="en-GB"/>
        </w:rPr>
        <w:t>COPS5</w:t>
      </w:r>
      <w:r w:rsidRPr="0082680A">
        <w:rPr>
          <w:lang w:val="en-GB"/>
        </w:rPr>
        <w:t xml:space="preserve">, though not explicitly containing a LoF mutation, has been ranked highly as a regulator of the network, and has demonstrated consistent downregulation across our input datasets. No direct link has, as of yet, been made between </w:t>
      </w:r>
      <w:r w:rsidRPr="0082680A">
        <w:rPr>
          <w:i/>
          <w:lang w:val="en-GB"/>
        </w:rPr>
        <w:t>COPS5</w:t>
      </w:r>
      <w:r w:rsidRPr="0082680A">
        <w:rPr>
          <w:lang w:val="en-GB"/>
        </w:rPr>
        <w:t xml:space="preserve"> and PD, however its core role within the UPS places it as a promising candidate. </w:t>
      </w:r>
    </w:p>
    <w:p w14:paraId="14BD224B" w14:textId="77777777" w:rsidR="00A876E6" w:rsidRPr="0082680A" w:rsidRDefault="00A876E6" w:rsidP="00A876E6">
      <w:pPr>
        <w:rPr>
          <w:lang w:val="en-GB"/>
        </w:rPr>
      </w:pPr>
    </w:p>
    <w:p w14:paraId="36D9598F" w14:textId="77777777" w:rsidR="00A876E6" w:rsidRPr="0082680A" w:rsidRDefault="00A876E6" w:rsidP="00A876E6">
      <w:pPr>
        <w:rPr>
          <w:lang w:val="en-GB"/>
        </w:rPr>
      </w:pPr>
      <w:r w:rsidRPr="0082680A">
        <w:rPr>
          <w:i/>
          <w:lang w:val="en-GB"/>
        </w:rPr>
        <w:t>MLLT11</w:t>
      </w:r>
      <w:r w:rsidRPr="0082680A">
        <w:rPr>
          <w:lang w:val="en-GB"/>
        </w:rPr>
        <w:t xml:space="preserve"> also known as </w:t>
      </w:r>
      <w:r w:rsidRPr="0082680A">
        <w:rPr>
          <w:i/>
          <w:lang w:val="en-GB"/>
        </w:rPr>
        <w:t xml:space="preserve">AF1Q, </w:t>
      </w:r>
      <w:r w:rsidRPr="0082680A">
        <w:rPr>
          <w:lang w:val="en-GB"/>
        </w:rPr>
        <w:t xml:space="preserve">has predominantly been associated with leukemia, hence its name Mixed-Lineage Leukemia; Translocated To, 11. The role of MLLT11 is still being unravelled but has been found to include promotion of T-Cell development over </w:t>
      </w:r>
      <w:r w:rsidRPr="0082680A">
        <w:rPr>
          <w:lang w:val="en-GB"/>
        </w:rPr>
        <w:lastRenderedPageBreak/>
        <w:t xml:space="preserve">that of B-Cells in the immune system </w:t>
      </w:r>
      <w:r w:rsidRPr="0082680A">
        <w:rPr>
          <w:lang w:val="en-GB"/>
        </w:rPr>
        <w:fldChar w:fldCharType="begin" w:fldLock="1"/>
      </w:r>
      <w:r>
        <w:rPr>
          <w:lang w:val="en-GB"/>
        </w:rPr>
        <w:instrText>ADDIN CSL_CITATION {"citationItems":[{"id":"ITEM-1","itemData":{"DOI":"10.1182/blood-2011-01-333179","ISSN":"1528-0020","PMID":"21715312","abstract":"The mechanisms regulating the emergence of BM prothymocytes remain poorly characterized. Genome-wide transcriptome analyses looking for genes expressed in human prothymocytes led to the identification of AF1q/MLLT11 as a candidate gene conceivably involved in this process. Analysis of AF1q protein subcellular localization and intracellular trafficking showed that despite pronounced karyophily, it was subjected to constitutive nuclear export followed by ubiquitin-mediated degradation in the centrosomal area. Using in vitro assays based on either forced expression or shRNA-mediated silencing of AF1q, we provide evidence that the protein promotes T- over B-cell differentiation in multipotent hematopoietic progenitors. At the molecular level, AF1q confers to multipotent progenitors an increased susceptibility to Delta-like/Notch-mediated signaling. Consistent with these findings, enforced AF1q expression in humanized mice fosters the emergence of BM CD34(+)CD7(+) prothymocytes, enhances subsequent thymus colonization, and accelerates intrathymic T-cell development. In contrast, AF1q silencing provokes a global shift of BM lymphopoiesis toward the B-cell lineage, hinders prothymocyte development, inhibits thymus colonization, and leads to intrathymic accumulation of B cells. Our results indicate that AF1q cooperates with the Notch signaling pathway to foster the emergence of BM prothymocytes and drive subsequent intrathymic specification toward the T-cell lineage.","author":[{"dropping-particle":"","family":"Parcelier","given":"Aude","non-dropping-particle":"","parse-names":false,"suffix":""},{"dropping-particle":"","family":"Maharzi","given":"Nesrine","non-dropping-particle":"","parse-names":false,"suffix":""},{"dropping-particle":"","family":"Delord","given":"Marc","non-dropping-particle":"","parse-names":false,"suffix":""},{"dropping-particle":"","family":"Robledo-Sarmiento","given":"Macarena","non-dropping-particle":"","parse-names":false,"suffix":""},{"dropping-particle":"","family":"Nelson","given":"Elisabeth","non-dropping-particle":"","parse-names":false,"suffix":""},{"dropping-particle":"","family":"Belakhdar-Mekid","given":"Halima","non-dropping-particle":"","parse-names":false,"suffix":""},{"dropping-particle":"","family":"Pla","given":"Marika","non-dropping-particle":"","parse-names":false,"suffix":""},{"dropping-particle":"","family":"Kuranda","given":"Klaudia","non-dropping-particle":"","parse-names":false,"suffix":""},{"dropping-particle":"","family":"Parietti","given":"Veronique","non-dropping-particle":"","parse-names":false,"suffix":""},{"dropping-particle":"","family":"Goodhardt","given":"Michele","non-dropping-particle":"","parse-names":false,"suffix":""},{"dropping-particle":"","family":"Legrand","given":"Nicolas","non-dropping-particle":"","parse-names":false,"suffix":""},{"dropping-particle":"","family":"Bernstein","given":"Irwin D","non-dropping-particle":"","parse-names":false,"suffix":""},{"dropping-particle":"","family":"Gluckman","given":"Jean Claude","non-dropping-particle":"","parse-names":false,"suffix":""},{"dropping-particle":"","family":"Sigaux","given":"François","non-dropping-particle":"","parse-names":false,"suffix":""},{"dropping-particle":"","family":"Canque","given":"Bruno","non-dropping-particle":"","parse-names":false,"suffix":""}],"container-title":"Blood","id":"ITEM-1","issue":"7","issued":{"date-parts":[["2011","8","18"]]},"page":"1784-96","publisher":"American Society of Hematology","title":"AF1q/MLLT11 regulates the emergence of human prothymocytes through cooperative interaction with the Notch signaling pathway.","type":"article-journal","volume":"118"},"uris":["http://www.mendeley.com/documents/?uuid=ca14c591-7c7d-347e-85f3-54b3a3c31fed"]}],"mendeley":{"formattedCitation":"&lt;sup&gt;340&lt;/sup&gt;","plainTextFormattedCitation":"340","previouslyFormattedCitation":"&lt;sup&gt;340&lt;/sup&gt;"},"properties":{"noteIndex":0},"schema":"https://github.com/citation-style-language/schema/raw/master/csl-citation.json"}</w:instrText>
      </w:r>
      <w:r w:rsidRPr="0082680A">
        <w:rPr>
          <w:lang w:val="en-GB"/>
        </w:rPr>
        <w:fldChar w:fldCharType="separate"/>
      </w:r>
      <w:r w:rsidRPr="00426B19">
        <w:rPr>
          <w:noProof/>
          <w:vertAlign w:val="superscript"/>
          <w:lang w:val="en-GB"/>
        </w:rPr>
        <w:t>340</w:t>
      </w:r>
      <w:r w:rsidRPr="0082680A">
        <w:rPr>
          <w:lang w:val="en-GB"/>
        </w:rPr>
        <w:fldChar w:fldCharType="end"/>
      </w:r>
      <w:r w:rsidRPr="0082680A">
        <w:rPr>
          <w:lang w:val="en-GB"/>
        </w:rPr>
        <w:t xml:space="preserve">. More specific to the central nervous system, </w:t>
      </w:r>
      <w:r w:rsidRPr="0082680A">
        <w:rPr>
          <w:i/>
          <w:lang w:val="en-GB"/>
        </w:rPr>
        <w:t>MLLT11</w:t>
      </w:r>
      <w:r w:rsidRPr="0082680A">
        <w:rPr>
          <w:lang w:val="en-GB"/>
        </w:rPr>
        <w:t xml:space="preserve"> has been shown to be differentially expressed in maturing neurons </w:t>
      </w:r>
      <w:r w:rsidRPr="0082680A">
        <w:rPr>
          <w:lang w:val="en-GB"/>
        </w:rPr>
        <w:fldChar w:fldCharType="begin" w:fldLock="1"/>
      </w:r>
      <w:r>
        <w:rPr>
          <w:lang w:val="en-GB"/>
        </w:rPr>
        <w:instrText>ADDIN CSL_CITATION {"citationItems":[{"id":"ITEM-1","itemData":{"DOI":"10.1016/J.GEP.2014.05.001","ISSN":"1567-133X","abstract":"Myeloid/lymphoid or mixed-lineage leukemia; translocated to chromosome 11 or ALL1 fused from chromosome 1q (MLLT11/AF1q) is a highly conserved 90 amino acid protein that functions in hematopoietic differentiation. Its translocation to the Trithorax locus has been implicated in malignancies of the hematopoietic system. However, the spatio-temporal profile of MLLT11 expression during embryonic development has not been characterized. Here we show that MLLT11 has a remarkably specific expression pattern in the developing central and peripheral nervous system. We find high levels of MLLT11 transcript and protein expression in the developing marginal zone of the cortex and spinal cord. MLLT11 co-localized with Tbr2 in the developing subplate region of the cortex and expanded to encompass the cortical plate at late fetal stages. Expression in the peripheral nervous system initiated at E9.5 in the facio-acoustic cranial ganglia and elaborated to identify all the cranio-facial and dorsal root ganglia by E10.5. We also observed expression in the eye and gastrointestinal tract, where MLLT11 transcripts localized to Tuj1-positive inner retinal layer and autonomic neurons, respectively. Altogether these results show that MLLT11 is a pan-neuronal marker, suggesting a role in neural differentiation in the central nervous system and neural crest-cell derived peripheral ganglia.","author":[{"dropping-particle":"","family":"Yamada","given":"Makiko","non-dropping-particle":"","parse-names":false,"suffix":""},{"dropping-particle":"","family":"Clark","given":"Jessica","non-dropping-particle":"","parse-names":false,"suffix":""},{"dropping-particle":"","family":"Iulianella","given":"Angelo","non-dropping-particle":"","parse-names":false,"suffix":""}],"container-title":"Gene Expression Patterns","id":"ITEM-1","issue":"2","issued":{"date-parts":[["2014","7","1"]]},"page":"80-87","publisher":"Elsevier","title":"MLLT11/AF1q is differentially expressed in maturing neurons during development","type":"article-journal","volume":"15"},"uris":["http://www.mendeley.com/documents/?uuid=7cf1f791-c549-3973-bc27-05f312813526"]}],"mendeley":{"formattedCitation":"&lt;sup&gt;341&lt;/sup&gt;","plainTextFormattedCitation":"341","previouslyFormattedCitation":"&lt;sup&gt;341&lt;/sup&gt;"},"properties":{"noteIndex":0},"schema":"https://github.com/citation-style-language/schema/raw/master/csl-citation.json"}</w:instrText>
      </w:r>
      <w:r w:rsidRPr="0082680A">
        <w:rPr>
          <w:lang w:val="en-GB"/>
        </w:rPr>
        <w:fldChar w:fldCharType="separate"/>
      </w:r>
      <w:r w:rsidRPr="00426B19">
        <w:rPr>
          <w:noProof/>
          <w:vertAlign w:val="superscript"/>
          <w:lang w:val="en-GB"/>
        </w:rPr>
        <w:t>341</w:t>
      </w:r>
      <w:r w:rsidRPr="0082680A">
        <w:rPr>
          <w:lang w:val="en-GB"/>
        </w:rPr>
        <w:fldChar w:fldCharType="end"/>
      </w:r>
      <w:r w:rsidRPr="0082680A">
        <w:rPr>
          <w:lang w:val="en-GB"/>
        </w:rPr>
        <w:t xml:space="preserve">. More recently, a study employing coexpression network analysis via WGCNA on three sporadic Parkinson’s brain regions (of which two were used in our own analysis - GSE8397) identified </w:t>
      </w:r>
      <w:r w:rsidRPr="0082680A">
        <w:rPr>
          <w:i/>
          <w:lang w:val="en-GB"/>
        </w:rPr>
        <w:t>MLLT11</w:t>
      </w:r>
      <w:r w:rsidRPr="0082680A">
        <w:rPr>
          <w:lang w:val="en-GB"/>
        </w:rPr>
        <w:t xml:space="preserve"> as a hub gene </w:t>
      </w:r>
      <w:r w:rsidRPr="0082680A">
        <w:rPr>
          <w:lang w:val="en-GB"/>
        </w:rPr>
        <w:fldChar w:fldCharType="begin" w:fldLock="1"/>
      </w:r>
      <w:r>
        <w:rPr>
          <w:lang w:val="en-GB"/>
        </w:rPr>
        <w:instrText>ADDIN CSL_CITATION {"citationItems":[{"id":"ITEM-1","itemData":{"DOI":"10.1186/s12864-017-4098-3","ISSN":"1471-2164","abstract":"Parkinson’s disease (PD) is the second most prevalent neurodegenerative disorders in the world. Studying PD from systems biology perspective involving genes and their regulators might provide deeper insights into the complex molecular interactions associated with this disease. We have studied gene co-expression network obtained from a PD-specific microarray data. The co-expression network identified 11 hub genes, of which eight genes are not previously known to be associated with PD. Further study on the functionality of these eight novel hub genes revealed that these genes play important roles in several neurodegenerative diseases. Furthermore, we have studied the tissue-specific expression and histone modification patterns of the novel hub genes. Most of these genes possess several histone modification sites those are already known to be associated with neurodegenerative diseases. Regulatory network namely mTF-miRNA-gene-gTF involves microRNA Transcription Factor (mTF), microRNA (miRNA), gene and gene Transcription Factor (gTF). Whereas long noncoding RNA (lncRNA) mediated regulatory network involves miRNA, gene, mTF and lncRNA. mTF-miRNA-gene-gTF regulatory network identified a novel feed-forward loop. lncRNA-mediated regulatory network identified novel lncRNAs of PD and revealed the two-way regulatory pattern of PD-specific miRNAs where miRNAs can be regulated by both the TFs and lncRNAs. SNP analysis of the most significant genes of the co-expression network identified 20 SNPs. These SNPs are present in the 3′ UTR of known PD genes and are controlled by those miRNAs which are also involved in PD. Our study identified eight novel hub genes which can be considered as possible candidates for future biomarker identification studies for PD. The two regulatory networks studied in our work provide a detailed overview of the cellular regulatory mechanisms where the non-coding RNAs namely miRNA and lncRNA, can act as epigenetic regulators of PD. SNPs identified in our study can be helpful for identifying PD at an earlier stage. Overall, this study may impart a better comprehension of the complex molecular interactions associated with PD from systems biology perspective.","author":[{"dropping-particle":"","family":"Chatterjee","given":"Paulami","non-dropping-particle":"","parse-names":false,"suffix":""},{"dropping-particle":"","family":"Roy","given":"Debjani","non-dropping-particle":"","parse-names":false,"suffix":""},{"dropping-particle":"","family":"Bhattacharyya","given":"Malay","non-dropping-particle":"","parse-names":false,"suffix":""},{"dropping-particle":"","family":"Bandyopadhyay","given":"Sanghamitra","non-dropping-particle":"","parse-names":false,"suffix":""}],"container-title":"BMC Genomics","id":"ITEM-1","issue":"1","issued":{"date-parts":[["2017","12","12"]]},"page":"721","publisher":"BioMed Central","title":"Biological networks in Parkinson’s disease: an insight into the epigenetic mechanisms associated with this disease","type":"article-journal","volume":"18"},"uris":["http://www.mendeley.com/documents/?uuid=2b6f67d3-43a9-3627-ac1e-e849941d9743"]}],"mendeley":{"formattedCitation":"&lt;sup&gt;342&lt;/sup&gt;","plainTextFormattedCitation":"342","previouslyFormattedCitation":"&lt;sup&gt;342&lt;/sup&gt;"},"properties":{"noteIndex":0},"schema":"https://github.com/citation-style-language/schema/raw/master/csl-citation.json"}</w:instrText>
      </w:r>
      <w:r w:rsidRPr="0082680A">
        <w:rPr>
          <w:lang w:val="en-GB"/>
        </w:rPr>
        <w:fldChar w:fldCharType="separate"/>
      </w:r>
      <w:r w:rsidRPr="00426B19">
        <w:rPr>
          <w:noProof/>
          <w:vertAlign w:val="superscript"/>
          <w:lang w:val="en-GB"/>
        </w:rPr>
        <w:t>342</w:t>
      </w:r>
      <w:r w:rsidRPr="0082680A">
        <w:rPr>
          <w:lang w:val="en-GB"/>
        </w:rPr>
        <w:fldChar w:fldCharType="end"/>
      </w:r>
      <w:r w:rsidRPr="0082680A">
        <w:rPr>
          <w:lang w:val="en-GB"/>
        </w:rPr>
        <w:t xml:space="preserve">. </w:t>
      </w:r>
      <w:r w:rsidRPr="0082680A">
        <w:rPr>
          <w:i/>
          <w:lang w:val="en-GB"/>
        </w:rPr>
        <w:t>MLLT11</w:t>
      </w:r>
      <w:r w:rsidRPr="0082680A">
        <w:rPr>
          <w:lang w:val="en-GB"/>
        </w:rPr>
        <w:t xml:space="preserve"> was then found to undergo neurodegeneration-associated histone modifications and found to be regulated by a number of PD-specific miRNAs. Our analysis has revealed a predicted start-loss mutation in a sporadic PD patient, as well as being highly connected within the network, and commonly downregulated across all 10 datasets – as was found in the aforementioned network analysis.</w:t>
      </w:r>
    </w:p>
    <w:p w14:paraId="4B4D9346" w14:textId="77777777" w:rsidR="00A876E6" w:rsidRPr="0082680A" w:rsidRDefault="00A876E6" w:rsidP="00A876E6">
      <w:pPr>
        <w:rPr>
          <w:lang w:val="en-GB"/>
        </w:rPr>
      </w:pPr>
    </w:p>
    <w:p w14:paraId="7A17B37A" w14:textId="77777777" w:rsidR="00A876E6" w:rsidRPr="0082680A" w:rsidRDefault="00A876E6" w:rsidP="00A876E6">
      <w:pPr>
        <w:rPr>
          <w:lang w:val="en-GB"/>
        </w:rPr>
      </w:pPr>
      <w:r w:rsidRPr="0082680A">
        <w:rPr>
          <w:lang w:val="en-GB"/>
        </w:rPr>
        <w:t xml:space="preserve">Though no LoF mutation was identified in </w:t>
      </w:r>
      <w:r w:rsidRPr="0082680A">
        <w:rPr>
          <w:i/>
          <w:lang w:val="en-GB"/>
        </w:rPr>
        <w:t xml:space="preserve">UBE2N, </w:t>
      </w:r>
      <w:r w:rsidRPr="0082680A">
        <w:rPr>
          <w:lang w:val="en-GB"/>
        </w:rPr>
        <w:t xml:space="preserve">it scored highly on a number of our other measures. Ubiquitin Conjugating Enzyme E2 N plays an important role in the ubiquitin-proteasome system as one of a number of enzymes whose role it is to link the activation of ubiquitin by E1 with the targeting of proteins destined for degradation. As we know the UPS is intrinsically linked to PD, it is unsurprising that </w:t>
      </w:r>
      <w:r w:rsidRPr="0082680A">
        <w:rPr>
          <w:i/>
          <w:lang w:val="en-GB"/>
        </w:rPr>
        <w:t xml:space="preserve">UBE2N </w:t>
      </w:r>
      <w:r w:rsidRPr="0082680A">
        <w:rPr>
          <w:lang w:val="en-GB"/>
        </w:rPr>
        <w:t xml:space="preserve">has been associated with a number of known PD genes; UBE2N has been shown to interact with Parkin, to mediate degradation of DJ-1 via autophagy, and its knockdown revealed a vital role in Parkin-mediated mitophagy </w:t>
      </w:r>
      <w:r w:rsidRPr="0082680A">
        <w:rPr>
          <w:lang w:val="en-GB"/>
        </w:rPr>
        <w:fldChar w:fldCharType="begin" w:fldLock="1"/>
      </w:r>
      <w:r>
        <w:rPr>
          <w:lang w:val="en-GB"/>
        </w:rPr>
        <w:instrText>ADDIN CSL_CITATION {"citationItems":[{"id":"ITEM-1","itemData":{"DOI":"10.1074/jbc.M413591200","abstract":"Mutations in-synuclein, Parkin, and UCH-L1 cause heritable forms of Parkinson disease. Unlike-synuclein, for which no precise biochemical function has been elucidated , Parkin functions as a ubiquitin E3 ligase, and UCH-L1 is a deubiquitinating enzyme. The E3 ligase activity of Parkin in Parkinson disease is poorly understood and is further obscured by the fact that multiubiq-uitin chains can be formed through distinct types of linkages that regulate diverse cellular processes. For instance, ubiquitin lysine 48-linked multiubiquitin chains target substrates to the proteasome, whereas ubiquitin lysine 63-linked chains control ribosome function , protein sorting and trafficking, and endocytosis of membrane proteins. It is notable in this regard that ubiquitin lysine 63-linked chains promote the degradation of membrane proteins by the lysosome. Because both Parkin and-synuclein can regulate the activity of the dopamine transporter, we investigated whether they influenced ubiquitin lysine 63-linked chain assembly. These studies revealed novel biochemical activities for both Parkin and-synuclein. We determined that Parkin functions with UbcH13/Uev1a, a dimeric ubiq-uitin-conjugating enzyme, to assemble ubiquitin lysine 63-linked chains. Our results and the results of others indicate that Parkin can promote both lysine 48-and lysine 63-linked ubiquitin chains.-Synuclein also stimulated the assembly of lysine 63-linked ubiquitin chains. Because UCH-L1, a ubiquitin hydrolase, was recently reported to form lysine 63-linked conjugates, it is evident that three proteins that are genetically linked to Parkinson disease can contribute to lysine 63 multiubiq-uitin chain formation.","author":[{"dropping-particle":"","family":"Doss-Pepe","given":"Ellen W","non-dropping-particle":"","parse-names":false,"suffix":""},{"dropping-particle":"","family":"Chen","given":"Li","non-dropping-particle":"","parse-names":false,"suffix":""},{"dropping-particle":"","family":"Madura","given":"Kiran","non-dropping-particle":"","parse-names":false,"suffix":""}],"id":"ITEM-1","issued":{"date-parts":[["2005"]]},"title":"Synuclein and Parkin Contribute to the Assembly of Ubiquitin Lysine 63-linked Multiubiquitin Chains*","type":"article-journal"},"uris":["http://www.mendeley.com/documents/?uuid=e5924c06-a485-36ce-8ceb-d1bf9f5066af"]},{"id":"ITEM-2","itemData":{"DOI":"10.1083/jcb.200611128","ISSN":"0021-9525","PMID":"17846173","abstract":"Sequestration of misfolded proteins into pericentriolar inclusions called aggresomes is a means that cells use to minimize misfolded protein-induced cytotoxicity. However, the molecular mechanism by which misfolded proteins are recruited to aggresomes remains unclear. Mutations in the E3 ligase parkin cause autosomal recessive Parkinson's disease that is devoid of Lewy bodies, which are similar to aggresomes. Here, we report that parkin cooperates with heterodimeric E2 enzyme UbcH13/Uev1a to mediate K63-linked polyubiquitination of misfolded DJ-1. K63-linked polyubiquitination of misfolded DJ-1 serves as a signal for interaction with histone deacetylase 6, an adaptor protein that binds the dynein-dynactin complex. Through this interaction, misfolded DJ-1 is linked to the dynein motor and transported to aggresomes. Furthermore, fibroblasts lacking parkin display deficits in targeting misfolded DJ-1 to aggresomes. Our findings reveal a signaling role for K63-linked polyubiquitination in dynein-mediated transport, identify parkin as a key regulator in the recruitment of misfolded DJ-1 to aggresomes, and have important implications regarding the biogenesis of Lewy bodies.","author":[{"dropping-particle":"","family":"Olzmann","given":"James A","non-dropping-particle":"","parse-names":false,"suffix":""},{"dropping-particle":"","family":"Li","given":"Lian","non-dropping-particle":"","parse-names":false,"suffix":""},{"dropping-particle":"V","family":"Chudaev","given":"Maksim","non-dropping-particle":"","parse-names":false,"suffix":""},{"dropping-particle":"","family":"Chen","given":"Jue","non-dropping-particle":"","parse-names":false,"suffix":""},{"dropping-particle":"","family":"Perez","given":"Francisco A","non-dropping-particle":"","parse-names":false,"suffix":""},{"dropping-particle":"","family":"Palmiter","given":"Richard D","non-dropping-particle":"","parse-names":false,"suffix":""},{"dropping-particle":"","family":"Chin","given":"Lih-Shen","non-dropping-particle":"","parse-names":false,"suffix":""}],"container-title":"The Journal of cell biology","id":"ITEM-2","issue":"6","issued":{"date-parts":[["2007","9","10"]]},"page":"1025-38","publisher":"Rockefeller University Press","title":"Parkin-mediated K63-linked polyubiquitination targets misfolded DJ-1 to aggresomes via binding to HDAC6.","type":"article-journal","volume":"178"},"uris":["http://www.mendeley.com/documents/?uuid=437e37b1-db86-37dd-9d48-8487df780bcc"]},{"id":"ITEM-3","itemData":{"DOI":"10.1242/jcs.146035","ISSN":"1477-9137","PMID":"24906799","abstract":"Depolarized mitochondria are degraded by mitophagy in a process that depends on the Parkinson's disease gene products PINK1 and Parkin. This is accompanied by ubiquitylation of several mitochondrial substrates. The roles of E2 ubiquitin-conjugating enzymes (UBE2) in mitophagy are poorly understood. Here, we investigate a set of UBE2 enzymes that might regulate Parkin-mediated mitophagy. Knockdown of the E2 enzymes UBE2N, UBE2L3 or UBE2D2 and UBE2D3 (UBE2D2/3) significantly reduced autophagic clearance of depolarized mitochondria. However, this did not interfere with mitochondrial PINK1 stabilization and Parkin translocation. UBE2N knockdown prevented specifically K63-linked ubiquitylation at mitochondrial sites. Nevertheless, polyubiquitin and p62 (officially known as SQSTM1) were still found on mitochondria after individual UBE2 knockdown. Knockdown of all of these UBE2s together significantly reduced mitochondrial polyubiquitylation and p62 recruitment. Moreover, reduced ubiquitylation of mitofusins, the mitochondrial import receptor subunits TOM20 and TOM70, the voltage-dependent anion channel protein 1 and Parkin was observed in cells silenced for all of these UBE2s. A version of Parkin with a mutation in the active site (C431S) failed to ubiquitylate these mitochondrial substrates even in the presence of UBE2s. We conclude that UBE2N, UBE2L3 and UBE2D2/3 synergistically contribute to Parkin-mediated mitophagy.","author":[{"dropping-particle":"","family":"Geisler","given":"Sven","non-dropping-particle":"","parse-names":false,"suffix":""},{"dropping-particle":"","family":"Vollmer","given":"Stefanie","non-dropping-particle":"","parse-names":false,"suffix":""},{"dropping-particle":"","family":"Golombek","given":"Sonia","non-dropping-particle":"","parse-names":false,"suffix":""},{"dropping-particle":"","family":"Kahle","given":"Philipp J","non-dropping-particle":"","parse-names":false,"suffix":""}],"container-title":"Journal of cell science","id":"ITEM-3","issue":"Pt 15","issued":{"date-parts":[["2014","8","1"]]},"page":"3280-93","publisher":"The Company of Biologists Ltd","title":"The ubiquitin-conjugating enzymes UBE2N, UBE2L3 and UBE2D2/3 are essential for Parkin-dependent mitophagy.","type":"article-journal","volume":"127"},"uris":["http://www.mendeley.com/documents/?uuid=6220c983-a52a-32d5-8eef-97ac65dab14f"]}],"mendeley":{"formattedCitation":"&lt;sup&gt;343–345&lt;/sup&gt;","plainTextFormattedCitation":"343–345","previouslyFormattedCitation":"&lt;sup&gt;343–345&lt;/sup&gt;"},"properties":{"noteIndex":0},"schema":"https://github.com/citation-style-language/schema/raw/master/csl-citation.json"}</w:instrText>
      </w:r>
      <w:r w:rsidRPr="0082680A">
        <w:rPr>
          <w:lang w:val="en-GB"/>
        </w:rPr>
        <w:fldChar w:fldCharType="separate"/>
      </w:r>
      <w:r w:rsidRPr="00426B19">
        <w:rPr>
          <w:noProof/>
          <w:vertAlign w:val="superscript"/>
          <w:lang w:val="en-GB"/>
        </w:rPr>
        <w:t>343–345</w:t>
      </w:r>
      <w:r w:rsidRPr="0082680A">
        <w:rPr>
          <w:lang w:val="en-GB"/>
        </w:rPr>
        <w:fldChar w:fldCharType="end"/>
      </w:r>
      <w:r w:rsidRPr="0082680A">
        <w:rPr>
          <w:lang w:val="en-GB"/>
        </w:rPr>
        <w:t>.</w:t>
      </w:r>
    </w:p>
    <w:p w14:paraId="7A4D415C" w14:textId="77777777" w:rsidR="00A876E6" w:rsidRPr="0082680A" w:rsidRDefault="00A876E6" w:rsidP="00A876E6">
      <w:pPr>
        <w:rPr>
          <w:i/>
          <w:lang w:val="en-GB"/>
        </w:rPr>
      </w:pPr>
    </w:p>
    <w:p w14:paraId="00D151F3" w14:textId="77777777" w:rsidR="00A876E6" w:rsidRPr="0082680A" w:rsidRDefault="00A876E6" w:rsidP="00A876E6">
      <w:pPr>
        <w:rPr>
          <w:lang w:val="en-GB"/>
        </w:rPr>
      </w:pPr>
      <w:r w:rsidRPr="0082680A">
        <w:rPr>
          <w:i/>
          <w:lang w:val="en-GB"/>
        </w:rPr>
        <w:t xml:space="preserve">YWHAZ </w:t>
      </w:r>
      <w:r w:rsidRPr="0082680A">
        <w:rPr>
          <w:lang w:val="en-GB"/>
        </w:rPr>
        <w:t xml:space="preserve">codes for an anti-apoptotic protein, and alongside </w:t>
      </w:r>
      <w:r w:rsidRPr="0082680A">
        <w:rPr>
          <w:i/>
          <w:lang w:val="en-GB"/>
        </w:rPr>
        <w:t xml:space="preserve">LAPTM4B </w:t>
      </w:r>
      <w:r w:rsidRPr="0082680A">
        <w:rPr>
          <w:lang w:val="en-GB"/>
        </w:rPr>
        <w:t xml:space="preserve">has been linked to particularly aggressive breast cancers </w:t>
      </w:r>
      <w:r w:rsidRPr="0082680A">
        <w:rPr>
          <w:lang w:val="en-GB"/>
        </w:rPr>
        <w:fldChar w:fldCharType="begin" w:fldLock="1"/>
      </w:r>
      <w:r>
        <w:rPr>
          <w:lang w:val="en-GB"/>
        </w:rPr>
        <w:instrText>ADDIN CSL_CITATION {"citationItems":[{"id":"ITEM-1","itemData":{"DOI":"10.1038/nm.2090","ISSN":"1546-170X","PMID":"20098429","abstract":"Adjuvant chemotherapy for breast cancer after surgery has effectively lowered metastatic recurrence rates. However, a considerable proportion of women suffer recurrent cancer at distant metastatic sites despite adjuvant treatment. Identification of the genes crucial for tumor response to specific chemotherapy drugs is a challenge but is necessary to improve outcomes. By using integrated genomics, we identified a small number of overexpressed and amplified genes from chromosome 8q22 that were associated with early disease recurrence despite anthracycline-based adjuvant chemotherapy. We confirmed the association in an analysis of multiple independent cohorts. SiRNA-mediated knockdown of either of two of these genes, the antiapoptotic gene YWHAZ and a lysosomal gene LAPTM4B, sensitized tumor cells to anthracyclines, and overexpression of either of the genes induced anthracycline resistance. Overexpression of LAPTM4B resulted in sequestration of the anthracycline doxorubicin, delaying its appearance in the nucleus. Overexpression of these two genes was associated with poor tumor response to anthracycline treatment in a neoadjuvant chemotherapy trial in women with primary breast cancer. Our results suggest that 8q22 amplification and overexpression of LAPTM4B and YWHAZ contribute to de novo chemoresistance to anthracyclines and are permissive for metastatic recurrence. Overexpression of these two genes may predict anthracycline resistance and influence selection of chemotherapy.","author":[{"dropping-particle":"","family":"Li","given":"Yang","non-dropping-particle":"","parse-names":false,"suffix":""},{"dropping-particle":"","family":"Zou","given":"Lihua","non-dropping-particle":"","parse-names":false,"suffix":""},{"dropping-particle":"","family":"Li","given":"Qiyuan","non-dropping-particle":"","parse-names":false,"suffix":""},{"dropping-particle":"","family":"Haibe-Kains","given":"Benjamin","non-dropping-particle":"","parse-names":false,"suffix":""},{"dropping-particle":"","family":"Tian","given":"Ruiyang","non-dropping-particle":"","parse-names":false,"suffix":""},{"dropping-particle":"","family":"Li","given":"Yan","non-dropping-particle":"","parse-names":false,"suffix":""},{"dropping-particle":"","family":"Desmedt","given":"Christine","non-dropping-particle":"","parse-names":false,"suffix":""},{"dropping-particle":"","family":"Sotiriou","given":"Christos","non-dropping-particle":"","parse-names":false,"suffix":""},{"dropping-particle":"","family":"Szallasi","given":"Zoltan","non-dropping-particle":"","parse-names":false,"suffix":""},{"dropping-particle":"","family":"Iglehart","given":"J Dirk","non-dropping-particle":"","parse-names":false,"suffix":""},{"dropping-particle":"","family":"Richardson","given":"Andrea L","non-dropping-particle":"","parse-names":false,"suffix":""},{"dropping-particle":"","family":"Wang","given":"Zhigang Charles","non-dropping-particle":"","parse-names":false,"suffix":""}],"container-title":"Nature medicine","id":"ITEM-1","issue":"2","issued":{"date-parts":[["2010","2"]]},"page":"214-8","publisher":"NIH Public Access","title":"Amplification of LAPTM4B and YWHAZ contributes to chemotherapy resistance and recurrence of breast cancer.","type":"article-journal","volume":"16"},"uris":["http://www.mendeley.com/documents/?uuid=b940de45-856a-346f-b8cb-8c04db128185"]}],"mendeley":{"formattedCitation":"&lt;sup&gt;346&lt;/sup&gt;","plainTextFormattedCitation":"346","previouslyFormattedCitation":"&lt;sup&gt;346&lt;/sup&gt;"},"properties":{"noteIndex":0},"schema":"https://github.com/citation-style-language/schema/raw/master/csl-citation.json"}</w:instrText>
      </w:r>
      <w:r w:rsidRPr="0082680A">
        <w:rPr>
          <w:lang w:val="en-GB"/>
        </w:rPr>
        <w:fldChar w:fldCharType="separate"/>
      </w:r>
      <w:r w:rsidRPr="00426B19">
        <w:rPr>
          <w:noProof/>
          <w:vertAlign w:val="superscript"/>
          <w:lang w:val="en-GB"/>
        </w:rPr>
        <w:t>346</w:t>
      </w:r>
      <w:r w:rsidRPr="0082680A">
        <w:rPr>
          <w:lang w:val="en-GB"/>
        </w:rPr>
        <w:fldChar w:fldCharType="end"/>
      </w:r>
      <w:r w:rsidRPr="0082680A">
        <w:rPr>
          <w:lang w:val="en-GB"/>
        </w:rPr>
        <w:t>. YWHAZ</w:t>
      </w:r>
      <w:r w:rsidRPr="0082680A">
        <w:rPr>
          <w:i/>
          <w:lang w:val="en-GB"/>
        </w:rPr>
        <w:t xml:space="preserve"> </w:t>
      </w:r>
      <w:r w:rsidRPr="0082680A">
        <w:rPr>
          <w:lang w:val="en-GB"/>
        </w:rPr>
        <w:t xml:space="preserve">has been shown to bind directly to </w:t>
      </w:r>
      <w:proofErr w:type="gramStart"/>
      <w:r w:rsidRPr="0082680A">
        <w:rPr>
          <w:lang w:val="en-GB"/>
        </w:rPr>
        <w:t>LRRK2, and</w:t>
      </w:r>
      <w:proofErr w:type="gramEnd"/>
      <w:r w:rsidRPr="0082680A">
        <w:rPr>
          <w:lang w:val="en-GB"/>
        </w:rPr>
        <w:t xml:space="preserve"> scored relatively highly on both GeneXplain and Endeavour measures. In a manganese-exposure model of PD, </w:t>
      </w:r>
      <w:r w:rsidRPr="0082680A">
        <w:rPr>
          <w:i/>
          <w:lang w:val="en-GB"/>
        </w:rPr>
        <w:t>YWHAZ</w:t>
      </w:r>
      <w:r w:rsidRPr="0082680A">
        <w:rPr>
          <w:lang w:val="en-GB"/>
        </w:rPr>
        <w:t xml:space="preserve"> was found to be both hypermethylated and downregulated, suggesting environment-induced methylation of </w:t>
      </w:r>
      <w:r w:rsidRPr="0082680A">
        <w:rPr>
          <w:i/>
          <w:lang w:val="en-GB"/>
        </w:rPr>
        <w:t xml:space="preserve">YWHAZ </w:t>
      </w:r>
      <w:r w:rsidRPr="0082680A">
        <w:rPr>
          <w:lang w:val="en-GB"/>
        </w:rPr>
        <w:t xml:space="preserve">could be associated with onset of PD </w:t>
      </w:r>
      <w:r w:rsidRPr="0082680A">
        <w:rPr>
          <w:lang w:val="en-GB"/>
        </w:rPr>
        <w:fldChar w:fldCharType="begin" w:fldLock="1"/>
      </w:r>
      <w:r>
        <w:rPr>
          <w:lang w:val="en-GB"/>
        </w:rPr>
        <w:instrText>ADDIN CSL_CITATION {"citationItems":[{"id":"ITEM-1","itemData":{"DOI":"10.1007/s00204-016-1899-0","ISSN":"0340-5761","author":[{"dropping-particle":"","family":"Tarale","given":"Prashant","non-dropping-particle":"","parse-names":false,"suffix":""},{"dropping-particle":"","family":"Sivanesan","given":"Saravanadevi","non-dropping-particle":"","parse-names":false,"suffix":""},{"dropping-particle":"","family":"Daiwile","given":"Atul P.","non-dropping-particle":"","parse-names":false,"suffix":""},{"dropping-particle":"","family":"Stöger","given":"Reinhard","non-dropping-particle":"","parse-names":false,"suffix":""},{"dropping-particle":"","family":"Bafana","given":"Amit","non-dropping-particle":"","parse-names":false,"suffix":""},{"dropping-particle":"","family":"Naoghare","given":"Pravin K.","non-dropping-particle":"","parse-names":false,"suffix":""},{"dropping-particle":"","family":"Parmar","given":"Devendra","non-dropping-particle":"","parse-names":false,"suffix":""},{"dropping-particle":"","family":"Chakrabarti","given":"Tapan","non-dropping-particle":"","parse-names":false,"suffix":""},{"dropping-particle":"","family":"Kannan","given":"Krishnamurthi","non-dropping-particle":"","parse-names":false,"suffix":""}],"container-title":"Archives of Toxicology","id":"ITEM-1","issue":"7","issued":{"date-parts":[["2017","7","2"]]},"page":"2629-2641","publisher":"Springer Berlin Heidelberg","title":"Global DNA methylation profiling of manganese-exposed human neuroblastoma SH-SY5Y cells reveals epigenetic alterations in Parkinson’s disease-associated genes","type":"article-journal","volume":"91"},"uris":["http://www.mendeley.com/documents/?uuid=8eaed8bc-fd99-364b-8c19-801f0e50ab5c"]}],"mendeley":{"formattedCitation":"&lt;sup&gt;347&lt;/sup&gt;","plainTextFormattedCitation":"347","previouslyFormattedCitation":"&lt;sup&gt;347&lt;/sup&gt;"},"properties":{"noteIndex":0},"schema":"https://github.com/citation-style-language/schema/raw/master/csl-citation.json"}</w:instrText>
      </w:r>
      <w:r w:rsidRPr="0082680A">
        <w:rPr>
          <w:lang w:val="en-GB"/>
        </w:rPr>
        <w:fldChar w:fldCharType="separate"/>
      </w:r>
      <w:r w:rsidRPr="00426B19">
        <w:rPr>
          <w:noProof/>
          <w:vertAlign w:val="superscript"/>
          <w:lang w:val="en-GB"/>
        </w:rPr>
        <w:t>347</w:t>
      </w:r>
      <w:r w:rsidRPr="0082680A">
        <w:rPr>
          <w:lang w:val="en-GB"/>
        </w:rPr>
        <w:fldChar w:fldCharType="end"/>
      </w:r>
      <w:r w:rsidRPr="0082680A">
        <w:rPr>
          <w:lang w:val="en-GB"/>
        </w:rPr>
        <w:t>.</w:t>
      </w:r>
    </w:p>
    <w:p w14:paraId="79417D90" w14:textId="77777777" w:rsidR="00A876E6" w:rsidRPr="0082680A" w:rsidRDefault="00A876E6" w:rsidP="00A876E6">
      <w:pPr>
        <w:rPr>
          <w:lang w:val="en-GB"/>
        </w:rPr>
      </w:pPr>
    </w:p>
    <w:p w14:paraId="607AF68C" w14:textId="77777777" w:rsidR="00A876E6" w:rsidRPr="0082680A" w:rsidRDefault="00A876E6" w:rsidP="00A876E6">
      <w:pPr>
        <w:rPr>
          <w:lang w:val="en-GB"/>
        </w:rPr>
      </w:pPr>
      <w:r w:rsidRPr="0082680A">
        <w:rPr>
          <w:i/>
          <w:lang w:val="en-GB"/>
        </w:rPr>
        <w:t>LAPTM4B</w:t>
      </w:r>
      <w:r w:rsidRPr="0082680A">
        <w:rPr>
          <w:lang w:val="en-GB"/>
        </w:rPr>
        <w:t xml:space="preserve">, or lysosomal protein transmembrane 4 beta, encodes a lysosomal surface protein. </w:t>
      </w:r>
      <w:r w:rsidRPr="0082680A">
        <w:rPr>
          <w:i/>
          <w:lang w:val="en-GB"/>
        </w:rPr>
        <w:t>LAPTM4B</w:t>
      </w:r>
      <w:r w:rsidRPr="0082680A">
        <w:rPr>
          <w:lang w:val="en-GB"/>
        </w:rPr>
        <w:t xml:space="preserve"> has predominantly been associated with cancer, due to its role in cell proliferation, migration, and death </w:t>
      </w:r>
      <w:r w:rsidRPr="0082680A">
        <w:rPr>
          <w:lang w:val="en-GB"/>
        </w:rPr>
        <w:fldChar w:fldCharType="begin" w:fldLock="1"/>
      </w:r>
      <w:r>
        <w:rPr>
          <w:lang w:val="en-GB"/>
        </w:rPr>
        <w:instrText>ADDIN CSL_CITATION {"citationItems":[{"id":"ITEM-1","itemData":{"DOI":"10.1038/onc.2016.189","ISSN":"0950-9232","abstract":"LAPTM4B: an oncogene in various solid tumors and its functions","author":[{"dropping-particle":"","family":"Meng","given":"Y","non-dropping-particle":"","parse-names":false,"suffix":""},{"dropping-particle":"","family":"Wang","given":"L","non-dropping-particle":"","parse-names":false,"suffix":""},{"dropping-particle":"","family":"Chen","given":"D","non-dropping-particle":"","parse-names":false,"suffix":""},{"dropping-particle":"","family":"Chang","given":"Y","non-dropping-particle":"","parse-names":false,"suffix":""},{"dropping-particle":"","family":"Zhang","given":"M","non-dropping-particle":"","parse-names":false,"suffix":""},{"dropping-particle":"","family":"XU","given":"J-J","non-dropping-particle":"","parse-names":false,"suffix":""},{"dropping-particle":"","family":"Zhou","given":"R","non-dropping-particle":"","parse-names":false,"suffix":""},{"dropping-particle":"","family":"Zhang","given":"Q-Y","non-dropping-particle":"","parse-names":false,"suffix":""}],"container-title":"Oncogene","id":"ITEM-1","issue":"50","issued":{"date-parts":[["2016","12","23"]]},"page":"6359-6365","publisher":"Nature Publishing Group","title":"LAPTM4B: an oncogene in various solid tumors and its functions","type":"article-journal","volume":"35"},"uris":["http://www.mendeley.com/documents/?uuid=8521c49e-9f9a-3c05-bfe6-1e56aa79a3a7"]}],"mendeley":{"formattedCitation":"&lt;sup&gt;348&lt;/sup&gt;","plainTextFormattedCitation":"348","previouslyFormattedCitation":"&lt;sup&gt;348&lt;/sup&gt;"},"properties":{"noteIndex":0},"schema":"https://github.com/citation-style-language/schema/raw/master/csl-citation.json"}</w:instrText>
      </w:r>
      <w:r w:rsidRPr="0082680A">
        <w:rPr>
          <w:lang w:val="en-GB"/>
        </w:rPr>
        <w:fldChar w:fldCharType="separate"/>
      </w:r>
      <w:r w:rsidRPr="00426B19">
        <w:rPr>
          <w:noProof/>
          <w:vertAlign w:val="superscript"/>
          <w:lang w:val="en-GB"/>
        </w:rPr>
        <w:t>348</w:t>
      </w:r>
      <w:r w:rsidRPr="0082680A">
        <w:rPr>
          <w:lang w:val="en-GB"/>
        </w:rPr>
        <w:fldChar w:fldCharType="end"/>
      </w:r>
      <w:r w:rsidRPr="0082680A">
        <w:rPr>
          <w:lang w:val="en-GB"/>
        </w:rPr>
        <w:t xml:space="preserve">. According to the PPMI data, a number of patients possessed a predicted LoF mutation in </w:t>
      </w:r>
      <w:r w:rsidRPr="0082680A">
        <w:rPr>
          <w:i/>
          <w:lang w:val="en-GB"/>
        </w:rPr>
        <w:t xml:space="preserve">LAPTM4B, </w:t>
      </w:r>
      <w:r w:rsidRPr="0082680A">
        <w:rPr>
          <w:lang w:val="en-GB"/>
        </w:rPr>
        <w:t>resulting in splice donor variants</w:t>
      </w:r>
      <w:r w:rsidRPr="0082680A">
        <w:rPr>
          <w:i/>
          <w:lang w:val="en-GB"/>
        </w:rPr>
        <w:t xml:space="preserve"> </w:t>
      </w:r>
      <w:r w:rsidRPr="0082680A">
        <w:rPr>
          <w:lang w:val="en-GB"/>
        </w:rPr>
        <w:t xml:space="preserve">(Table 43). It was also found to be commonly underexpressed across all input datasets and ranked in the top 20% for Endeavour predictions. </w:t>
      </w:r>
      <w:r w:rsidRPr="0082680A">
        <w:rPr>
          <w:i/>
          <w:lang w:val="en-GB"/>
        </w:rPr>
        <w:t xml:space="preserve">LAPTM4B </w:t>
      </w:r>
      <w:r w:rsidRPr="0082680A">
        <w:rPr>
          <w:lang w:val="en-GB"/>
        </w:rPr>
        <w:t xml:space="preserve">has, as of yet, not been reliably associated with PD. </w:t>
      </w:r>
    </w:p>
    <w:p w14:paraId="68513A30" w14:textId="77777777" w:rsidR="00A876E6" w:rsidRPr="0082680A" w:rsidRDefault="00A876E6" w:rsidP="00A876E6">
      <w:pPr>
        <w:rPr>
          <w:lang w:val="en-GB"/>
        </w:rPr>
      </w:pPr>
    </w:p>
    <w:p w14:paraId="0F3241C5" w14:textId="5BABFD17" w:rsidR="00A876E6" w:rsidRPr="0082680A" w:rsidRDefault="00A876E6" w:rsidP="00A876E6">
      <w:pPr>
        <w:rPr>
          <w:lang w:val="en-GB"/>
        </w:rPr>
      </w:pPr>
      <w:r w:rsidRPr="0082680A">
        <w:rPr>
          <w:lang w:val="en-GB"/>
        </w:rPr>
        <w:t xml:space="preserve">Mitogen-Activated Protein Kinase </w:t>
      </w:r>
      <w:proofErr w:type="spellStart"/>
      <w:r w:rsidRPr="0082680A">
        <w:rPr>
          <w:lang w:val="en-GB"/>
        </w:rPr>
        <w:t>Kinase</w:t>
      </w:r>
      <w:proofErr w:type="spellEnd"/>
      <w:r w:rsidRPr="0082680A">
        <w:rPr>
          <w:lang w:val="en-GB"/>
        </w:rPr>
        <w:t xml:space="preserve"> 1 (</w:t>
      </w:r>
      <w:r w:rsidRPr="0082680A">
        <w:rPr>
          <w:i/>
          <w:lang w:val="en-GB"/>
        </w:rPr>
        <w:t>MAP2K1</w:t>
      </w:r>
      <w:r w:rsidRPr="0082680A">
        <w:rPr>
          <w:lang w:val="en-GB"/>
        </w:rPr>
        <w:t>)</w:t>
      </w:r>
      <w:r w:rsidRPr="0082680A">
        <w:rPr>
          <w:i/>
          <w:lang w:val="en-GB"/>
        </w:rPr>
        <w:t xml:space="preserve"> </w:t>
      </w:r>
      <w:r w:rsidRPr="0082680A">
        <w:rPr>
          <w:lang w:val="en-GB"/>
        </w:rPr>
        <w:t xml:space="preserve">is predominantly involved in the MAPK/ERK pathway, and so is involved in core signalling processes. In our analysis, </w:t>
      </w:r>
      <w:r w:rsidRPr="0082680A">
        <w:rPr>
          <w:i/>
          <w:lang w:val="en-GB"/>
        </w:rPr>
        <w:t>MAP2K1</w:t>
      </w:r>
      <w:r w:rsidRPr="0082680A">
        <w:rPr>
          <w:lang w:val="en-GB"/>
        </w:rPr>
        <w:t xml:space="preserve"> scored highly for lobby index, IPA regulatory relationships, and Endeavour </w:t>
      </w:r>
      <w:r w:rsidRPr="0082680A">
        <w:rPr>
          <w:lang w:val="en-GB"/>
        </w:rPr>
        <w:lastRenderedPageBreak/>
        <w:t>rank. Within the network, IPA analysis indicated that MAP2K1 activates and phosphorylates both EIF4EBP1 and MAP2K4 (Appendix Table 1</w:t>
      </w:r>
      <w:r w:rsidR="000E46C0">
        <w:rPr>
          <w:lang w:val="en-GB"/>
        </w:rPr>
        <w:t>0</w:t>
      </w:r>
      <w:r w:rsidRPr="0082680A">
        <w:rPr>
          <w:lang w:val="en-GB"/>
        </w:rPr>
        <w:t xml:space="preserve">). </w:t>
      </w:r>
      <w:r w:rsidRPr="0082680A">
        <w:rPr>
          <w:i/>
          <w:lang w:val="en-GB"/>
        </w:rPr>
        <w:t>MAP2K1</w:t>
      </w:r>
      <w:r w:rsidRPr="0082680A">
        <w:rPr>
          <w:lang w:val="en-GB"/>
        </w:rPr>
        <w:t xml:space="preserve"> has not been associated with PD, but other MAP kinases such as </w:t>
      </w:r>
      <w:r w:rsidRPr="0082680A">
        <w:rPr>
          <w:i/>
          <w:lang w:val="en-GB"/>
        </w:rPr>
        <w:t>MAP3K14</w:t>
      </w:r>
      <w:r w:rsidRPr="0082680A">
        <w:rPr>
          <w:lang w:val="en-GB"/>
        </w:rPr>
        <w:t xml:space="preserve">, </w:t>
      </w:r>
      <w:r w:rsidRPr="0082680A">
        <w:rPr>
          <w:i/>
          <w:lang w:val="en-GB"/>
        </w:rPr>
        <w:t>MAPK1</w:t>
      </w:r>
      <w:r w:rsidRPr="0082680A">
        <w:rPr>
          <w:lang w:val="en-GB"/>
        </w:rPr>
        <w:t xml:space="preserve">, and </w:t>
      </w:r>
      <w:r w:rsidRPr="0082680A">
        <w:rPr>
          <w:i/>
          <w:lang w:val="en-GB"/>
        </w:rPr>
        <w:t>MAPK14</w:t>
      </w:r>
      <w:r w:rsidRPr="0082680A">
        <w:rPr>
          <w:lang w:val="en-GB"/>
        </w:rPr>
        <w:t xml:space="preserve"> have been, and </w:t>
      </w:r>
      <w:r w:rsidRPr="0082680A">
        <w:rPr>
          <w:i/>
          <w:lang w:val="en-GB"/>
        </w:rPr>
        <w:t>MAP2K1</w:t>
      </w:r>
      <w:r w:rsidRPr="0082680A">
        <w:rPr>
          <w:lang w:val="en-GB"/>
        </w:rPr>
        <w:t xml:space="preserve"> has been associated with Alzheimer’s disease </w:t>
      </w:r>
      <w:r w:rsidRPr="0082680A">
        <w:rPr>
          <w:lang w:val="en-GB"/>
        </w:rPr>
        <w:fldChar w:fldCharType="begin" w:fldLock="1"/>
      </w:r>
      <w:r>
        <w:rPr>
          <w:lang w:val="en-GB"/>
        </w:rPr>
        <w:instrText>ADDIN CSL_CITATION {"citationItems":[{"id":"ITEM-1","itemData":{"DOI":"10.1089/omi.2011.0054","ISSN":"1557-8100","PMID":"22321014","abstract":"Network models combined with gene expression studies have become useful tools for studying complex diseases like Alzheimer's disease. We constructed a \"Core\" Alzheimer's disease protein interaction network by human curation of the primary literature. The Core network consisted of 775 nodes and 2,204 interactions. To our knowledge, this is the most comprehensive and accurate protein interaction network yet constructed for Alzheimer's disease. An \"Expanded\" network was computationally constructed by adding additional proteins that interacted with Core network proteins, and consisted of 4,945 nodes and 26,064 interactions. We then mapped existing gene expression studies to the Core network. This combined data model identified the MAPK/ERK pathway and clathrin-mediated receptor endocytosis as key pathways in Alzheimer's disease. Important proteins in the MAPK/ERK pathway that interacted in the Core network formed a downregulated cluster of nodes, whereas clathrin and several clathrin accessory proteins that interacted in the Core network formed an upregulated cluster of nodes. The MAPK/ERK pathway is a key component in synaptic plasticity and learning, processes disrupted in Alzheimer's. Clathrin and clathrin adaptor proteins are involved in the endocytosis of the APP protein that can lead to increased intracellular levels of amyloid beta peptide, contributing to the progression of Alzheimer's.","author":[{"dropping-particle":"","family":"Hallock","given":"Peter","non-dropping-particle":"","parse-names":false,"suffix":""},{"dropping-particle":"","family":"Thomas","given":"Michael A","non-dropping-particle":"","parse-names":false,"suffix":""}],"container-title":"Omics : a journal of integrative biology","id":"ITEM-1","issue":"1-2","issued":{"date-parts":[["2012"]]},"page":"37-49","publisher":"Mary Ann Liebert, Inc.","title":"Integrating the Alzheimer's disease proteome and transcriptome: a comprehensive network model of a complex disease.","type":"article-journal","volume":"16"},"uris":["http://www.mendeley.com/documents/?uuid=18f30eb6-a004-36b0-b58b-b174bd7ad575"]}],"mendeley":{"formattedCitation":"&lt;sup&gt;349&lt;/sup&gt;","plainTextFormattedCitation":"349","previouslyFormattedCitation":"&lt;sup&gt;349&lt;/sup&gt;"},"properties":{"noteIndex":0},"schema":"https://github.com/citation-style-language/schema/raw/master/csl-citation.json"}</w:instrText>
      </w:r>
      <w:r w:rsidRPr="0082680A">
        <w:rPr>
          <w:lang w:val="en-GB"/>
        </w:rPr>
        <w:fldChar w:fldCharType="separate"/>
      </w:r>
      <w:r w:rsidRPr="00426B19">
        <w:rPr>
          <w:noProof/>
          <w:vertAlign w:val="superscript"/>
          <w:lang w:val="en-GB"/>
        </w:rPr>
        <w:t>349</w:t>
      </w:r>
      <w:r w:rsidRPr="0082680A">
        <w:rPr>
          <w:lang w:val="en-GB"/>
        </w:rPr>
        <w:fldChar w:fldCharType="end"/>
      </w:r>
      <w:r w:rsidRPr="0082680A">
        <w:rPr>
          <w:lang w:val="en-GB"/>
        </w:rPr>
        <w:t>.</w:t>
      </w:r>
    </w:p>
    <w:p w14:paraId="1611DF7C" w14:textId="77777777" w:rsidR="00A876E6" w:rsidRPr="0082680A" w:rsidRDefault="00A876E6" w:rsidP="00A876E6">
      <w:pPr>
        <w:rPr>
          <w:lang w:val="en-GB"/>
        </w:rPr>
      </w:pPr>
    </w:p>
    <w:p w14:paraId="46B7655F" w14:textId="77777777" w:rsidR="00A876E6" w:rsidRPr="0082680A" w:rsidRDefault="00A876E6" w:rsidP="00A876E6">
      <w:pPr>
        <w:rPr>
          <w:lang w:val="en-GB"/>
        </w:rPr>
      </w:pPr>
      <w:r w:rsidRPr="0082680A">
        <w:rPr>
          <w:i/>
          <w:lang w:val="en-GB"/>
        </w:rPr>
        <w:t>MAPK9</w:t>
      </w:r>
      <w:r w:rsidRPr="0082680A">
        <w:rPr>
          <w:lang w:val="en-GB"/>
        </w:rPr>
        <w:t xml:space="preserve">, or Mitogen-Activated Protein Kinase 9, like many MAP kinases is involves in a number of key cellular processes such as cell proliferation and differentiation, and transcription regulation. Our analysis indicates </w:t>
      </w:r>
      <w:r w:rsidRPr="0082680A">
        <w:rPr>
          <w:i/>
          <w:lang w:val="en-GB"/>
        </w:rPr>
        <w:t>MAPK9</w:t>
      </w:r>
      <w:r w:rsidRPr="0082680A">
        <w:rPr>
          <w:lang w:val="en-GB"/>
        </w:rPr>
        <w:t xml:space="preserve"> to be predicted highly as a regulator of the network by both GeneXplain and </w:t>
      </w:r>
      <w:proofErr w:type="gramStart"/>
      <w:r w:rsidRPr="0082680A">
        <w:rPr>
          <w:lang w:val="en-GB"/>
        </w:rPr>
        <w:t>Endeavour, and</w:t>
      </w:r>
      <w:proofErr w:type="gramEnd"/>
      <w:r w:rsidRPr="0082680A">
        <w:rPr>
          <w:lang w:val="en-GB"/>
        </w:rPr>
        <w:t xml:space="preserve"> is downregulated across all input datasets. As a number of MAP kinases have already been associated with PD, </w:t>
      </w:r>
      <w:r w:rsidRPr="0082680A">
        <w:rPr>
          <w:i/>
          <w:lang w:val="en-GB"/>
        </w:rPr>
        <w:t xml:space="preserve">MAPK9 </w:t>
      </w:r>
      <w:r w:rsidRPr="0082680A">
        <w:rPr>
          <w:lang w:val="en-GB"/>
        </w:rPr>
        <w:t>is a promising candidate.</w:t>
      </w:r>
    </w:p>
    <w:p w14:paraId="04B8D8BD" w14:textId="77777777" w:rsidR="00A876E6" w:rsidRPr="0082680A" w:rsidRDefault="00A876E6" w:rsidP="00A876E6">
      <w:pPr>
        <w:rPr>
          <w:lang w:val="en-GB"/>
        </w:rPr>
      </w:pPr>
    </w:p>
    <w:p w14:paraId="425F7B5D" w14:textId="77777777" w:rsidR="00A876E6" w:rsidRPr="0082680A" w:rsidRDefault="00A876E6" w:rsidP="00A876E6">
      <w:pPr>
        <w:rPr>
          <w:lang w:val="en-GB"/>
        </w:rPr>
      </w:pPr>
      <w:r w:rsidRPr="0082680A">
        <w:rPr>
          <w:lang w:val="en-GB"/>
        </w:rPr>
        <w:t xml:space="preserve">Although we were unable to test any of the above genes for their association with a sporadic PD/LRRK2 phenotype </w:t>
      </w:r>
      <w:r w:rsidRPr="0082680A">
        <w:rPr>
          <w:i/>
          <w:lang w:val="en-GB"/>
        </w:rPr>
        <w:t>in vitro</w:t>
      </w:r>
      <w:r w:rsidRPr="0082680A">
        <w:rPr>
          <w:lang w:val="en-GB"/>
        </w:rPr>
        <w:t xml:space="preserve">, we are able discuss the likely candidates for this process. Our data-driven identification of </w:t>
      </w:r>
      <w:r w:rsidRPr="0082680A">
        <w:rPr>
          <w:i/>
          <w:lang w:val="en-GB"/>
        </w:rPr>
        <w:t xml:space="preserve">UCHL1, </w:t>
      </w:r>
      <w:r w:rsidRPr="0082680A">
        <w:rPr>
          <w:lang w:val="en-GB"/>
        </w:rPr>
        <w:t>combined consistent expression changes across both our datasets and within the literature</w:t>
      </w:r>
      <w:r w:rsidRPr="0082680A">
        <w:rPr>
          <w:i/>
          <w:lang w:val="en-GB"/>
        </w:rPr>
        <w:t xml:space="preserve"> </w:t>
      </w:r>
      <w:r w:rsidRPr="0082680A">
        <w:rPr>
          <w:lang w:val="en-GB"/>
        </w:rPr>
        <w:t xml:space="preserve">may warrant further investigation, despite its contentious association with PD in the literature. </w:t>
      </w:r>
      <w:r w:rsidRPr="0082680A">
        <w:rPr>
          <w:i/>
          <w:lang w:val="en-GB"/>
        </w:rPr>
        <w:t>COPS5</w:t>
      </w:r>
      <w:r w:rsidRPr="0082680A">
        <w:rPr>
          <w:lang w:val="en-GB"/>
        </w:rPr>
        <w:t xml:space="preserve"> obtained one of the highest scores yet has had no previous association with PD, suggesting it may be a risky choice but has the potential for a more novel discovery. As the only gene whose protein binds directly to LRRK2 combined with its high scores from GeneXplain and Endeavour, </w:t>
      </w:r>
      <w:r w:rsidRPr="0082680A">
        <w:rPr>
          <w:i/>
          <w:lang w:val="en-GB"/>
        </w:rPr>
        <w:t>YWHAZ</w:t>
      </w:r>
      <w:r w:rsidRPr="0082680A">
        <w:rPr>
          <w:lang w:val="en-GB"/>
        </w:rPr>
        <w:t xml:space="preserve"> has real potential to have a direct effect on LRRK2 activity, and in turn the sporadic/</w:t>
      </w:r>
      <w:r w:rsidRPr="0082680A">
        <w:rPr>
          <w:i/>
          <w:lang w:val="en-GB"/>
        </w:rPr>
        <w:t xml:space="preserve">LRRK2 </w:t>
      </w:r>
      <w:r w:rsidRPr="0082680A">
        <w:rPr>
          <w:lang w:val="en-GB"/>
        </w:rPr>
        <w:t>PD phenotype.</w:t>
      </w:r>
    </w:p>
    <w:p w14:paraId="640C7B2B" w14:textId="77777777" w:rsidR="00A876E6" w:rsidRPr="0082680A" w:rsidRDefault="00A876E6" w:rsidP="00A876E6">
      <w:pPr>
        <w:rPr>
          <w:rFonts w:ascii="Arial" w:eastAsia="Arial" w:hAnsi="Arial" w:cs="Arial"/>
          <w:lang w:val="en-GB"/>
        </w:rPr>
      </w:pPr>
      <w:r w:rsidRPr="0082680A">
        <w:rPr>
          <w:lang w:val="en-GB"/>
        </w:rPr>
        <w:br w:type="page"/>
      </w:r>
    </w:p>
    <w:p w14:paraId="4DDE1F66" w14:textId="77777777" w:rsidR="00A876E6" w:rsidRPr="00842FD0" w:rsidRDefault="00A876E6" w:rsidP="00A876E6">
      <w:pPr>
        <w:pStyle w:val="Heading2"/>
      </w:pPr>
      <w:bookmarkStart w:id="289" w:name="_5vm0u4pmvkfx" w:colFirst="0" w:colLast="0"/>
      <w:bookmarkStart w:id="290" w:name="_Toc3211412"/>
      <w:bookmarkEnd w:id="289"/>
      <w:r w:rsidRPr="00842FD0">
        <w:lastRenderedPageBreak/>
        <w:t>Discussion</w:t>
      </w:r>
      <w:bookmarkEnd w:id="290"/>
    </w:p>
    <w:p w14:paraId="5D6772C8" w14:textId="77777777" w:rsidR="00A876E6" w:rsidRPr="0082680A" w:rsidRDefault="00A876E6" w:rsidP="00A876E6">
      <w:pPr>
        <w:rPr>
          <w:color w:val="000000" w:themeColor="text1"/>
          <w:lang w:val="en-GB"/>
        </w:rPr>
      </w:pPr>
      <w:r w:rsidRPr="0082680A">
        <w:rPr>
          <w:lang w:val="en-GB"/>
        </w:rPr>
        <w:t xml:space="preserve">In this second application of our methodology, we decided to investigate whether a common signature could be identified for sporadic and </w:t>
      </w:r>
      <w:r w:rsidRPr="0082680A">
        <w:rPr>
          <w:i/>
          <w:lang w:val="en-GB"/>
        </w:rPr>
        <w:t>LRRK2</w:t>
      </w:r>
      <w:r w:rsidRPr="0082680A">
        <w:rPr>
          <w:lang w:val="en-GB"/>
        </w:rPr>
        <w:t xml:space="preserve"> PD. These sub-populations of PD have been shown to be clinically indistinguishable, suggesting a common disease mechanism. We collected 12 datasets representing both sporadic and </w:t>
      </w:r>
      <w:r w:rsidRPr="0082680A">
        <w:rPr>
          <w:i/>
          <w:lang w:val="en-GB"/>
        </w:rPr>
        <w:t>LRRK2</w:t>
      </w:r>
      <w:r w:rsidRPr="0082680A">
        <w:rPr>
          <w:lang w:val="en-GB"/>
        </w:rPr>
        <w:t xml:space="preserve"> populations from a variety of brain tissues. From these datasets we identified 243 commonly differentially expressed genes, significantly more than expected by chance, and enriching for PD disease genes, and protein interactors of LRRK2. The DEG gene set also enriched for both mitochondrial, autophagy and ubiquitin-proteasome pathways, all three </w:t>
      </w:r>
      <w:proofErr w:type="gramStart"/>
      <w:r w:rsidRPr="0082680A">
        <w:rPr>
          <w:lang w:val="en-GB"/>
        </w:rPr>
        <w:t>core</w:t>
      </w:r>
      <w:proofErr w:type="gramEnd"/>
      <w:r w:rsidRPr="0082680A">
        <w:rPr>
          <w:lang w:val="en-GB"/>
        </w:rPr>
        <w:t xml:space="preserve"> to PD dysfunction. These genes seeded a protein interaction network, which also enriched for PD disease genes, LRRK2 PPI partners, and PD-associated pathways. Coexpression edges were produced from 8 of the 12 datasets, filtered, and a common coexpression module extracted. Despite the absence of the LRRK2 datasets, this network module enriched for LRRK2 PPI genes, and approached significant enrichment for PD Disease genes. Pathway enrichment revealed significant overlap with the KEGG pathway “Parkinson’s Disease”, alongside a number of mitochondrial and UPS pathways. Using whole exome sequencing data from the Parkinson’s Progression Marker Initiative, we identified 17 LoF mutations in 13 network module members. </w:t>
      </w:r>
      <w:r w:rsidRPr="0082680A">
        <w:rPr>
          <w:color w:val="000000" w:themeColor="text1"/>
          <w:lang w:val="en-GB"/>
        </w:rPr>
        <w:t xml:space="preserve">Prioritisation ranked already PD-associated gene UCHL1 as the highest ranked gene, and the following seven genes were assessed for their relationship to PD. Had time permitted, a sub-section of these seven candidates would have been chosen for </w:t>
      </w:r>
      <w:r w:rsidRPr="0082680A">
        <w:rPr>
          <w:i/>
          <w:color w:val="000000" w:themeColor="text1"/>
          <w:lang w:val="en-GB"/>
        </w:rPr>
        <w:t>in vitro/vivo</w:t>
      </w:r>
      <w:r w:rsidRPr="0082680A">
        <w:rPr>
          <w:color w:val="000000" w:themeColor="text1"/>
          <w:lang w:val="en-GB"/>
        </w:rPr>
        <w:t xml:space="preserve"> assessment in a PD model, where measures such as phenotype onset and mortality could be assessed. </w:t>
      </w:r>
    </w:p>
    <w:p w14:paraId="64AB3D9E" w14:textId="77777777" w:rsidR="00A876E6" w:rsidRPr="0082680A" w:rsidRDefault="00A876E6" w:rsidP="00A876E6">
      <w:pPr>
        <w:rPr>
          <w:color w:val="000000" w:themeColor="text1"/>
          <w:lang w:val="en-GB"/>
        </w:rPr>
      </w:pPr>
    </w:p>
    <w:p w14:paraId="7EF5395E" w14:textId="154BE901" w:rsidR="00A876E6" w:rsidRPr="00A876E6" w:rsidRDefault="00A876E6" w:rsidP="00A876E6">
      <w:pPr>
        <w:rPr>
          <w:lang w:val="en-GB"/>
        </w:rPr>
      </w:pPr>
      <w:r w:rsidRPr="0082680A">
        <w:rPr>
          <w:lang w:val="en-GB"/>
        </w:rPr>
        <w:t>The lack of proper benchmarks, less-than-appropriate filter datasets, and the inability to use the LRRK2 datasets in the coexpression analysis has possibly left our results vulnerable to a more generic PD signature. However, it is worth noting that the prioritisation process ranked PARK7 in 92</w:t>
      </w:r>
      <w:r w:rsidRPr="0082680A">
        <w:rPr>
          <w:vertAlign w:val="superscript"/>
          <w:lang w:val="en-GB"/>
        </w:rPr>
        <w:t>nd</w:t>
      </w:r>
      <w:r w:rsidRPr="0082680A">
        <w:rPr>
          <w:lang w:val="en-GB"/>
        </w:rPr>
        <w:t xml:space="preserve"> place; as discussed in the Introduction, PARK7 is known for its early-onset phenotype, suggesting the prioritisation process is able to promote late-onset rather than early-onset associated genes. Nonetheless, without proper laboratory validation it cannot be confirmed that this signature is or is not representative of LRRK2 and sporadic PD, though enrichment of PD-associated genes and pathways suggest these results have promise. </w:t>
      </w:r>
      <w:r w:rsidRPr="0082680A">
        <w:rPr>
          <w:lang w:val="en-GB"/>
        </w:rPr>
        <w:br w:type="page"/>
      </w:r>
    </w:p>
    <w:p w14:paraId="07A29BBF" w14:textId="4CF4D670" w:rsidR="00A876E6" w:rsidRPr="00A876E6" w:rsidRDefault="002B6A3F" w:rsidP="00A876E6">
      <w:pPr>
        <w:pStyle w:val="Heading1"/>
        <w:ind w:left="0"/>
        <w:rPr>
          <w:lang w:val="en-GB"/>
        </w:rPr>
      </w:pPr>
      <w:bookmarkStart w:id="291" w:name="_qy7yyzjyfu2k" w:colFirst="0" w:colLast="0"/>
      <w:bookmarkStart w:id="292" w:name="_gixy61yobish" w:colFirst="0" w:colLast="0"/>
      <w:bookmarkStart w:id="293" w:name="_Toc3211413"/>
      <w:bookmarkEnd w:id="291"/>
      <w:bookmarkEnd w:id="292"/>
      <w:r w:rsidRPr="00691215">
        <w:lastRenderedPageBreak/>
        <w:t>Chapter</w:t>
      </w:r>
      <w:r w:rsidRPr="0082680A">
        <w:rPr>
          <w:lang w:val="en-GB"/>
        </w:rPr>
        <w:t xml:space="preserve"> 4: Application to Autoimmune </w:t>
      </w:r>
      <w:r w:rsidR="00381BB6" w:rsidRPr="0082680A">
        <w:rPr>
          <w:lang w:val="en-GB"/>
        </w:rPr>
        <w:t>Arthritis</w:t>
      </w:r>
      <w:bookmarkEnd w:id="293"/>
    </w:p>
    <w:p w14:paraId="65DF8AFD" w14:textId="77777777" w:rsidR="00381BB6" w:rsidRPr="00842FD0" w:rsidRDefault="00381BB6" w:rsidP="00A876E6">
      <w:pPr>
        <w:pStyle w:val="Heading2"/>
      </w:pPr>
      <w:bookmarkStart w:id="294" w:name="_egwvwea4ravg" w:colFirst="0" w:colLast="0"/>
      <w:bookmarkStart w:id="295" w:name="_Toc3211414"/>
      <w:bookmarkEnd w:id="294"/>
      <w:r w:rsidRPr="00842FD0">
        <w:t>Introduction</w:t>
      </w:r>
      <w:bookmarkEnd w:id="295"/>
    </w:p>
    <w:p w14:paraId="4BE40957" w14:textId="0A11A07F" w:rsidR="00381BB6" w:rsidRPr="0082680A" w:rsidRDefault="00381BB6" w:rsidP="00381BB6">
      <w:pPr>
        <w:rPr>
          <w:lang w:val="en-GB"/>
        </w:rPr>
      </w:pPr>
      <w:r w:rsidRPr="0082680A">
        <w:rPr>
          <w:lang w:val="en-GB"/>
        </w:rPr>
        <w:t xml:space="preserve">As a third and final application of the pipeline, we decided to approach a condition that was not </w:t>
      </w:r>
      <w:r w:rsidR="00B641DB" w:rsidRPr="0082680A">
        <w:rPr>
          <w:lang w:val="en-GB"/>
        </w:rPr>
        <w:t>neurodegenerative or</w:t>
      </w:r>
      <w:r w:rsidRPr="0082680A">
        <w:rPr>
          <w:lang w:val="en-GB"/>
        </w:rPr>
        <w:t xml:space="preserve"> </w:t>
      </w:r>
      <w:r w:rsidR="00B641DB" w:rsidRPr="0082680A">
        <w:rPr>
          <w:lang w:val="en-GB"/>
        </w:rPr>
        <w:t xml:space="preserve">specifically </w:t>
      </w:r>
      <w:r w:rsidRPr="0082680A">
        <w:rPr>
          <w:lang w:val="en-GB"/>
        </w:rPr>
        <w:t>affecting neuronal cells. By achieving identification of a common coexpression module</w:t>
      </w:r>
      <w:r w:rsidR="00595650" w:rsidRPr="0082680A">
        <w:rPr>
          <w:lang w:val="en-GB"/>
        </w:rPr>
        <w:t xml:space="preserve"> containing novel targets for a different disease system</w:t>
      </w:r>
      <w:r w:rsidRPr="0082680A">
        <w:rPr>
          <w:lang w:val="en-GB"/>
        </w:rPr>
        <w:t>, we again are showing our pipeline is not overfitted to any particular condition or tissue-type. The phenotype chosen to be analysed is joint inflammation and degradation as the result of an autoimmune condition; otherwise known as autoimmune arthritis.</w:t>
      </w:r>
    </w:p>
    <w:p w14:paraId="06472AFF" w14:textId="77777777" w:rsidR="00381BB6" w:rsidRPr="00691215" w:rsidRDefault="00381BB6" w:rsidP="00691215">
      <w:pPr>
        <w:pStyle w:val="Heading3"/>
      </w:pPr>
      <w:bookmarkStart w:id="296" w:name="_kqkff6erl1py" w:colFirst="0" w:colLast="0"/>
      <w:bookmarkStart w:id="297" w:name="_Toc3211415"/>
      <w:bookmarkEnd w:id="296"/>
      <w:r w:rsidRPr="00691215">
        <w:t>Arthritis Overview</w:t>
      </w:r>
      <w:bookmarkEnd w:id="297"/>
    </w:p>
    <w:p w14:paraId="73492AB0" w14:textId="733380E9" w:rsidR="00381BB6" w:rsidRPr="0082680A" w:rsidRDefault="00381BB6" w:rsidP="00381BB6">
      <w:pPr>
        <w:rPr>
          <w:lang w:val="en-GB"/>
        </w:rPr>
      </w:pPr>
      <w:r w:rsidRPr="0082680A">
        <w:rPr>
          <w:lang w:val="en-GB"/>
        </w:rPr>
        <w:t xml:space="preserve">Arthritis is a condition which affects joints of the body, with patients experiencing symptoms such as stiffness, swelling, and pain. Arthritis causes great discomfort and disability in its sufferers, and is the single most common cause of disability in the United States, costing approximately $200 billion per year </w:t>
      </w:r>
      <w:r w:rsidR="004659E1" w:rsidRPr="0082680A">
        <w:rPr>
          <w:lang w:val="en-GB"/>
        </w:rPr>
        <w:fldChar w:fldCharType="begin" w:fldLock="1"/>
      </w:r>
      <w:r w:rsidR="000507BA">
        <w:rPr>
          <w:lang w:val="en-GB"/>
        </w:rPr>
        <w:instrText>ADDIN CSL_CITATION {"citationItems":[{"id":"ITEM-1","itemData":{"DOI":"10.1016/j.apmr.2013.10.032","ISSN":"1532-821X","PMID":"24462839","abstract":"OBJECTIVE To determine the relative incidence, prevalence, costs, and impact on disability of 8 common conditions treated by rehabilitation professionals. DATA SOURCES Comprehensive bibliographic searches using MEDLINE, Google Scholar, and UpToDate, (June, 2013). DATA EXTRACTION Two review authors independently screened the search results and performed data extraction. Eighty-two articles were identified that had relevant data on the following conditions: Stroke, Spinal Cord Injury, Traumatic Brain Injury, Multiple Sclerosis, Osteoarthritis, Rheumatoid Arthritis, Limb Loss, and Back Pain. DATA SYNTHESIS Back pain and arthritis (osteoarthritis, rheumatoid arthritis) are the most common and costly conditions we analyzed, affecting more than 100 million individuals and costing greater than $200 billion per year. Traumatic brain injury, while less common than arthritis and back pain, carries enormous per capita direct and indirect costs, mostly because of the young age of those involved and the severe disability that it may cause. Finally, stroke, which is often listed as the most common cause of disability, is likely second to both arthritis and back pain in its impact on functional limitations. CONCLUSIONS Of the common rehabilitation diagnoses we studied, musculoskeletal conditions such as back pain and arthritis likely have the most impact on the health care system because of their high prevalence and impact on disability.","author":[{"dropping-particle":"","family":"Ma","given":"Vincent Y","non-dropping-particle":"","parse-names":false,"suffix":""},{"dropping-particle":"","family":"Chan","given":"Leighton","non-dropping-particle":"","parse-names":false,"suffix":""},{"dropping-particle":"","family":"Carruthers","given":"Kadir J","non-dropping-particle":"","parse-names":false,"suffix":""}],"container-title":"Archives of physical medicine and rehabilitation","id":"ITEM-1","issue":"5","issued":{"date-parts":[["2014","5","1"]]},"page":"986-995.e1","publisher":"Elsevier","title":"Incidence, prevalence, costs, and impact on disability of common conditions requiring rehabilitation in the United States: stroke, spinal cord injury, traumatic brain injury, multiple sclerosis, osteoarthritis, rheumatoid arthritis, limb loss, and back pain.","type":"article-journal","volume":"95"},"uris":["http://www.mendeley.com/documents/?uuid=971978f2-d8db-3393-acbe-e11e0c3ebeb4"]}],"mendeley":{"formattedCitation":"&lt;sup&gt;350&lt;/sup&gt;","plainTextFormattedCitation":"350","previouslyFormattedCitation":"&lt;sup&gt;350&lt;/sup&gt;"},"properties":{"noteIndex":0},"schema":"https://github.com/citation-style-language/schema/raw/master/csl-citation.json"}</w:instrText>
      </w:r>
      <w:r w:rsidR="004659E1" w:rsidRPr="0082680A">
        <w:rPr>
          <w:lang w:val="en-GB"/>
        </w:rPr>
        <w:fldChar w:fldCharType="separate"/>
      </w:r>
      <w:r w:rsidR="00426B19" w:rsidRPr="00426B19">
        <w:rPr>
          <w:noProof/>
          <w:vertAlign w:val="superscript"/>
          <w:lang w:val="en-GB"/>
        </w:rPr>
        <w:t>350</w:t>
      </w:r>
      <w:r w:rsidR="004659E1" w:rsidRPr="0082680A">
        <w:rPr>
          <w:lang w:val="en-GB"/>
        </w:rPr>
        <w:fldChar w:fldCharType="end"/>
      </w:r>
      <w:r w:rsidRPr="0082680A">
        <w:rPr>
          <w:lang w:val="en-GB"/>
        </w:rPr>
        <w:t xml:space="preserve">. In western countries, approximately 23% of adults currently suffer from some form of arthritis, and this is likely to increase to 26% by 2040 </w:t>
      </w:r>
      <w:r w:rsidR="00E24DBE" w:rsidRPr="0082680A">
        <w:rPr>
          <w:lang w:val="en-GB"/>
        </w:rPr>
        <w:fldChar w:fldCharType="begin" w:fldLock="1"/>
      </w:r>
      <w:r w:rsidR="000507BA">
        <w:rPr>
          <w:lang w:val="en-GB"/>
        </w:rPr>
        <w:instrText>ADDIN CSL_CITATION {"citationItems":[{"id":"ITEM-1","itemData":{"DOI":"10.1002/art.39692","abstract":"Objective. To update the projected prevalence of arthritis and arthritis-attributable activity limitations among US adults, using a newer baseline for estimates. Methods. Baseline prevalence data were obtained from the 2010-2012 National Health Interview Survey. Arthritis was defined as an answer of \"yes\" to the question \"Have you ever been told by a doctor or other health professional that you have some form of arthritis, rheu-matoid arthritis, gout, lupus or fibromyalgia?\" Arthritis-attributable activity limitation was defined as an answer of \"yes\" to the question \"Are you limited in any way in any of your usual activities because of arthritis or joint symptoms?\" The baseline prevalence of arthritis and arthritis-attributable activity limitation was stratified according to age and sex and was statistically weighted to account for the complex survey design. The projected prevalence of doctor-diagnosed arthritis and arthritis-attributable activity limitation was calculated by multiplying the age-and sex-stratified population estimates projected for 2015-2040 (in 5-year intervals; provided by the US Census Bureau) by the baseline estimates. Age-and sex-specific prevalences were summed to provide the total prevalence estimates for each year. Results. In 2010-2012, 52.5 million adults in the US (22.7% of all adults) had doctor-diagnosed arthritis, and 22.7 million (9.8%) had arthritis-attributable activity limitation. By 2040, the number of US adults with doctor-diagnosed arthritis is projected to increase 49% to 78.4 million (25.9% of all adults), and the number of adults with arthritis-attributable activity limitation will increase 52% to 34.6 million (11.4% of all adults). Conclusion. Updated projections suggest that arthritis and arthritis-attributable activity limitation will remain large and growing problems for clinical and public health systems, which must plan and create policies and resources to address these future needs. Arthritis and other rheumatic conditions affect 53 million US adults ages 18 and older (1), are the most common cause of disability (2), and are associated with considerable pain, activity limitation, and restriction of work and social participation (1,3-5). Projecting changes in the prevalence and impact of chronic diseases such as arthritis is crucial for planning future clinical and public health needs, informing health policy, and establishing priorities for planning and resource allocation. The aging of the population is a…","author":[{"dropping-particle":"","family":"Hootman","given":"Jennifer M","non-dropping-particle":"","parse-names":false,"suffix":""},{"dropping-particle":"","family":"Helmick","given":"Charles G","non-dropping-particle":"","parse-names":false,"suffix":""},{"dropping-particle":"","family":"Barbour","given":"Kamil E","non-dropping-particle":"","parse-names":false,"suffix":""},{"dropping-particle":"","family":"Theis","given":"Kristina A","non-dropping-particle":"","parse-names":false,"suffix":""},{"dropping-particle":"","family":"Boring","given":"Michael A","non-dropping-particle":"","parse-names":false,"suffix":""}],"container-title":"ARTHRITIS &amp; RHEUMATOLOGY","id":"ITEM-1","issue":"7","issued":{"date-parts":[["2016"]]},"page":"1582-1587","title":"Updated Projected Prevalence of Self-Reported Doctor-Diagnosed Arthritis and Arthritis-Attributable Activity Limitation Among US Adults, 2015–2040","type":"article-journal","volume":"68"},"uris":["http://www.mendeley.com/documents/?uuid=a7e37ea7-f761-33d2-bd50-e26c64f97d56"]}],"mendeley":{"formattedCitation":"&lt;sup&gt;351&lt;/sup&gt;","plainTextFormattedCitation":"351","previouslyFormattedCitation":"&lt;sup&gt;351&lt;/sup&gt;"},"properties":{"noteIndex":0},"schema":"https://github.com/citation-style-language/schema/raw/master/csl-citation.json"}</w:instrText>
      </w:r>
      <w:r w:rsidR="00E24DBE" w:rsidRPr="0082680A">
        <w:rPr>
          <w:lang w:val="en-GB"/>
        </w:rPr>
        <w:fldChar w:fldCharType="separate"/>
      </w:r>
      <w:r w:rsidR="00426B19" w:rsidRPr="00426B19">
        <w:rPr>
          <w:noProof/>
          <w:vertAlign w:val="superscript"/>
          <w:lang w:val="en-GB"/>
        </w:rPr>
        <w:t>351</w:t>
      </w:r>
      <w:r w:rsidR="00E24DBE" w:rsidRPr="0082680A">
        <w:rPr>
          <w:lang w:val="en-GB"/>
        </w:rPr>
        <w:fldChar w:fldCharType="end"/>
      </w:r>
      <w:r w:rsidRPr="0082680A">
        <w:rPr>
          <w:lang w:val="en-GB"/>
        </w:rPr>
        <w:t xml:space="preserve">. Arthritis is often hard to diagnose, requiring a combination of blood tests, such as rheumatoid factor, anti-cyclic citrullinated peptide antibodies (anti-CCP) and C-reactive protein, and imaging techniques such as X-ray, MRI, and ultrasound. </w:t>
      </w:r>
    </w:p>
    <w:p w14:paraId="58F788AA" w14:textId="77777777" w:rsidR="00381BB6" w:rsidRPr="00691215" w:rsidRDefault="00381BB6" w:rsidP="00691215">
      <w:pPr>
        <w:pStyle w:val="Heading3"/>
      </w:pPr>
      <w:bookmarkStart w:id="298" w:name="_gtrv3hxvp13f" w:colFirst="0" w:colLast="0"/>
      <w:bookmarkStart w:id="299" w:name="_Toc3211416"/>
      <w:bookmarkEnd w:id="298"/>
      <w:r w:rsidRPr="00691215">
        <w:t>Mechanisms of Arthritis</w:t>
      </w:r>
      <w:bookmarkEnd w:id="299"/>
    </w:p>
    <w:p w14:paraId="2B42BCCC" w14:textId="77777777" w:rsidR="00381BB6" w:rsidRPr="0082680A" w:rsidRDefault="00381BB6" w:rsidP="00381BB6">
      <w:pPr>
        <w:rPr>
          <w:lang w:val="en-GB"/>
        </w:rPr>
      </w:pPr>
      <w:r w:rsidRPr="0082680A">
        <w:rPr>
          <w:lang w:val="en-GB"/>
        </w:rPr>
        <w:t xml:space="preserve">There are over 100 different conditions which present with arthritis symptomology. One way to group these populations is whether the arthritis is linked to autoimmune condition or not. Examples of non-autoimmune arthritis include osteoarthritis (often considered “wear and tear” arthritis), and septic arthritis; arthritis caused by infection of a joint. Many autoimmune conditions present with arthritis, the most recognised being rheumatoid arthritis. Autoimmune conditions are those in which the body’s immune system is triggered to start attacking its own cells, and in the case of arthritis, this includes tissues within joints such as the hands, knees, spine and feet. </w:t>
      </w:r>
    </w:p>
    <w:p w14:paraId="3A51AC2F" w14:textId="77777777" w:rsidR="00381BB6" w:rsidRPr="0082680A" w:rsidRDefault="00381BB6" w:rsidP="00381BB6">
      <w:pPr>
        <w:rPr>
          <w:lang w:val="en-GB"/>
        </w:rPr>
      </w:pPr>
    </w:p>
    <w:p w14:paraId="6A476B40" w14:textId="5130B87E" w:rsidR="00381BB6" w:rsidRPr="0082680A" w:rsidRDefault="00381BB6" w:rsidP="00381BB6">
      <w:pPr>
        <w:rPr>
          <w:lang w:val="en-GB"/>
        </w:rPr>
      </w:pPr>
      <w:r w:rsidRPr="0082680A">
        <w:rPr>
          <w:lang w:val="en-GB"/>
        </w:rPr>
        <w:t xml:space="preserve">Although both groups present with joint inflammation, the molecular mechanisms initiated during autoimmune and non-autoimmune arthritis appear to be quite distinct, </w:t>
      </w:r>
      <w:r w:rsidRPr="0082680A">
        <w:rPr>
          <w:lang w:val="en-GB"/>
        </w:rPr>
        <w:lastRenderedPageBreak/>
        <w:t xml:space="preserve">reflected by the treatment options for each group. OA has long been attributed to the “wear and tear” experienced by prolonged use of the joint, either by age, profession, or weight bearing. OA is triggered when the healthy balance between generation and degradation of extracellular matrix components in cartilage is lost, and the cartilage breaks down. Subsequently, OA treatments are more mechanical; patients are encouraged to lose weight (to reduce pressure on joints), engage in physical therapy, and medications are targeted towards pain management (e.g. paracetamol). More drastic treatments may include steroid injections into the joint, and joint replacement surgery. Low-grade inflammation is beginning to be revealed as a key component in OA, however RA treatments have proven ineffective for OA symptoms </w:t>
      </w:r>
      <w:r w:rsidR="003E757D" w:rsidRPr="0082680A">
        <w:rPr>
          <w:lang w:val="en-GB"/>
        </w:rPr>
        <w:fldChar w:fldCharType="begin" w:fldLock="1"/>
      </w:r>
      <w:r w:rsidR="000507BA">
        <w:rPr>
          <w:lang w:val="en-GB"/>
        </w:rPr>
        <w:instrText>ADDIN CSL_CITATION {"citationItems":[{"id":"ITEM-1","itemData":{"DOI":"10.1038/nrrheum.2016.136","ISSN":"1759-4804","PMID":"27539668","abstract":"Osteoarthritis (OA) has long been viewed as a degenerative disease of cartilage, but accumulating evidence indicates that inflammation has a critical role in its pathogenesis. Furthermore, we now appreciate that OA pathogenesis involves not only breakdown of cartilage, but also remodelling of the underlying bone, formation of ectopic bone, hypertrophy of the joint capsule, and inflammation of the synovial lining. That is, OA is a disorder of the joint as a whole, with inflammation driving many pathologic changes. The inflammation in OA is distinct from that in rheumatoid arthritis and other autoimmune diseases: it is chronic, comparatively low-grade, and mediated primarily by the innate immune system. Current treatments for OA only control the symptoms, and none has been FDA-approved for the prevention or slowing of disease progression. However, increasing insight into the inflammatory underpinnings of OA holds promise for the development of new, disease-modifying therapies. Indeed, several anti-inflammatory therapies have shown promise in animal models of OA. Further work is needed to identify effective inhibitors of the low-grade inflammation in OA, and to determine whether therapies that target this inflammation can prevent or slow the development and progression of the disease.","author":[{"dropping-particle":"","family":"Robinson","given":"William H","non-dropping-particle":"","parse-names":false,"suffix":""},{"dropping-particle":"","family":"Lepus","given":"Christin M","non-dropping-particle":"","parse-names":false,"suffix":""},{"dropping-particle":"","family":"Wang","given":"Qian","non-dropping-particle":"","parse-names":false,"suffix":""},{"dropping-particle":"","family":"Raghu","given":"Harini","non-dropping-particle":"","parse-names":false,"suffix":""},{"dropping-particle":"","family":"Mao","given":"Rong","non-dropping-particle":"","parse-names":false,"suffix":""},{"dropping-particle":"","family":"Lindstrom","given":"Tamsin M","non-dropping-particle":"","parse-names":false,"suffix":""},{"dropping-particle":"","family":"Sokolove","given":"Jeremy","non-dropping-particle":"","parse-names":false,"suffix":""}],"container-title":"Nature reviews. Rheumatology","id":"ITEM-1","issue":"10","issued":{"date-parts":[["2016"]]},"page":"580-92","publisher":"NIH Public Access","title":"Low-grade inflammation as a key mediator of the pathogenesis of osteoarthritis.","type":"article-journal","volume":"12"},"uris":["http://www.mendeley.com/documents/?uuid=ebc09a15-ed9f-3b67-8609-c9822c38a051"]},{"id":"ITEM-2","itemData":{"DOI":"10.1093/rheumatology/key131","ISSN":"1462-0324","author":[{"dropping-particle":"","family":"Persson","given":"Monica S M","non-dropping-particle":"","parse-names":false,"suffix":""},{"dropping-particle":"","family":"Sarmanova","given":"Aliya","non-dropping-particle":"","parse-names":false,"suffix":""},{"dropping-particle":"","family":"Doherty","given":"Michael","non-dropping-particle":"","parse-names":false,"suffix":""},{"dropping-particle":"","family":"Zhang","given":"Weiya","non-dropping-particle":"","parse-names":false,"suffix":""}],"container-title":"Rheumatology","id":"ITEM-2","issue":"10","issued":{"date-parts":[["2018","10","1"]]},"page":"1830-1837","publisher":"Oxford University Press","title":"Conventional and biologic disease-modifying anti-rheumatic drugs for osteoarthritis: a meta-analysis of randomized controlled trials","type":"article-journal","volume":"57"},"uris":["http://www.mendeley.com/documents/?uuid=66c4c3ac-af5c-3aa0-a9c1-60684a64628e"]}],"mendeley":{"formattedCitation":"&lt;sup&gt;352,353&lt;/sup&gt;","plainTextFormattedCitation":"352,353","previouslyFormattedCitation":"&lt;sup&gt;352,353&lt;/sup&gt;"},"properties":{"noteIndex":0},"schema":"https://github.com/citation-style-language/schema/raw/master/csl-citation.json"}</w:instrText>
      </w:r>
      <w:r w:rsidR="003E757D" w:rsidRPr="0082680A">
        <w:rPr>
          <w:lang w:val="en-GB"/>
        </w:rPr>
        <w:fldChar w:fldCharType="separate"/>
      </w:r>
      <w:r w:rsidR="00426B19" w:rsidRPr="00426B19">
        <w:rPr>
          <w:noProof/>
          <w:vertAlign w:val="superscript"/>
          <w:lang w:val="en-GB"/>
        </w:rPr>
        <w:t>352,353</w:t>
      </w:r>
      <w:r w:rsidR="003E757D" w:rsidRPr="0082680A">
        <w:rPr>
          <w:lang w:val="en-GB"/>
        </w:rPr>
        <w:fldChar w:fldCharType="end"/>
      </w:r>
      <w:r w:rsidR="00132144" w:rsidRPr="0082680A">
        <w:rPr>
          <w:lang w:val="en-GB"/>
        </w:rPr>
        <w:t>.</w:t>
      </w:r>
      <w:r w:rsidRPr="0082680A">
        <w:rPr>
          <w:lang w:val="en-GB"/>
        </w:rPr>
        <w:t xml:space="preserve"> </w:t>
      </w:r>
    </w:p>
    <w:p w14:paraId="50EA70D5" w14:textId="77777777" w:rsidR="00381BB6" w:rsidRPr="0082680A" w:rsidRDefault="00381BB6" w:rsidP="00381BB6">
      <w:pPr>
        <w:rPr>
          <w:lang w:val="en-GB"/>
        </w:rPr>
      </w:pPr>
    </w:p>
    <w:p w14:paraId="7E56FBF3" w14:textId="569EC074" w:rsidR="002D092A" w:rsidRPr="0082680A" w:rsidRDefault="00381BB6" w:rsidP="00381BB6">
      <w:pPr>
        <w:rPr>
          <w:lang w:val="en-GB"/>
        </w:rPr>
      </w:pPr>
      <w:r w:rsidRPr="0082680A">
        <w:rPr>
          <w:lang w:val="en-GB"/>
        </w:rPr>
        <w:t xml:space="preserve">Autoimmune arthritis treatment on the other hand is heavily drug-based, with the administration of medications such as DMARDS (disease-modifying anti-rheumatic drugs), NSAIDS (non-steroidal anti-inflammatory drugs), TNF-alpha inhibitors, corticosteroids, and </w:t>
      </w:r>
      <w:r w:rsidR="00177D22" w:rsidRPr="0082680A">
        <w:rPr>
          <w:lang w:val="en-GB"/>
        </w:rPr>
        <w:t xml:space="preserve">other </w:t>
      </w:r>
      <w:r w:rsidRPr="0082680A">
        <w:rPr>
          <w:lang w:val="en-GB"/>
        </w:rPr>
        <w:t xml:space="preserve">immunosuppressants. These treatment strategies are designed to target the overactive immune system. The most common autoimmune arthritis is rheumatoid arthritis. Unlike OA, RA is a systemic condition in which other symptoms such as fatigue, high temperature, appetite and weight loss symptoms may be experienced. RA patients may also suffer from inflammation of other tissues, such as the skin, heart, lungs and eyes. RA is considered to have three phases; initiation, amplification, and chronic inflammation. Initiation of RA is likely to manifest through a combination of environmental and genetic triggers </w:t>
      </w:r>
      <w:r w:rsidR="001D1D75" w:rsidRPr="0082680A">
        <w:rPr>
          <w:lang w:val="en-GB"/>
        </w:rPr>
        <w:fldChar w:fldCharType="begin" w:fldLock="1"/>
      </w:r>
      <w:r w:rsidR="000507BA">
        <w:rPr>
          <w:lang w:val="en-GB"/>
        </w:rPr>
        <w:instrText>ADDIN CSL_CITATION {"citationItems":[{"id":"ITEM-1","itemData":{"DOI":"10.1056/NEJMra1004965","ISSN":"0028-4793","author":[{"dropping-particle":"","family":"McInnes","given":"Iain B.","non-dropping-particle":"","parse-names":false,"suffix":""},{"dropping-particle":"","family":"Schett","given":"Georg","non-dropping-particle":"","parse-names":false,"suffix":""}],"container-title":"New England Journal of Medicine","id":"ITEM-1","issue":"23","issued":{"date-parts":[["2011","12","8"]]},"page":"2205-2219","title":"The Pathogenesis of Rheumatoid Arthritis","type":"article-journal","volume":"365"},"uris":["http://www.mendeley.com/documents/?uuid=d46ba3b4-1847-3df7-a891-1155f2258251"]},{"id":"ITEM-2","itemData":{"DOI":"10.1086/516736","ISSN":"0002-9297","abstract":"Gene-gene and gene-environment interactions are key features in the development of rheumatoid arthritis (RA) and other complex diseases. The aim of this study was to use and compare three different definitions of interaction between the two major genetic risk factors of RA—the HLA-DRB1 shared epitope (SE) alleles and the PTPN22 R620W allele—in three large case-control studies: the Swedish Epidemiological Investigation of Rheumatoid Arthritis (EIRA) study, the North American RA Consortium (NARAC) study, and the Dutch Leiden Early Arthritis Clinic study (in total, 1,977 cases and 2,405 controls). The EIRA study was also used to analyze interactions between smoking and the two genes. “Interaction” was defined either as a departure from additivity, as interaction in a multiplicative model, or in terms of linkage disequilibrium—for example, deviation from independence of penetrance of two unlinked loci. Consistent interaction, defined as departure from additivity, between HLA-DRB1 SE alleles and the A allele of PTPN22 R620W was seen in all three studies regarding anti-CCP–positive RA. Testing for multiplicative interactions demonstrated an interaction between the two genes only when the three studies were pooled. The linkage disequilibrium approach indicated a gene-gene interaction in EIRA and NARAC, as well as in the pooled analysis. No interaction was seen between smoking and PTPN22 R620W. A new pattern of interactions is described between the two major known genetic risk factors and the major environmental risk factor concerning the risk of developing anti-CCP–positive RA. The data extend the basis for a pathogenetic hypothesis for RA involving genetic and environmental factors. The study also raises and illustrates principal questions concerning ways to define interactions in complex diseases.","author":[{"dropping-particle":"","family":"Källberg","given":"Henrik","non-dropping-particle":"","parse-names":false,"suffix":""},{"dropping-particle":"","family":"Padyukov","given":"Leonid","non-dropping-particle":"","parse-names":false,"suffix":""},{"dropping-particle":"","family":"Plenge","given":"Robert M.","non-dropping-particle":"","parse-names":false,"suffix":""},{"dropping-particle":"","family":"Rönnelid","given":"Johan","non-dropping-particle":"","parse-names":false,"suffix":""},{"dropping-particle":"","family":"Gregersen","given":"Peter K.","non-dropping-particle":"","parse-names":false,"suffix":""},{"dropping-particle":"","family":"Helm-van Mil","given":"Annette H.M.","non-dropping-particle":"van der","parse-names":false,"suffix":""},{"dropping-particle":"","family":"Toes","given":"Rene E.M.","non-dropping-particle":"","parse-names":false,"suffix":""},{"dropping-particle":"","family":"Huizinga","given":"Tom W.","non-dropping-particle":"","parse-names":false,"suffix":""},{"dropping-particle":"","family":"Klareskog","given":"Lars","non-dropping-particle":"","parse-names":false,"suffix":""},{"dropping-particle":"","family":"Alfredsson","given":"Lars","non-dropping-particle":"","parse-names":false,"suffix":""}],"container-title":"The American Journal of Human Genetics","id":"ITEM-2","issue":"5","issued":{"date-parts":[["2007","5","1"]]},"page":"867-875","publisher":"Cell Press","title":"Gene-Gene and Gene-Environment Interactions Involving HLA-DRB1, PTPN22, and Smoking in Two Subsets of Rheumatoid Arthritis","type":"article-journal","volume":"80"},"uris":["http://www.mendeley.com/documents/?uuid=4e3b6397-663a-377d-a0b0-f04d4bb6ff5d"]},{"id":"ITEM-3","itemData":{"DOI":"10.1186/ar578","ISSN":"14659905","abstract":"The prevalence of rheumatoid arthritis (RA) is relatively constant in many populations, at 0.5–1.0%. However, a high prevalence of RA has been reported in the Pima Indians (5.3%) and in the Chippewa Indians (6.8%). In contrast, low occurrences have been reported in populations from China and Japan. These data support a genetic role in disease risk. Studies have so far shown that the familial recurrence risk in RA is small compared with other autoimmune diseases. The main genetic risk factor of RA is the HLA DRB1 alleles, and this has consistently been shown in many populations throughout the world. The strongest susceptibility factor so far has been the HLA DRB1*0404 allele. Tumour necrosis factor alleles have also been linked with RA. However, it is estimated that these genes can explain only 50% of the genetic effect. A number of other non-MHC genes have thus been investigated and linked with RA (e.g. corticotrophin releasing hormone, oestrogen synthase, IFN-γ and other cytokines). Environmental factors have also been studied in relation to RA. Female sex hormones may play a protective role in RA; for example, the use of the oral contraceptive pill and pregnancy are both associated with a decreased risk. However, the postpartum period has been highlighted as a risk period for the development of RA. Furthermore, breastfeeding after a first pregnancy poses the greatest risk. Exposure to infection may act as a trigger for RA, and a number of agents have been implicated (e.g. Epstein–Barr virus, parvovirus and some bacteria such as Proteus and Mycoplasma). However, the epidemiological data so far are inconclusive. There has recently been renewed interest in the link between cigarette smoking and RA, and the data presented so far are consistent with and suggestive of an increased risk.","author":[{"dropping-particle":"","family":"Silman","given":"Alan J","non-dropping-particle":"","parse-names":false,"suffix":""},{"dropping-particle":"","family":"Pearson","given":"Jacqueline E","non-dropping-particle":"","parse-names":false,"suffix":""}],"container-title":"Arthritis Research","id":"ITEM-3","issue":"Suppl 3","issued":{"date-parts":[["2002","5","9"]]},"page":"S265","publisher":"BioMed Central","title":"Epidemiology and genetics of rheumatoid arthritis","type":"article-journal","volume":"4"},"uris":["http://www.mendeley.com/documents/?uuid=08985174-1b12-3888-a3be-383306437b44"]}],"mendeley":{"formattedCitation":"&lt;sup&gt;354–356&lt;/sup&gt;","plainTextFormattedCitation":"354–356","previouslyFormattedCitation":"&lt;sup&gt;354–356&lt;/sup&gt;"},"properties":{"noteIndex":0},"schema":"https://github.com/citation-style-language/schema/raw/master/csl-citation.json"}</w:instrText>
      </w:r>
      <w:r w:rsidR="001D1D75" w:rsidRPr="0082680A">
        <w:rPr>
          <w:lang w:val="en-GB"/>
        </w:rPr>
        <w:fldChar w:fldCharType="separate"/>
      </w:r>
      <w:r w:rsidR="00426B19" w:rsidRPr="00426B19">
        <w:rPr>
          <w:noProof/>
          <w:vertAlign w:val="superscript"/>
          <w:lang w:val="en-GB"/>
        </w:rPr>
        <w:t>354–356</w:t>
      </w:r>
      <w:r w:rsidR="001D1D75" w:rsidRPr="0082680A">
        <w:rPr>
          <w:lang w:val="en-GB"/>
        </w:rPr>
        <w:fldChar w:fldCharType="end"/>
      </w:r>
      <w:r w:rsidRPr="0082680A">
        <w:rPr>
          <w:lang w:val="en-GB"/>
        </w:rPr>
        <w:t>. As smoking is one of the highest risk activ</w:t>
      </w:r>
      <w:r w:rsidR="00B641DB" w:rsidRPr="0082680A">
        <w:rPr>
          <w:lang w:val="en-GB"/>
        </w:rPr>
        <w:t xml:space="preserve">ities associated with RA, is </w:t>
      </w:r>
      <w:r w:rsidRPr="0082680A">
        <w:rPr>
          <w:lang w:val="en-GB"/>
        </w:rPr>
        <w:t xml:space="preserve">believed that toxins can initiate activation of macrophage, dendritic cell, neutrophil, and toll-like receptor activity in mucosal membranes </w:t>
      </w:r>
      <w:r w:rsidR="00AE0D04" w:rsidRPr="0082680A">
        <w:rPr>
          <w:lang w:val="en-GB"/>
        </w:rPr>
        <w:fldChar w:fldCharType="begin" w:fldLock="1"/>
      </w:r>
      <w:r w:rsidR="000507BA">
        <w:rPr>
          <w:lang w:val="en-GB"/>
        </w:rPr>
        <w:instrText>ADDIN CSL_CITATION {"citationItems":[{"id":"ITEM-1","itemData":{"DOI":"10.1152/ajplung.00201.2005","ISSN":"1040-0605","PMID":"16361358","abstract":"Cigarette smoke exposure is a major determinant of adverse lung health, but the molecular processes underlying its effects on inflammation and immunity remain poorly understood. Therefore, we sought to understand whether inflammatory and host defense determinants are affected during subchronic cigarette smoke exposure. Dose-response and time course studies of lungs from Balb/c mice exposed to smoke generated from 3, 6, and 9 cigarettes/day for 4 days showed macrophage- and S100A8-positive neutrophil-rich inflammation in lung tissue and bronchoalveolar lavage (BAL) fluid, matrix metalloproteinase (MMP) and serine protease induction, sustained NF-kappaB translocation and binding, and mucus cell induction but very small numbers of CD3+CD4+ and CD3+CD8+ lymphocytes. Cigarette smoke had no effect on phospho-Akt but caused a small upregulation of phospho-Erk1/2. Activator protein-1 and phospho-p38 MAPK could not be detected. Quantitative real-time PCR showed upregulation of chemokines (macrophage inflammatory protein-2, monocyte chemoattractant protein-1), inflammatory mediators (TNF-alpha, IL-1beta), leukocyte growth and survival factors [granulocyte-macrophage colony-stimulating factor, colony-stimulating factor (CSF)-1, CSF-1 receptor], transforming growth factor-beta, matrix-degrading MMP-9 and MMP-12, and Toll-like receptor (TLR)2, broadly mirroring NF-kappaB activation. No upregulation was observed for MMP-2, urokinase-type plasminogen activator, tissue-type plasminogen activator, and TLRs 3, 4, and 9. In mouse strain comparisons the rank order of susceptibility was Balb/c &gt; C3H/HeJ &gt; 129SvJ &gt; C57BL6. Partition of responses into BAL macrophages vs. lavaged lung strongly implicated macrophages in the inflammatory responses. Strikingly, except for IL-10 and MMP-12, macrophage and lung gene profiles in Balb/c and C57BL/6 mice were very similar. The response pattern we observed suggests that subchronic cigarette smoke exposure may be useful to understand pathogenic mechanisms triggered by cigarette smoke in the lungs including inflammation and alteration of host defense.","author":[{"dropping-particle":"","family":"Vlahos","given":"R.","non-dropping-particle":"","parse-names":false,"suffix":""},{"dropping-particle":"","family":"Bozinovski","given":"S.","non-dropping-particle":"","parse-names":false,"suffix":""},{"dropping-particle":"","family":"Jones","given":"J. E.","non-dropping-particle":"","parse-names":false,"suffix":""},{"dropping-particle":"","family":"Powell","given":"J.","non-dropping-particle":"","parse-names":false,"suffix":""},{"dropping-particle":"","family":"Gras","given":"J.","non-dropping-particle":"","parse-names":false,"suffix":""},{"dropping-particle":"","family":"Lilja","given":"A.","non-dropping-particle":"","parse-names":false,"suffix":""},{"dropping-particle":"","family":"Hansen","given":"M. J.","non-dropping-particle":"","parse-names":false,"suffix":""},{"dropping-particle":"","family":"Gualano","given":"R. C.","non-dropping-particle":"","parse-names":false,"suffix":""},{"dropping-particle":"","family":"Irving","given":"L.","non-dropping-particle":"","parse-names":false,"suffix":""},{"dropping-particle":"","family":"Anderson","given":"G. P.","non-dropping-particle":"","parse-names":false,"suffix":""}],"container-title":"American Journal of Physiology-Lung Cellular and Molecular Physiology","id":"ITEM-1","issue":"5","issued":{"date-parts":[["2006","5"]]},"page":"L931-L945","title":"Differential protease, innate immunity, and NF-κB induction profiles during lung inflammation induced by subchronic cigarette smoke exposure in mice","type":"article-journal","volume":"290"},"uris":["http://www.mendeley.com/documents/?uuid=686fb93a-e990-30d7-9f7d-89a420b4b829"]},{"id":"ITEM-2","itemData":{"DOI":"10.1111/cei.12289","ISSN":"00099104","PMID":"24528166","abstract":"Chronic obstructive pulmonary disease (COPD) is characterized by an abnormal innate immune response. We have investigated the changes in the innate immune response of COPD alveolar macrophages exposed to both cigarette smoke and Toll-like receptor (TLR) stimulation. COPD and control alveolar macrophages were exposed to cigarette smoke extract (CSE) followed by TLR-2, -4 and -5 ligands [Pam3CSK4, lipopolysaccharide (LPS) and phase I flagellin (FliC), respectively] or non-typeable Haemophilus influenzae (NTHi). CSE exposure suppressed TLR-induced tumour necrosis factor (TNF)-α, interleukin (IL)-6, IL-10 and regulated on activation, normal T cell expressed and secreted (RANTES) production in both COPD and control alveolar macrophages, but had no effect on interleukin 8 (CXCL8) production. Similarly, CSE suppressed NTHi-induced TNF-α but not NTHi-induced CXCL8 production in COPD alveolar macrophages. Gene expression analysis showed that CSE suppressed LPS-induced TNF-α transcription but not CXCL8 transcription in COPD alveolar macrophages. The dampening effect of CSE on LPS-induced cytokine production was associated with a reduction in p38, extracellular signal regulated kinase (ERK) and p65 activation. In conclusion, CSE caused a reduced innate immune response in COPD alveolar macrophages, with the exception of persistent CXCL8 production. This could be a mechanism by which alveolar macrophages promote neutrophil chemotaxis under conditions of oxidative stress and bacterial exposure.","author":[{"dropping-particle":"","family":"Metcalfe","given":"H. J.","non-dropping-particle":"","parse-names":false,"suffix":""},{"dropping-particle":"","family":"Lea","given":"S.","non-dropping-particle":"","parse-names":false,"suffix":""},{"dropping-particle":"","family":"Hughes","given":"D.","non-dropping-particle":"","parse-names":false,"suffix":""},{"dropping-particle":"","family":"Khalaf","given":"R.","non-dropping-particle":"","parse-names":false,"suffix":""},{"dropping-particle":"","family":"Abbott-Banner","given":"K.","non-dropping-particle":"","parse-names":false,"suffix":""},{"dropping-particle":"","family":"Singh","given":"D.","non-dropping-particle":"","parse-names":false,"suffix":""}],"container-title":"Clinical &amp; Experimental Immunology","id":"ITEM-2","issue":"3","issued":{"date-parts":[["2014","6"]]},"page":"461-472","title":"Effects of cigarette smoke on Toll-like receptor (TLR) activation of chronic obstructive pulmonary disease (COPD) macrophages","type":"article-journal","volume":"176"},"uris":["http://www.mendeley.com/documents/?uuid=8e4bd6a1-b0d9-3844-9ae5-842ef8e40e00"]}],"mendeley":{"formattedCitation":"&lt;sup&gt;357,358&lt;/sup&gt;","plainTextFormattedCitation":"357,358","previouslyFormattedCitation":"&lt;sup&gt;357,358&lt;/sup&gt;"},"properties":{"noteIndex":0},"schema":"https://github.com/citation-style-language/schema/raw/master/csl-citation.json"}</w:instrText>
      </w:r>
      <w:r w:rsidR="00AE0D04" w:rsidRPr="0082680A">
        <w:rPr>
          <w:lang w:val="en-GB"/>
        </w:rPr>
        <w:fldChar w:fldCharType="separate"/>
      </w:r>
      <w:r w:rsidR="00426B19" w:rsidRPr="00426B19">
        <w:rPr>
          <w:noProof/>
          <w:vertAlign w:val="superscript"/>
          <w:lang w:val="en-GB"/>
        </w:rPr>
        <w:t>357,358</w:t>
      </w:r>
      <w:r w:rsidR="00AE0D04" w:rsidRPr="0082680A">
        <w:rPr>
          <w:lang w:val="en-GB"/>
        </w:rPr>
        <w:fldChar w:fldCharType="end"/>
      </w:r>
      <w:r w:rsidRPr="0082680A">
        <w:rPr>
          <w:lang w:val="en-GB"/>
        </w:rPr>
        <w:t xml:space="preserve">. </w:t>
      </w:r>
    </w:p>
    <w:p w14:paraId="0A68EC35" w14:textId="77777777" w:rsidR="00706027" w:rsidRPr="0082680A" w:rsidRDefault="00706027" w:rsidP="00381BB6">
      <w:pPr>
        <w:rPr>
          <w:lang w:val="en-GB"/>
        </w:rPr>
      </w:pPr>
    </w:p>
    <w:p w14:paraId="4CF77B83" w14:textId="53464CE1" w:rsidR="00381BB6" w:rsidRPr="0082680A" w:rsidRDefault="00381BB6" w:rsidP="00381BB6">
      <w:pPr>
        <w:rPr>
          <w:lang w:val="en-GB"/>
        </w:rPr>
      </w:pPr>
      <w:r w:rsidRPr="0082680A">
        <w:rPr>
          <w:lang w:val="en-GB"/>
        </w:rPr>
        <w:t xml:space="preserve">Once this immune response is activated, anti–citrullinated protein antibodies (ACPAs) circulate through the lymphatic system, possibly for years before symptom onset </w:t>
      </w:r>
      <w:r w:rsidR="00EF6689" w:rsidRPr="0082680A">
        <w:rPr>
          <w:lang w:val="en-GB"/>
        </w:rPr>
        <w:fldChar w:fldCharType="begin" w:fldLock="1"/>
      </w:r>
      <w:r w:rsidR="000507BA">
        <w:rPr>
          <w:lang w:val="en-GB"/>
        </w:rPr>
        <w:instrText>ADDIN CSL_CITATION {"citationItems":[{"id":"ITEM-1","itemData":{"ISSN":"0315-162X","PMID":"1757925","abstract":"The relationship between rheumatoid factors (RF) and rheumatoid arthritis (RA) was studied in the Mini-Finland Health Survey. This covered a representative sample of the Finnish population over 30 years of age, initially comprising 8,000 persons, of whom 7,217 participated in the field survey carried out in 1978-80. The participants were followed using record linkage with the Social Insurance Institution's population register to identify patients entitled to free medication. Until the end of 1988, 21 persons had developed new seropositive RA. In 15 cases, preillness specimens contained elevated levels (greater than or equal to 20 IU/ml) of RF. In the remaining 6 cases with RF negative preillness specimens, the interval from taking the blood specimen to the onset of disease was 4 years or more. RF represent a key element in the rheumatoid inflammatory process. Their occurrence in preillness specimens suggests that they may have a primary role in the pathogenesis of the disease.","author":[{"dropping-particle":"","family":"Aho","given":"K","non-dropping-particle":"","parse-names":false,"suffix":""},{"dropping-particle":"","family":"Heliövaara","given":"M","non-dropping-particle":"","parse-names":false,"suffix":""},{"dropping-particle":"","family":"Maatela","given":"J","non-dropping-particle":"","parse-names":false,"suffix":""},{"dropping-particle":"","family":"Tuomi","given":"T","non-dropping-particle":"","parse-names":false,"suffix":""},{"dropping-particle":"","family":"Palosuo","given":"T","non-dropping-particle":"","parse-names":false,"suffix":""}],"container-title":"The Journal of rheumatology","id":"ITEM-1","issue":"9","issued":{"date-parts":[["1991","9"]]},"page":"1282-4","title":"Rheumatoid factors antedating clinical rheumatoid arthritis.","type":"article-journal","volume":"18"},"uris":["http://www.mendeley.com/documents/?uuid=e652c6a7-ef4d-391b-b637-22f10e0e2f70"]},{"id":"ITEM-2","itemData":{"DOI":"10.1002/art.37835","ISSN":"00043591","PMID":"23310951","abstract":"OBJECTIVE The presence of antibodies against cyclic citrullinated peptides has been demonstrated to precede the onset of symptoms of rheumatoid arthritis (RA) by several years. The aim of this study was to analyze antibodies against 10 citrullinated autoantigen-derived peptides for reactivity before the onset of RA symptoms. METHODS A case-control study was conducted within the Medical Biobank of Northern Sweden. The study was performed in 409 individuals, 386 of whom donated 717 blood samples before the onset of symptoms of RA (pre-patients). The median period of time predating the onset of RA was 7.4 years. A total of 1,305 population-based control subjects were also studied. Antibodies to 10 citrullinated peptides, fibrinogen α573 (Fibα573), Fibα591, Fibβ36-52, Fibβ72, Fibβ74, α-enolase (citrullinated α-enolase peptide 1 [CEP-1]), triple-helical type II collagen peptide C1 (citC1III), filaggrin, vimentin 2-17 (Vim2-17), and Vim60-75, were analyzed using a microarray system. RESULTS The fluorescence intensity of antibodies against Fibβ36-52, Fibβ74, CEP-1, citC1III, and filaggrin was significantly increased in pre-patients compared with controls (P&lt;0.001). The levels of the earliest-detectable antibodies (Fibα591 and Vim60-75) fluctuated over time, with only a slight increase after the onset of disease. The frequency of antibodies against Fibβ36-52, CEP-1, and filaggrin increased gradually, reaching the highest levels before symptom onset. The frequency of a cluster of antibodies, citC1III, Fibα573, and Fibβ74, increased only slightly before the onset of symptoms but increased prominently after disease onset. The odds ratio for the development of RA in individuals expressing both CEP-1 and Fibβ36-52 antibodies (using data from samples obtained &lt;3.35 years predating symptom onset) was 40.4 (95% confidence interval 19.8-82.3) compared with having either antibody alone. CONCLUSION Development of an immune response toward citrullinated peptides is initially restricted but expands with time to induce a more specific response, with levels, particularly those of antibodies against CEP-1, Fibβ36-52, and filaggrin, increasing during the predating time period closer to the onset of symptoms.","author":[{"dropping-particle":"","family":"Brink","given":"Mikael","non-dropping-particle":"","parse-names":false,"suffix":""},{"dropping-particle":"","family":"Hansson","given":"Monika","non-dropping-particle":"","parse-names":false,"suffix":""},{"dropping-particle":"","family":"Mathsson","given":"Linda","non-dropping-particle":"","parse-names":false,"suffix":""},{"dropping-particle":"","family":"Jakobsson","given":"Per-Johan","non-dropping-particle":"","parse-names":false,"suffix":""},{"dropping-particle":"","family":"Holmdahl","given":"Rikard","non-dropping-particle":"","parse-names":false,"suffix":""},{"dropping-particle":"","family":"Hallmans","given":"Göran","non-dropping-particle":"","parse-names":false,"suffix":""},{"dropping-particle":"","family":"Stenlund","given":"Hans","non-dropping-particle":"","parse-names":false,"suffix":""},{"dropping-particle":"","family":"Rönnelid","given":"Johan","non-dropping-particle":"","parse-names":false,"suffix":""},{"dropping-particle":"","family":"Klareskog","given":"Lars","non-dropping-particle":"","parse-names":false,"suffix":""},{"dropping-particle":"","family":"Rantapää-Dahlqvist","given":"Solbritt","non-dropping-particle":"","parse-names":false,"suffix":""}],"container-title":"Arthritis &amp; Rheumatism","id":"ITEM-2","issue":"4","issued":{"date-parts":[["2013","4"]]},"page":"899-910","title":"Multiplex Analyses of Antibodies Against Citrullinated Peptides in Individuals Prior to Development of Rheumatoid Arthritis","type":"article-journal","volume":"65"},"uris":["http://www.mendeley.com/documents/?uuid=3383e695-3950-3a59-94ba-f3001542f2e3"]}],"mendeley":{"formattedCitation":"&lt;sup&gt;359,360&lt;/sup&gt;","plainTextFormattedCitation":"359,360","previouslyFormattedCitation":"&lt;sup&gt;359,360&lt;/sup&gt;"},"properties":{"noteIndex":0},"schema":"https://github.com/citation-style-language/schema/raw/master/csl-citation.json"}</w:instrText>
      </w:r>
      <w:r w:rsidR="00EF6689" w:rsidRPr="0082680A">
        <w:rPr>
          <w:lang w:val="en-GB"/>
        </w:rPr>
        <w:fldChar w:fldCharType="separate"/>
      </w:r>
      <w:r w:rsidR="00426B19" w:rsidRPr="00426B19">
        <w:rPr>
          <w:noProof/>
          <w:vertAlign w:val="superscript"/>
          <w:lang w:val="en-GB"/>
        </w:rPr>
        <w:t>359,360</w:t>
      </w:r>
      <w:r w:rsidR="00EF6689" w:rsidRPr="0082680A">
        <w:rPr>
          <w:lang w:val="en-GB"/>
        </w:rPr>
        <w:fldChar w:fldCharType="end"/>
      </w:r>
      <w:r w:rsidRPr="0082680A">
        <w:rPr>
          <w:lang w:val="en-GB"/>
        </w:rPr>
        <w:t xml:space="preserve">. Genetic contributions to RA have been well studied as RA is strongly heritable, with immediate family members of an RA patient being three times more likely to develop the disease than those who do not have family history of the condition </w:t>
      </w:r>
      <w:r w:rsidR="00A729FC" w:rsidRPr="0082680A">
        <w:rPr>
          <w:lang w:val="en-GB"/>
        </w:rPr>
        <w:fldChar w:fldCharType="begin" w:fldLock="1"/>
      </w:r>
      <w:r w:rsidR="000507BA">
        <w:rPr>
          <w:lang w:val="en-GB"/>
        </w:rPr>
        <w:instrText>ADDIN CSL_CITATION {"citationItems":[{"id":"ITEM-1","itemData":{"DOI":"10.1002/art.38097","ISSN":"00043591","author":[{"dropping-particle":"","family":"Frisell","given":"Thomas","non-dropping-particle":"","parse-names":false,"suffix":""},{"dropping-particle":"","family":"Holmqvist","given":"Marie","non-dropping-particle":"","parse-names":false,"suffix":""},{"dropping-particle":"","family":"Källberg","given":"Henrik","non-dropping-particle":"","parse-names":false,"suffix":""},{"dropping-particle":"","family":"Klareskog","given":"Lars","non-dropping-particle":"","parse-names":false,"suffix":""},{"dropping-particle":"","family":"Alfredsson","given":"Lars","non-dropping-particle":"","parse-names":false,"suffix":""},{"dropping-particle":"","family":"Askling","given":"Johan","non-dropping-particle":"","parse-names":false,"suffix":""}],"container-title":"Arthritis &amp; Rheumatism","id":"ITEM-1","issue":"11","issued":{"date-parts":[["2013","11","1"]]},"page":"2773-2782","publisher":"Wiley-Blackwell","title":"Familial Risks and Heritability of Rheumatoid Arthritis: Role of Rheumatoid Factor/Anti-Citrullinated Protein Antibody Status, Number and Type of Affected Relatives, Sex, and Age","type":"article-journal","volume":"65"},"uris":["http://www.mendeley.com/documents/?uuid=39801b69-e112-35c8-8699-b53181f55296"]}],"mendeley":{"formattedCitation":"&lt;sup&gt;361&lt;/sup&gt;","plainTextFormattedCitation":"361","previouslyFormattedCitation":"&lt;sup&gt;361&lt;/sup&gt;"},"properties":{"noteIndex":0},"schema":"https://github.com/citation-style-language/schema/raw/master/csl-citation.json"}</w:instrText>
      </w:r>
      <w:r w:rsidR="00A729FC" w:rsidRPr="0082680A">
        <w:rPr>
          <w:lang w:val="en-GB"/>
        </w:rPr>
        <w:fldChar w:fldCharType="separate"/>
      </w:r>
      <w:r w:rsidR="00426B19" w:rsidRPr="00426B19">
        <w:rPr>
          <w:noProof/>
          <w:vertAlign w:val="superscript"/>
          <w:lang w:val="en-GB"/>
        </w:rPr>
        <w:t>361</w:t>
      </w:r>
      <w:r w:rsidR="00A729FC" w:rsidRPr="0082680A">
        <w:rPr>
          <w:lang w:val="en-GB"/>
        </w:rPr>
        <w:fldChar w:fldCharType="end"/>
      </w:r>
      <w:r w:rsidRPr="0082680A">
        <w:rPr>
          <w:lang w:val="en-GB"/>
        </w:rPr>
        <w:t xml:space="preserve">. The major histocompatibility complex gene </w:t>
      </w:r>
      <w:r w:rsidRPr="0082680A">
        <w:rPr>
          <w:i/>
          <w:lang w:val="en-GB"/>
        </w:rPr>
        <w:t xml:space="preserve">HLA-DRB1 </w:t>
      </w:r>
      <w:r w:rsidRPr="0082680A">
        <w:rPr>
          <w:lang w:val="en-GB"/>
        </w:rPr>
        <w:t xml:space="preserve">has long been associated with RA risk, though a number of other genes involved in immune response pathways have been implicated through GWAS </w:t>
      </w:r>
      <w:r w:rsidR="00EF3A8A" w:rsidRPr="0082680A">
        <w:rPr>
          <w:lang w:val="en-GB"/>
        </w:rPr>
        <w:fldChar w:fldCharType="begin" w:fldLock="1"/>
      </w:r>
      <w:r w:rsidR="000507BA">
        <w:rPr>
          <w:lang w:val="en-GB"/>
        </w:rPr>
        <w:instrText>ADDIN CSL_CITATION {"citationItems":[{"id":"ITEM-1","itemData":{"DOI":"10.1007/s12016-012-8346-7","ISSN":"1080-0549","author":[{"dropping-particle":"","family":"Kurkó","given":"Júlia","non-dropping-particle":"","parse-names":false,"suffix":""},{"dropping-particle":"","family":"Besenyei","given":"Timea","non-dropping-particle":"","parse-names":false,"suffix":""},{"dropping-particle":"","family":"Laki","given":"Judit","non-dropping-particle":"","parse-names":false,"suffix":""},{"dropping-particle":"","family":"Glant","given":"Tibor T.","non-dropping-particle":"","parse-names":false,"suffix":""},{"dropping-particle":"","family":"Mikecz","given":"Katalin","non-dropping-particle":"","parse-names":false,"suffix":""},{"dropping-particle":"","family":"Szekanecz","given":"Zoltán","non-dropping-particle":"","parse-names":false,"suffix":""}],"container-title":"Clinical Reviews in Allergy &amp; Immunology","id":"ITEM-1","issue":"2","issued":{"date-parts":[["2013","10","5"]]},"page":"170-179","publisher":"Springer US","title":"Genetics of Rheumatoid Arthritis — A Comprehensive Review","type":"article-journal","volume":"45"},"uris":["http://www.mendeley.com/documents/?uuid=62d78ef8-0d82-4b1f-978d-1fec7ea799a5"]}],"mendeley":{"formattedCitation":"&lt;sup&gt;362&lt;/sup&gt;","plainTextFormattedCitation":"362","previouslyFormattedCitation":"&lt;sup&gt;362&lt;/sup&gt;"},"properties":{"noteIndex":0},"schema":"https://github.com/citation-style-language/schema/raw/master/csl-citation.json"}</w:instrText>
      </w:r>
      <w:r w:rsidR="00EF3A8A" w:rsidRPr="0082680A">
        <w:rPr>
          <w:lang w:val="en-GB"/>
        </w:rPr>
        <w:fldChar w:fldCharType="separate"/>
      </w:r>
      <w:r w:rsidR="00426B19" w:rsidRPr="00426B19">
        <w:rPr>
          <w:noProof/>
          <w:vertAlign w:val="superscript"/>
          <w:lang w:val="en-GB"/>
        </w:rPr>
        <w:t>362</w:t>
      </w:r>
      <w:r w:rsidR="00EF3A8A" w:rsidRPr="0082680A">
        <w:rPr>
          <w:lang w:val="en-GB"/>
        </w:rPr>
        <w:fldChar w:fldCharType="end"/>
      </w:r>
      <w:r w:rsidRPr="0082680A">
        <w:rPr>
          <w:lang w:val="en-GB"/>
        </w:rPr>
        <w:t xml:space="preserve">. It is likely that these genes, as well as those not yet identified, represent a genetic susceptibility to overactive immune responses. In the amplification phase, ACPAs as well as rheumatoid factors are localised to the synovial membrane of joints. It is not clear why joints are predominantly affected, though it is hypothesised that the nature of a calcium-rich, osteoclast dense location is attractive to </w:t>
      </w:r>
      <w:r w:rsidRPr="0082680A">
        <w:rPr>
          <w:lang w:val="en-GB"/>
        </w:rPr>
        <w:lastRenderedPageBreak/>
        <w:t xml:space="preserve">ACPAs </w:t>
      </w:r>
      <w:r w:rsidR="00EF3A8A" w:rsidRPr="0082680A">
        <w:rPr>
          <w:lang w:val="en-GB"/>
        </w:rPr>
        <w:fldChar w:fldCharType="begin" w:fldLock="1"/>
      </w:r>
      <w:r w:rsidR="000507BA">
        <w:rPr>
          <w:lang w:val="en-GB"/>
        </w:rPr>
        <w:instrText>ADDIN CSL_CITATION {"citationItems":[{"id":"ITEM-1","itemData":{"DOI":"10.1136/annrheumdis-2012-202958","ISSN":"0003-4967","PMID":"23520034","abstract":"OBJECTIVE Anticitrullinated protein antibodies (ACPA) are a major risk factor for bone loss in rheumatoid arthritis (RA). We have recently shown that ACPA directly induce bone loss by stimulating osteoclast differentiation. As ACPA precede the clinical onset of RA by years, we hypothesised that ACPA positive healthy individuals may already show skeletal changes. METHODS We performed a comparative micro-CT analysis of the bone microstructure in the metacarpophalangeal joints of ACPA positive and ACPA negative healthy individuals without clinical signs of arthritis. RESULTS ACPA positive (n=15) and negative (n=15) healthy individuals were not different in age (48.2±4.1 vs 51.4±3.8 years, p=0.57) or gender (eight women and two men in both groups). Bone mineral density was significantly reduced in ACPA positive individuals (mean±SEM 280±11 mg/cm(3)) compared with controls (327±6). Bone loss was based on cortical bone changes, with significant (p=0.044) reduction in cortical thickness in the ACPA positive group (mean±SEM 0.22±0.03 mm) compared with controls (0.32±0.03 mm). Areas of cortical porosity were significantly (p=0.0005) more widespread in ACPA positive (mean±SEM 7.4±1.4%) than in ACPA negative individuals (1.0±0.3%). DISCUSSION Structural bone damage starts before the clinical onset of arthritis in subjects with ACPA. These findings revise the concept that bone damage is an exclusive consequence of synovitis in patients with RA.","author":[{"dropping-particle":"","family":"Kleyer","given":"Arnd","non-dropping-particle":"","parse-names":false,"suffix":""},{"dropping-particle":"","family":"Finzel","given":"Stephanie","non-dropping-particle":"","parse-names":false,"suffix":""},{"dropping-particle":"","family":"Rech","given":"Jürgen","non-dropping-particle":"","parse-names":false,"suffix":""},{"dropping-particle":"","family":"Manger","given":"Bernhard","non-dropping-particle":"","parse-names":false,"suffix":""},{"dropping-particle":"","family":"Krieter","given":"Manuel","non-dropping-particle":"","parse-names":false,"suffix":""},{"dropping-particle":"","family":"Faustini","given":"Francesca","non-dropping-particle":"","parse-names":false,"suffix":""},{"dropping-particle":"","family":"Araujo","given":"Elisabeth","non-dropping-particle":"","parse-names":false,"suffix":""},{"dropping-particle":"","family":"Hueber","given":"Axel J","non-dropping-particle":"","parse-names":false,"suffix":""},{"dropping-particle":"","family":"Harre","given":"Ulrike","non-dropping-particle":"","parse-names":false,"suffix":""},{"dropping-particle":"","family":"Engelke","given":"Klaus","non-dropping-particle":"","parse-names":false,"suffix":""},{"dropping-particle":"","family":"Schett","given":"Georg","non-dropping-particle":"","parse-names":false,"suffix":""}],"container-title":"Annals of the Rheumatic Diseases","id":"ITEM-1","issue":"5","issued":{"date-parts":[["2014","5"]]},"page":"854-860","title":"Bone loss before the clinical onset of rheumatoid arthritis in subjects with anticitrullinated protein antibodies","type":"article-journal","volume":"73"},"uris":["http://www.mendeley.com/documents/?uuid=383422d2-6aed-3612-9c37-06defa23e587"]},{"id":"ITEM-2","itemData":{"DOI":"10.1002/art.25036","ISSN":"00043591","PMID":"20039432","abstract":"OBJECTIVE High titers of specific anti-citrullinated protein antibodies (ACPAs) are frequently present in the serum of rheumatoid arthritis (RA) patients, but their presence in synovial fluid is less well characterized. The purpose of this study was to compare the levels of antibody to 4 well-defined citrullinated candidate RA autoantigens in serum and synovial fluid and to determine whether antibodies to one citrullinated antigen are dominant over another. Furthermore, we studied their relationships with mutated citrullinated vimentin (MCV), a newly identified RA-specific serum assay, and the classic cyclic citrullinated peptide (CCP) in the synovial fluid of well-defined HLA-DR groups. METHODS Paired serum and synovial fluid samples from 290 RA patients and serum samples from 100 age- and sex-matched healthy controls were analyzed for the presence of anti-MCV and anti-CCP antibodies and for reactivity to citrullinated fibrinogen, alpha-enolase, type II collagen, and vimentin. A total of 219 of the 290 patients were genotyped for the HLA-DR shared epitope alleles. RESULTS Significantly higher proportions of antibodies against all RA-associated citrullinated antigens were found in synovial fluid as compared with serum. This was also true for the MCV and CCP responses but not for non-RA-associated anti-tetanus toxoid antibodies. As expected, we found a high correlation between citrullinated vimentin and MCV responses. All synovial fluid ACPAs were predominantly associated with HLA-DRB1*04 alleles and were confined to the CCP+/MCV+ subset of patients. CONCLUSION MCV and CCP positivity represent a similar subset of RA patients, whereas ACPAs with different fine specificities fall into subgroups of anti-CCP+/anti-MCV+ patients. The levels of all specific ACPAs were elevated in synovial fluid, suggesting that there is local antibody production and/or retention of ACPAs at the site of inflammation governed by RA-predisposing genes.","author":[{"dropping-particle":"","family":"Snir","given":"Omri","non-dropping-particle":"","parse-names":false,"suffix":""},{"dropping-particle":"","family":"Widhe","given":"Mona","non-dropping-particle":"","parse-names":false,"suffix":""},{"dropping-particle":"","family":"Hermansson","given":"Monika","non-dropping-particle":"","parse-names":false,"suffix":""},{"dropping-particle":"","family":"Spee","given":"Caroline","non-dropping-particle":"von","parse-names":false,"suffix":""},{"dropping-particle":"","family":"Lindberg","given":"Johan","non-dropping-particle":"","parse-names":false,"suffix":""},{"dropping-particle":"","family":"Hensen","given":"Sanne","non-dropping-particle":"","parse-names":false,"suffix":""},{"dropping-particle":"","family":"Lundberg","given":"Karin","non-dropping-particle":"","parse-names":false,"suffix":""},{"dropping-particle":"","family":"EngstrÃ¶m","given":"Ã…ke","non-dropping-particle":"","parse-names":false,"suffix":""},{"dropping-particle":"","family":"Venables","given":"Patrick J. W.","non-dropping-particle":"","parse-names":false,"suffix":""},{"dropping-particle":"","family":"Toes","given":"RenÃ© E. M.","non-dropping-particle":"","parse-names":false,"suffix":""},{"dropping-particle":"","family":"Holmdahl","given":"Rikard","non-dropping-particle":"","parse-names":false,"suffix":""},{"dropping-particle":"","family":"Klareskog","given":"Lars","non-dropping-particle":"","parse-names":false,"suffix":""},{"dropping-particle":"","family":"MalmstrÃ¶m","given":"Vivianne","non-dropping-particle":"","parse-names":false,"suffix":""}],"container-title":"Arthritis &amp; Rheumatism","id":"ITEM-2","issue":"1","issued":{"date-parts":[["2010","1"]]},"page":"44-52","title":"Antibodies to several citrullinated antigens are enriched in the joints of rheumatoid arthritis patients","type":"article-journal","volume":"62"},"uris":["http://www.mendeley.com/documents/?uuid=fc4f0c4e-91ef-305f-aade-660b2816fb1c"]}],"mendeley":{"formattedCitation":"&lt;sup&gt;363,364&lt;/sup&gt;","plainTextFormattedCitation":"363,364","previouslyFormattedCitation":"&lt;sup&gt;363,364&lt;/sup&gt;"},"properties":{"noteIndex":0},"schema":"https://github.com/citation-style-language/schema/raw/master/csl-citation.json"}</w:instrText>
      </w:r>
      <w:r w:rsidR="00EF3A8A" w:rsidRPr="0082680A">
        <w:rPr>
          <w:lang w:val="en-GB"/>
        </w:rPr>
        <w:fldChar w:fldCharType="separate"/>
      </w:r>
      <w:r w:rsidR="00426B19" w:rsidRPr="00426B19">
        <w:rPr>
          <w:noProof/>
          <w:vertAlign w:val="superscript"/>
          <w:lang w:val="en-GB"/>
        </w:rPr>
        <w:t>363,364</w:t>
      </w:r>
      <w:r w:rsidR="00EF3A8A" w:rsidRPr="0082680A">
        <w:rPr>
          <w:lang w:val="en-GB"/>
        </w:rPr>
        <w:fldChar w:fldCharType="end"/>
      </w:r>
      <w:r w:rsidRPr="0082680A">
        <w:rPr>
          <w:lang w:val="en-GB"/>
        </w:rPr>
        <w:t xml:space="preserve">. When arthritis activates in the joint, both innate immunity cells (neutrophils) and adaptive immunity cells (B-Cells and T-Cells) are mobilised, resulting in acute synovitis </w:t>
      </w:r>
      <w:r w:rsidR="00C55B6C" w:rsidRPr="0082680A">
        <w:rPr>
          <w:lang w:val="en-GB"/>
        </w:rPr>
        <w:fldChar w:fldCharType="begin" w:fldLock="1"/>
      </w:r>
      <w:r w:rsidR="000507BA">
        <w:rPr>
          <w:lang w:val="en-GB"/>
        </w:rPr>
        <w:instrText>ADDIN CSL_CITATION {"citationItems":[{"id":"ITEM-1","itemData":{"ISSN":"0360-3997","PMID":"6090313","abstract":"Neutrophils constitute over 90% of cells found in the synovial fluid of rheumatoid arthritis (RA) patients. Since such fluids also contain immune complexes (IgG-IgG and IgG-IgM rheumatoid factors) and complement split products (C5, C5A, DES, ARG, C3B, etc.), all of the reactants are present for a local Arthus lesion. Moreover, neutrophils from RA patients endocytose these immune complexes and complement components in vivo and in vitro. In consequence, it has been suggested that lysosomal enzymes and other mediators of inflammation released by neutrophils after uptake of immune complexes (in the bulk phase or on the surface) account, at least in part, for rheumatoid inflammation. Secretion of lysosomal hydrolases, especially neutral proteases, which provoke tissue injury and generation of reactive oxygen species (e.g. O2) is part of a stimulus-secretion response to a variety of secretagogues, including immune complexes and complement components. However, the pathways of secretion and O2 generation are stimulus-specific and can be dissected to establish cause and effect relationships by (a) kinetic analysis, (b) varying the stimulus, (c) use of impermeant reagents to block discrete responses. Neutrophils also generate products of 11-cyclo-oxygenase (e.g., PGE2, TXA2) and of the 5- and 15-lipoxygenase (mono-, di and tri-hetes, LTB4 and their isomers). However, the cyclo-oxygenase products (except TXA2) do not cause inflammation acting alone; indeed, they inhibit the function of neutrophils, platelets, macrophages and mast cells. The most potent proinflammatory agent yet identified as a product of arachidonate is LTB4. LTB4 is a potent Ca ionophore, a strong chemo-attractant, induces local inflammation, and activates neutrophils.","author":[{"dropping-particle":"","family":"Weissmann","given":"G","non-dropping-particle":"","parse-names":false,"suffix":""},{"dropping-particle":"","family":"Korchak","given":"H","non-dropping-particle":"","parse-names":false,"suffix":""}],"container-title":"Inflammation","id":"ITEM-1","issued":{"date-parts":[["1984","6"]]},"page":"S3-14","title":"Rheumatoid arthritis. The role of neutrophil activation.","type":"article-journal","volume":"8 Suppl"},"uris":["http://www.mendeley.com/documents/?uuid=638f1108-1737-35e9-8663-4928b0b7aa03"]},{"id":"ITEM-2","itemData":{"author":[{"dropping-particle":"","family":"Ospelt","given":"Caroline","non-dropping-particle":"","parse-names":false,"suffix":""},{"dropping-particle":"","family":"Neidhart","given":"Michel","non-dropping-particle":"","parse-names":false,"suffix":""},{"dropping-particle":"","family":"Gay","given":"Renate E","non-dropping-particle":"","parse-names":false,"suffix":""},{"dropping-particle":"","family":"Gay","given":"Steffen","non-dropping-particle":"","parse-names":false,"suffix":""}],"container-title":"Frontiers in Bioscience","id":"ITEM-2","issued":{"date-parts":[["2004"]]},"number-of-pages":"2323-2334","title":"SYNOVIAL ACTIVATION IN RHEUMATOID ARTHRITIS","type":"report","volume":"9"},"uris":["http://www.mendeley.com/documents/?uuid=eba3942a-8fc5-371c-a388-c8bf2c9262a2"]}],"mendeley":{"formattedCitation":"&lt;sup&gt;365,366&lt;/sup&gt;","plainTextFormattedCitation":"365,366","previouslyFormattedCitation":"&lt;sup&gt;365,366&lt;/sup&gt;"},"properties":{"noteIndex":0},"schema":"https://github.com/citation-style-language/schema/raw/master/csl-citation.json"}</w:instrText>
      </w:r>
      <w:r w:rsidR="00C55B6C" w:rsidRPr="0082680A">
        <w:rPr>
          <w:lang w:val="en-GB"/>
        </w:rPr>
        <w:fldChar w:fldCharType="separate"/>
      </w:r>
      <w:r w:rsidR="00426B19" w:rsidRPr="00426B19">
        <w:rPr>
          <w:noProof/>
          <w:vertAlign w:val="superscript"/>
          <w:lang w:val="en-GB"/>
        </w:rPr>
        <w:t>365,366</w:t>
      </w:r>
      <w:r w:rsidR="00C55B6C" w:rsidRPr="0082680A">
        <w:rPr>
          <w:lang w:val="en-GB"/>
        </w:rPr>
        <w:fldChar w:fldCharType="end"/>
      </w:r>
      <w:r w:rsidRPr="0082680A">
        <w:rPr>
          <w:lang w:val="en-GB"/>
        </w:rPr>
        <w:t xml:space="preserve">. Eventually, inflammation becomes chronic. At this stage, the synovial membrane has thickened, and cartilage and bone begins to disintegrate </w:t>
      </w:r>
      <w:r w:rsidR="00C55B6C" w:rsidRPr="0082680A">
        <w:rPr>
          <w:lang w:val="en-GB"/>
        </w:rPr>
        <w:fldChar w:fldCharType="begin" w:fldLock="1"/>
      </w:r>
      <w:r w:rsidR="000507BA">
        <w:rPr>
          <w:lang w:val="en-GB"/>
        </w:rPr>
        <w:instrText>ADDIN CSL_CITATION {"citationItems":[{"id":"ITEM-1","itemData":{"DOI":"10.1016/0730-725X(94)00119-N","ISSN":"0730-725X","abstract":"Previous studies have established the value of magnetic resonance imaging (MRI) in detecting articular changes characteristic of osteoarthritis (OA) of the knee. We have observed some MRI features in OA of the knee presumably indicating synovial thickening. To determine whether these MR features represent chronic synovial inflammation, we studied the knees of nine patients at the mild end of the spectrum of OA of relatively short duration (89%: ≤4 yr), who were selected because MRI showed anatomical abnormalities compatible with synovial thickening. The painful knee was examined using conventional and weight-bearing radiographs, MRI, and arthroscopy. MR images suggestive of synovial thickening typically appeared in or near the intercondylar region of the knee, in the infrapatellar fat pad, or in the posterior joint margin. The site of an arthroscopic biopsy of the synovial membrane was guided by MRI to the area thought to represent synovial thickening for each patient knee. Pathological examination of these synovial membrane biopsies showed a mild chronic synovitis, and thus a correspondence with the synovial thickening detected by MRI. Our results suggest that MRI can be used to evaluate the extent of synovitis, observed as synovial thickening, in patients with early OA of the knee.","author":[{"dropping-particle":"","family":"Fernandez-Madrid","given":"Felix","non-dropping-particle":"","parse-names":false,"suffix":""},{"dropping-particle":"","family":"Karvonen","given":"Robert L.","non-dropping-particle":"","parse-names":false,"suffix":""},{"dropping-particle":"","family":"Teitge","given":"Robert A.","non-dropping-particle":"","parse-names":false,"suffix":""},{"dropping-particle":"","family":"Miller","given":"Peter R.","non-dropping-particle":"","parse-names":false,"suffix":""},{"dropping-particle":"","family":"An","given":"Teisa","non-dropping-particle":"","parse-names":false,"suffix":""},{"dropping-particle":"","family":"Negendank","given":"William G.","non-dropping-particle":"","parse-names":false,"suffix":""}],"container-title":"Magnetic Resonance Imaging","id":"ITEM-1","issue":"2","issued":{"date-parts":[["1995","1","1"]]},"page":"177-183","publisher":"Elsevier","title":"Synovial thickening detected by MR imaging in osteoarthritis of the knee confirmed by biopsy as synovitis","type":"article-journal","volume":"13"},"uris":["http://www.mendeley.com/documents/?uuid=d66df8b2-eb68-3561-bf21-7cfae00bf784"]},{"id":"ITEM-2","itemData":{"DOI":"10.1016/j.rdc.2010.03.003","ISSN":"1558-3163","PMID":"20510240","abstract":"In rheumatoid arthritis (RA), cells within the inflamed synovium and pannus elaborate a variety of cytokines, including tumor necrosis factor (TNF) alpha, interleukin (IL)-1, IL-6, and IL-17, that contribute to inflammation, and may directly affect bone. The receptor activator of NF-kappaB (RANK) ligand/RANK/osteoprotegerin pathway plays a critical role in regulating osteoclastogenesis in articular bone erosions in RA. Proinflammatory cytokines can modulate this pathway, and may also affect the ability of the osteoblast to repair bone at sites of articular erosion. In this review, the authors discuss the current understanding of pathogenic mechanisms of bone erosion in RA and examine current therapeutic approaches to prevent this damage.","author":[{"dropping-particle":"","family":"Karmakar","given":"Sougata","non-dropping-particle":"","parse-names":false,"suffix":""},{"dropping-particle":"","family":"Kay","given":"Jonathan","non-dropping-particle":"","parse-names":false,"suffix":""},{"dropping-particle":"","family":"Gravallese","given":"Ellen M","non-dropping-particle":"","parse-names":false,"suffix":""}],"container-title":"Rheumatic diseases clinics of North America","id":"ITEM-2","issue":"2","issued":{"date-parts":[["2010","5"]]},"page":"385-404","publisher":"NIH Public Access","title":"Bone damage in rheumatoid arthritis: mechanistic insights and approaches to prevention.","type":"article-journal","volume":"36"},"uris":["http://www.mendeley.com/documents/?uuid=9ff95d31-498f-39c1-b239-8f139ddb9327"]}],"mendeley":{"formattedCitation":"&lt;sup&gt;367,368&lt;/sup&gt;","plainTextFormattedCitation":"367,368","previouslyFormattedCitation":"&lt;sup&gt;367,368&lt;/sup&gt;"},"properties":{"noteIndex":0},"schema":"https://github.com/citation-style-language/schema/raw/master/csl-citation.json"}</w:instrText>
      </w:r>
      <w:r w:rsidR="00C55B6C" w:rsidRPr="0082680A">
        <w:rPr>
          <w:lang w:val="en-GB"/>
        </w:rPr>
        <w:fldChar w:fldCharType="separate"/>
      </w:r>
      <w:r w:rsidR="00426B19" w:rsidRPr="00426B19">
        <w:rPr>
          <w:noProof/>
          <w:vertAlign w:val="superscript"/>
          <w:lang w:val="en-GB"/>
        </w:rPr>
        <w:t>367,368</w:t>
      </w:r>
      <w:r w:rsidR="00C55B6C" w:rsidRPr="0082680A">
        <w:rPr>
          <w:lang w:val="en-GB"/>
        </w:rPr>
        <w:fldChar w:fldCharType="end"/>
      </w:r>
      <w:r w:rsidRPr="0082680A">
        <w:rPr>
          <w:lang w:val="en-GB"/>
        </w:rPr>
        <w:t xml:space="preserve">. </w:t>
      </w:r>
      <w:r w:rsidR="00263B1E" w:rsidRPr="0082680A">
        <w:rPr>
          <w:lang w:val="en-GB"/>
        </w:rPr>
        <w:t>Immune cells</w:t>
      </w:r>
      <w:r w:rsidRPr="0082680A">
        <w:rPr>
          <w:lang w:val="en-GB"/>
        </w:rPr>
        <w:t xml:space="preserve"> are attracted to the site due to the release of chemokines and cytokines (e.g. TNF-alpha, interleukins, and interferons), promoting osteoclast formation and subsequent bone degradation </w:t>
      </w:r>
      <w:r w:rsidR="002D092A" w:rsidRPr="0082680A">
        <w:rPr>
          <w:lang w:val="en-GB"/>
        </w:rPr>
        <w:fldChar w:fldCharType="begin" w:fldLock="1"/>
      </w:r>
      <w:r w:rsidR="000507BA">
        <w:rPr>
          <w:lang w:val="en-GB"/>
        </w:rPr>
        <w:instrText>ADDIN CSL_CITATION {"citationItems":[{"id":"ITEM-1","itemData":{"DOI":"10.1002/1529-0131(200002)43:2&lt;250::AID-ANR3&gt;3.0.CO;2-P","ISSN":"00043591","author":[{"dropping-particle":"","family":"Gravallese","given":"Ellen M.","non-dropping-particle":"","parse-names":false,"suffix":""},{"dropping-particle":"","family":"Manning","given":"Cathy","non-dropping-particle":"","parse-names":false,"suffix":""},{"dropping-particle":"","family":"Tsay","given":"Alfie","non-dropping-particle":"","parse-names":false,"suffix":""},{"dropping-particle":"","family":"Naito","given":"Akifumi","non-dropping-particle":"","parse-names":false,"suffix":""},{"dropping-particle":"","family":"Pan","given":"Chin","non-dropping-particle":"","parse-names":false,"suffix":""},{"dropping-particle":"","family":"Amento","given":"Edward","non-dropping-particle":"","parse-names":false,"suffix":""},{"dropping-particle":"","family":"Goldring","given":"Steven R.","non-dropping-particle":"","parse-names":false,"suffix":""}],"container-title":"Arthritis &amp; Rheumatism","id":"ITEM-1","issue":"2","issued":{"date-parts":[["2000","2","1"]]},"page":"250","publisher":"Wiley-Blackwell","title":"Synovial tissue in rheumatoid arthritis is a source of osteoclast differentiation factor","type":"article-journal","volume":"43"},"uris":["http://www.mendeley.com/documents/?uuid=461875e0-904d-309e-9efd-192670be4c33"]},{"id":"ITEM-2","itemData":{"DOI":"10.1038/nri2094","ISSN":"1474-1733","abstract":"In a rheumatoid joint, a hierarchical network of cytokines controls immunological processes that promote autoimmunity, chronic inflammation and tissue destruction in rheumatoid arthritis. As proposed in this Review, defining these functional hierarchies may present new opportunities for treating the disease.","author":[{"dropping-particle":"","family":"McInnes","given":"Iain B.","non-dropping-particle":"","parse-names":false,"suffix":""},{"dropping-particle":"","family":"Schett","given":"Georg","non-dropping-particle":"","parse-names":false,"suffix":""}],"container-title":"Nature Reviews Immunology","id":"ITEM-2","issue":"6","issued":{"date-parts":[["2007","6","1"]]},"page":"429-442","publisher":"Nature Publishing Group","title":"Cytokines in the pathogenesis of rheumatoid arthritis","type":"article-journal","volume":"7"},"uris":["http://www.mendeley.com/documents/?uuid=b643ddce-eba3-3c72-bc7f-44033b27c766"]}],"mendeley":{"formattedCitation":"&lt;sup&gt;369,370&lt;/sup&gt;","plainTextFormattedCitation":"369,370","previouslyFormattedCitation":"&lt;sup&gt;369,370&lt;/sup&gt;"},"properties":{"noteIndex":0},"schema":"https://github.com/citation-style-language/schema/raw/master/csl-citation.json"}</w:instrText>
      </w:r>
      <w:r w:rsidR="002D092A" w:rsidRPr="0082680A">
        <w:rPr>
          <w:lang w:val="en-GB"/>
        </w:rPr>
        <w:fldChar w:fldCharType="separate"/>
      </w:r>
      <w:r w:rsidR="00426B19" w:rsidRPr="00426B19">
        <w:rPr>
          <w:noProof/>
          <w:vertAlign w:val="superscript"/>
          <w:lang w:val="en-GB"/>
        </w:rPr>
        <w:t>369,370</w:t>
      </w:r>
      <w:r w:rsidR="002D092A" w:rsidRPr="0082680A">
        <w:rPr>
          <w:lang w:val="en-GB"/>
        </w:rPr>
        <w:fldChar w:fldCharType="end"/>
      </w:r>
      <w:r w:rsidRPr="0082680A">
        <w:rPr>
          <w:lang w:val="en-GB"/>
        </w:rPr>
        <w:t>.</w:t>
      </w:r>
    </w:p>
    <w:p w14:paraId="4D4A2C27" w14:textId="77777777" w:rsidR="00381BB6" w:rsidRPr="0082680A" w:rsidRDefault="00381BB6" w:rsidP="00381BB6">
      <w:pPr>
        <w:rPr>
          <w:lang w:val="en-GB"/>
        </w:rPr>
      </w:pPr>
    </w:p>
    <w:p w14:paraId="318CACA9" w14:textId="77777777" w:rsidR="00381BB6" w:rsidRPr="00691215" w:rsidRDefault="00381BB6" w:rsidP="00691215">
      <w:pPr>
        <w:pStyle w:val="Heading3"/>
      </w:pPr>
      <w:bookmarkStart w:id="300" w:name="_4l6gw7m318ek" w:colFirst="0" w:colLast="0"/>
      <w:bookmarkStart w:id="301" w:name="_Toc3211417"/>
      <w:bookmarkEnd w:id="300"/>
      <w:r w:rsidRPr="00691215">
        <w:t>Autoimmune Conditions with Arthritis</w:t>
      </w:r>
      <w:bookmarkEnd w:id="301"/>
    </w:p>
    <w:p w14:paraId="7CC896B9" w14:textId="08B33984" w:rsidR="00381BB6" w:rsidRPr="0082680A" w:rsidRDefault="00381BB6" w:rsidP="00381BB6">
      <w:pPr>
        <w:rPr>
          <w:lang w:val="en-GB"/>
        </w:rPr>
      </w:pPr>
      <w:r w:rsidRPr="0082680A">
        <w:rPr>
          <w:lang w:val="en-GB"/>
        </w:rPr>
        <w:t>Rheumatoid arthritis is not the only autoimmune disease to present with arthritis. Autoimmune conditions are often said to “</w:t>
      </w:r>
      <w:r w:rsidR="00263B1E" w:rsidRPr="0082680A">
        <w:rPr>
          <w:lang w:val="en-GB"/>
        </w:rPr>
        <w:t>hunt</w:t>
      </w:r>
      <w:r w:rsidRPr="0082680A">
        <w:rPr>
          <w:lang w:val="en-GB"/>
        </w:rPr>
        <w:t xml:space="preserve"> in packs”, due to the fact that presence of one autoimmune condition in a family often predisposes other family members to alternative autoimmune conditions </w:t>
      </w:r>
      <w:r w:rsidR="0052083D" w:rsidRPr="0082680A">
        <w:rPr>
          <w:lang w:val="en-GB"/>
        </w:rPr>
        <w:fldChar w:fldCharType="begin" w:fldLock="1"/>
      </w:r>
      <w:r w:rsidR="000507BA">
        <w:rPr>
          <w:lang w:val="en-GB"/>
        </w:rPr>
        <w:instrText>ADDIN CSL_CITATION {"citationItems":[{"id":"ITEM-1","itemData":{"DOI":"10.1186/1741-7015-11-73","ISSN":"1741-7015","abstract":"A primary characteristic of complex genetic diseases is that affected individuals tend to cluster in families (that is, familial aggregation). Aggregation of the same autoimmune condition, also referred to as familial autoimmune disease, has been extensively evaluated. However, aggregation of diverse autoimmune diseases, also known as familial autoimmunity, has been overlooked. Therefore, a systematic review and meta-analysis were performed aimed at gathering evidence about this topic. Familial autoimmunity was investigated in five major autoimmune diseases, namely, rheumatoid arthritis, systemic lupus erythematosus, autoimmune thyroid disease, multiple sclerosis and type 1 diabetes mellitus. Preferred Reporting Items for Systematic Reviews and Meta-Analysis (PRISMA) guidelines were followed. Articles were searched in Pubmed and Embase databases. Out of a total of 61 articles, 44 were selected for final analysis. Familial autoimmunity was found in all the autoimmune diseases investigated. Aggregation of autoimmune thyroid disease, followed by systemic lupus erythematosus and rheumatoid arthritis, was the most encountered. Familial autoimmunity is a frequently seen condition. Further study of familial autoimmunity will help to decipher the common mechanisms of autoimmunity.","author":[{"dropping-particle":"","family":"Cárdenas-Roldán","given":"Jorge","non-dropping-particle":"","parse-names":false,"suffix":""},{"dropping-particle":"","family":"Rojas-Villarraga","given":"Adriana","non-dropping-particle":"","parse-names":false,"suffix":""},{"dropping-particle":"","family":"Anaya","given":"Juan-Manuel","non-dropping-particle":"","parse-names":false,"suffix":""}],"container-title":"BMC Medicine","id":"ITEM-1","issue":"1","issued":{"date-parts":[["2013","12","18"]]},"page":"73","publisher":"BioMed Central","title":"How do autoimmune diseases cluster in families? A systematic review and meta-analysis","type":"article-journal","volume":"11"},"uris":["http://www.mendeley.com/documents/?uuid=db19220a-5f75-3e35-9ed5-d52f876f34ec"]},{"id":"ITEM-2","itemData":{"DOI":"10.1016/S1474","abstract":"Background Autoimmune mechanisms are thought to have a major role in the pathogenesis of multiple sclerosis. We aimed to identify coexisting autoimmune phenotypes in patients with multiple sclerosis from families with several members with the disease and in their fi rst-degree relatives. Methods A total of 176 families (386 individuals and 1107 fi rst-degree relatives) were characterised for a history of other autoimmune disorders. Family-based or case-control analyses were done to assess the association of cytotoxic T-lymphocyte-antigen 4 (CTLA4) and protein tyrosine phosphatase (PTPN22) variants with susceptibility to multiple sclerosis. Findings 46 (26%) index cases reported at least one coexisting autoimmune disorder. The most common were Hashimoto thyroiditis (10%), psoriasis (6%), infl ammatory bowel disease (3%), and rheumatoid arthritis (2%). 112 (64%) families with a history of multiple sclerosis reported autoimmune disorders (excluding multiple sclerosis) in one or more fi rst-degree relatives, whereas 64 (36%) families reported no history of autoimmunity. Similar to index cases, Hashimoto thyroiditis, psoriasis, and infl ammatory bowel disease were also the most common disorders occurring in family members. A common variant within CTLA4 was strongly associated with multiple sclerosis in families who had other autoimmune diseases (p=0·009) but not in families without a history of other autoimmune disorders (p=0·90). Interpretation The presence of various immune disorders in families with several members with multiple sclerosis suggests that the disease might arise on a background of a generalised susceptibility to autoimmunity. This distinct multiple-sclerosis phenotype, defi ned by its association with other autoimmune diseases, segregates with specifi c genotypes that could underlie the common susceptibility.","author":[{"dropping-particle":"","family":"Barcellos","given":"Lisa F","non-dropping-particle":"","parse-names":false,"suffix":""},{"dropping-particle":"","family":"Kamdar","given":"Brinda B","non-dropping-particle":"","parse-names":false,"suffix":""},{"dropping-particle":"","family":"Ramsay","given":"Patricia P","non-dropping-particle":"","parse-names":false,"suffix":""},{"dropping-particle":"","family":"Deloa","given":"Cari","non-dropping-particle":"","parse-names":false,"suffix":""},{"dropping-particle":"","family":"Lincoln","given":"Robin R","non-dropping-particle":"","parse-names":false,"suffix":""},{"dropping-particle":"","family":"Caillier","given":"Stacy","non-dropping-particle":"","parse-names":false,"suffix":""},{"dropping-particle":"","family":"Schmidt","given":"Silke","non-dropping-particle":"","parse-names":false,"suffix":""},{"dropping-particle":"","family":"Haines","given":"Jonathan L","non-dropping-particle":"","parse-names":false,"suffix":""},{"dropping-particle":"","family":"Pericak-Vance","given":"Margaret A","non-dropping-particle":"","parse-names":false,"suffix":""},{"dropping-particle":"","family":"Oksenberg","given":"Jorge R","non-dropping-particle":"","parse-names":false,"suffix":""},{"dropping-particle":"","family":"Hauser","given":"Stephen L","non-dropping-particle":"","parse-names":false,"suffix":""}],"id":"ITEM-2","issued":{"date-parts":[["2006"]]},"title":"Clustering of autoimmune diseases in families with a high-risk for multiple sclerosis: a descriptive study","type":"article-journal","volume":"5"},"uris":["http://www.mendeley.com/documents/?uuid=6c0f634e-a6c8-383e-b886-25c694e5392f"]},{"id":"ITEM-3","itemData":{"DOI":"10.7326/0003-4819-101-6-748","ISSN":"0003-4819","author":[{"dropping-particle":"","family":"Reveille","given":"John D.","non-dropping-particle":"","parse-names":false,"suffix":""},{"dropping-particle":"","family":"Wilson","given":"Raymond W.","non-dropping-particle":"","parse-names":false,"suffix":""},{"dropping-particle":"","family":"Provost","given":"Thomas T.","non-dropping-particle":"","parse-names":false,"suffix":""},{"dropping-particle":"","family":"Bias","given":"Wilma B.","non-dropping-particle":"","parse-names":false,"suffix":""},{"dropping-particle":"","family":"Arnett","given":"Frank C.","non-dropping-particle":"","parse-names":false,"suffix":""}],"container-title":"Annals of Internal Medicine","id":"ITEM-3","issue":"6","issued":{"date-parts":[["1984","12","1"]]},"page":"748","publisher":"American College of Physicians","title":"Primary Sjögren's Syndrome and Other Autoimmune Diseases in Families","type":"article-journal","volume":"101"},"uris":["http://www.mendeley.com/documents/?uuid=bee14872-dab1-32a0-a1ea-71a949f87dfa"]}],"mendeley":{"formattedCitation":"&lt;sup&gt;371–373&lt;/sup&gt;","plainTextFormattedCitation":"371–373","previouslyFormattedCitation":"&lt;sup&gt;371–373&lt;/sup&gt;"},"properties":{"noteIndex":0},"schema":"https://github.com/citation-style-language/schema/raw/master/csl-citation.json"}</w:instrText>
      </w:r>
      <w:r w:rsidR="0052083D" w:rsidRPr="0082680A">
        <w:rPr>
          <w:lang w:val="en-GB"/>
        </w:rPr>
        <w:fldChar w:fldCharType="separate"/>
      </w:r>
      <w:r w:rsidR="00426B19" w:rsidRPr="00426B19">
        <w:rPr>
          <w:noProof/>
          <w:vertAlign w:val="superscript"/>
          <w:lang w:val="en-GB"/>
        </w:rPr>
        <w:t>371–373</w:t>
      </w:r>
      <w:r w:rsidR="0052083D" w:rsidRPr="0082680A">
        <w:rPr>
          <w:lang w:val="en-GB"/>
        </w:rPr>
        <w:fldChar w:fldCharType="end"/>
      </w:r>
      <w:r w:rsidRPr="0082680A">
        <w:rPr>
          <w:lang w:val="en-GB"/>
        </w:rPr>
        <w:t xml:space="preserve">. So, despite the fact these conditions are considered clinically distinct, it seems that the upstream genetic drivers of autoimmunity are likely to be shared, as well as some of the downstream phenotypes. Here we will discuss a number of autoimmune conditions which present with arthritis symptomology. Conditions not mentioned due to lower prevalence of arthritis include Sjogren’s syndrome, inflammatory bowel diseases such as Crohn’s disease and ulcerative colitis, and Behçet’s syndrome. </w:t>
      </w:r>
    </w:p>
    <w:p w14:paraId="364B346A" w14:textId="77777777" w:rsidR="00381BB6" w:rsidRPr="0082680A" w:rsidRDefault="00381BB6" w:rsidP="00842FD0">
      <w:pPr>
        <w:pStyle w:val="Heading4"/>
        <w:rPr>
          <w:lang w:val="en-GB"/>
        </w:rPr>
      </w:pPr>
      <w:bookmarkStart w:id="302" w:name="_xlrt4s1lk5qj" w:colFirst="0" w:colLast="0"/>
      <w:bookmarkStart w:id="303" w:name="_Toc3211418"/>
      <w:bookmarkEnd w:id="302"/>
      <w:r w:rsidRPr="00842FD0">
        <w:t>Rheumatoid</w:t>
      </w:r>
      <w:r w:rsidRPr="0082680A">
        <w:rPr>
          <w:lang w:val="en-GB"/>
        </w:rPr>
        <w:t xml:space="preserve"> Arthritis</w:t>
      </w:r>
      <w:bookmarkEnd w:id="303"/>
    </w:p>
    <w:p w14:paraId="7E268E10" w14:textId="436BD251" w:rsidR="00381BB6" w:rsidRPr="0082680A" w:rsidRDefault="00381BB6" w:rsidP="00381BB6">
      <w:pPr>
        <w:rPr>
          <w:lang w:val="en-GB"/>
        </w:rPr>
      </w:pPr>
      <w:r w:rsidRPr="0082680A">
        <w:rPr>
          <w:lang w:val="en-GB"/>
        </w:rPr>
        <w:t xml:space="preserve">Rheumatoid arthritis is the most common autoimmune arthritis, affected approximately 1% of the adult population </w:t>
      </w:r>
      <w:r w:rsidR="00037B9C" w:rsidRPr="0082680A">
        <w:rPr>
          <w:lang w:val="en-GB"/>
        </w:rPr>
        <w:fldChar w:fldCharType="begin" w:fldLock="1"/>
      </w:r>
      <w:r w:rsidR="000507BA">
        <w:rPr>
          <w:lang w:val="en-GB"/>
        </w:rPr>
        <w:instrText>ADDIN CSL_CITATION {"citationItems":[{"id":"ITEM-1","itemData":{"DOI":"10.1002/art.23177","ISSN":"00043591","author":[{"dropping-particle":"","family":"Helmick","given":"Charles G.","non-dropping-particle":"","parse-names":false,"suffix":""},{"dropping-particle":"","family":"Felson","given":"David T.","non-dropping-particle":"","parse-names":false,"suffix":""},{"dropping-particle":"","family":"Lawrence","given":"Reva C.","non-dropping-particle":"","parse-names":false,"suffix":""},{"dropping-particle":"","family":"Gabriel","given":"Sherine","non-dropping-particle":"","parse-names":false,"suffix":""},{"dropping-particle":"","family":"Hirsch","given":"Rosemarie","non-dropping-particle":"","parse-names":false,"suffix":""},{"dropping-particle":"","family":"Kwoh","given":"C. Kent","non-dropping-particle":"","parse-names":false,"suffix":""},{"dropping-particle":"","family":"Liang","given":"Matthew H.","non-dropping-particle":"","parse-names":false,"suffix":""},{"dropping-particle":"","family":"Kremers","given":"Hilal Maradit","non-dropping-particle":"","parse-names":false,"suffix":""},{"dropping-particle":"","family":"Mayes","given":"Maureen D.","non-dropping-particle":"","parse-names":false,"suffix":""},{"dropping-particle":"","family":"Merkel","given":"Peter A.","non-dropping-particle":"","parse-names":false,"suffix":""},{"dropping-particle":"","family":"Pillemer","given":"Stanley R.","non-dropping-particle":"","parse-names":false,"suffix":""},{"dropping-particle":"","family":"Reveille","given":"John D.","non-dropping-particle":"","parse-names":false,"suffix":""},{"dropping-particle":"","family":"Stone","given":"John H.","non-dropping-particle":"","parse-names":false,"suffix":""}],"container-title":"Arthritis &amp; Rheumatism","id":"ITEM-1","issue":"1","issued":{"date-parts":[["2008","1","1"]]},"page":"15-25","publisher":"Wiley-Blackwell","title":"Estimates of the prevalence of arthritis and other rheumatic conditions in the United States: Part I","type":"article-journal","volume":"58"},"uris":["http://www.mendeley.com/documents/?uuid=e0453f6c-83f4-486a-a769-e815cfbb2799"]}],"mendeley":{"formattedCitation":"&lt;sup&gt;374&lt;/sup&gt;","plainTextFormattedCitation":"374","previouslyFormattedCitation":"&lt;sup&gt;374&lt;/sup&gt;"},"properties":{"noteIndex":0},"schema":"https://github.com/citation-style-language/schema/raw/master/csl-citation.json"}</w:instrText>
      </w:r>
      <w:r w:rsidR="00037B9C" w:rsidRPr="0082680A">
        <w:rPr>
          <w:lang w:val="en-GB"/>
        </w:rPr>
        <w:fldChar w:fldCharType="separate"/>
      </w:r>
      <w:r w:rsidR="00426B19" w:rsidRPr="00426B19">
        <w:rPr>
          <w:noProof/>
          <w:vertAlign w:val="superscript"/>
          <w:lang w:val="en-GB"/>
        </w:rPr>
        <w:t>374</w:t>
      </w:r>
      <w:r w:rsidR="00037B9C" w:rsidRPr="0082680A">
        <w:rPr>
          <w:lang w:val="en-GB"/>
        </w:rPr>
        <w:fldChar w:fldCharType="end"/>
      </w:r>
      <w:r w:rsidRPr="0082680A">
        <w:rPr>
          <w:lang w:val="en-GB"/>
        </w:rPr>
        <w:t xml:space="preserve">. RA is twice as prevalent in women than men, and the average age of an RA patient is approximately 67 years old. The symptoms and mechanisms of RA have already been discussed. Heritability of RA is approximately 65%, and over 250 genome-wide significant loci have been associated with RA risk, though a significant amount of heritability is still unaccounted for </w:t>
      </w:r>
      <w:r w:rsidR="00037B9C" w:rsidRPr="0082680A">
        <w:rPr>
          <w:lang w:val="en-GB"/>
        </w:rPr>
        <w:fldChar w:fldCharType="begin" w:fldLock="1"/>
      </w:r>
      <w:r w:rsidR="000507BA">
        <w:rPr>
          <w:lang w:val="en-GB"/>
        </w:rPr>
        <w:instrText>ADDIN CSL_CITATION {"citationItems":[{"id":"ITEM-1","itemData":{"DOI":"10.1002/1529-0131(200001)43:1&lt;30::AID-ANR5&gt;3.0.CO;2-B","ISSN":"0004-3591","PMID":"10643697","abstract":"OBJECTIVE Twin concordance data for rheumatoid arthritis (RA) on their own provide only limited insight into the relative genetic and environmental contribution to the disease. We applied quantitative genetic methods to assess the heritability of RA and to examine for evidence of differences in the genetic contribution according to sex, age, and clinical disease characteristics. METHODS Data were analyzed from 2 previously published nationwide studies of twins with RA conducted in Finland and the United Kingdom. Heritability was assessed by variance components analysis. Differences in the genetic contribution by sex, age, age at disease onset, and clinical characteristics were examined by stratification. The power of the twin study design to detect these differences was examined through simulation. RESULTS The heritability of RA was 65% (95% confidence interval [95% CI] 50-77) in the Finnish data and 53% (95% CI 40-65) in the UK data. There was no significant difference in the strength of the genetic contribution according to sex, age, age at onset, or disease severity subgroup. Both study designs had power to detect a contribution of at least 40% from the common family environment, and a difference in the genetic contribution of at least 50% between subgroups. CONCLUSION Genetic factors have a substantial contribution to RA in the population, accounting for approximately 60% of the variation in liability to disease. Although tempered by power considerations, there is no evidence in these twin data that the overall genetic contribution to RA differs by sex, age, age at disease onset, and disease severity.","author":[{"dropping-particle":"","family":"MacGregor","given":"Alexander J.","non-dropping-particle":"","parse-names":false,"suffix":""},{"dropping-particle":"","family":"Snieder","given":"Harold","non-dropping-particle":"","parse-names":false,"suffix":""},{"dropping-particle":"","family":"Rigby","given":"Alan S.","non-dropping-particle":"","parse-names":false,"suffix":""},{"dropping-particle":"","family":"Koskenvuo","given":"Markku","non-dropping-particle":"","parse-names":false,"suffix":""},{"dropping-particle":"","family":"Kaprio","given":"Jaakko","non-dropping-particle":"","parse-names":false,"suffix":""},{"dropping-particle":"","family":"Aho","given":"Kimmo","non-dropping-particle":"","parse-names":false,"suffix":""},{"dropping-particle":"","family":"Silman","given":"Alan J.","non-dropping-particle":"","parse-names":false,"suffix":""}],"container-title":"Arthritis &amp; Rheumatism","id":"ITEM-1","issue":"1","issued":{"date-parts":[["2000","1"]]},"page":"30-37","title":"Characterizing the quantitative genetic contribution to rheumatoid arthritis using data from twins","type":"article-journal","volume":"43"},"uris":["http://www.mendeley.com/documents/?uuid=55bb338d-34c5-3e24-ac12-a3d1e48b89d0"]}],"mendeley":{"formattedCitation":"&lt;sup&gt;375&lt;/sup&gt;","plainTextFormattedCitation":"375","previouslyFormattedCitation":"&lt;sup&gt;375&lt;/sup&gt;"},"properties":{"noteIndex":0},"schema":"https://github.com/citation-style-language/schema/raw/master/csl-citation.json"}</w:instrText>
      </w:r>
      <w:r w:rsidR="00037B9C" w:rsidRPr="0082680A">
        <w:rPr>
          <w:lang w:val="en-GB"/>
        </w:rPr>
        <w:fldChar w:fldCharType="separate"/>
      </w:r>
      <w:r w:rsidR="00426B19" w:rsidRPr="00426B19">
        <w:rPr>
          <w:noProof/>
          <w:vertAlign w:val="superscript"/>
          <w:lang w:val="en-GB"/>
        </w:rPr>
        <w:t>375</w:t>
      </w:r>
      <w:r w:rsidR="00037B9C" w:rsidRPr="0082680A">
        <w:rPr>
          <w:lang w:val="en-GB"/>
        </w:rPr>
        <w:fldChar w:fldCharType="end"/>
      </w:r>
      <w:r w:rsidR="00037B9C" w:rsidRPr="0082680A">
        <w:rPr>
          <w:lang w:val="en-GB"/>
        </w:rPr>
        <w:t>.</w:t>
      </w:r>
    </w:p>
    <w:p w14:paraId="2824E790" w14:textId="77777777" w:rsidR="00381BB6" w:rsidRPr="0082680A" w:rsidRDefault="00381BB6" w:rsidP="00842FD0">
      <w:pPr>
        <w:pStyle w:val="Heading4"/>
        <w:rPr>
          <w:lang w:val="en-GB"/>
        </w:rPr>
      </w:pPr>
      <w:bookmarkStart w:id="304" w:name="_q5d7s7f5i4d3" w:colFirst="0" w:colLast="0"/>
      <w:bookmarkStart w:id="305" w:name="_Toc3211419"/>
      <w:bookmarkEnd w:id="304"/>
      <w:r w:rsidRPr="0082680A">
        <w:rPr>
          <w:lang w:val="en-GB"/>
        </w:rPr>
        <w:t>Psoriatic Arthritis</w:t>
      </w:r>
      <w:bookmarkEnd w:id="305"/>
    </w:p>
    <w:p w14:paraId="2AD43A95" w14:textId="44A23E19" w:rsidR="00381BB6" w:rsidRPr="0082680A" w:rsidRDefault="00381BB6" w:rsidP="00381BB6">
      <w:pPr>
        <w:rPr>
          <w:i/>
          <w:lang w:val="en-GB"/>
        </w:rPr>
      </w:pPr>
      <w:r w:rsidRPr="0082680A">
        <w:rPr>
          <w:lang w:val="en-GB"/>
        </w:rPr>
        <w:t xml:space="preserve">Psoriasis is an autoimmune condition affecting approximately 0.1% of the population, in which the turnover of skin cells is markedly increased; in a healthy individual turnover is approximately one month, whereas in psoriasis this occurs every 3-5 days </w:t>
      </w:r>
      <w:r w:rsidR="00444C40" w:rsidRPr="0082680A">
        <w:rPr>
          <w:lang w:val="en-GB"/>
        </w:rPr>
        <w:fldChar w:fldCharType="begin" w:fldLock="1"/>
      </w:r>
      <w:r w:rsidR="000507BA">
        <w:rPr>
          <w:lang w:val="en-GB"/>
        </w:rPr>
        <w:instrText>ADDIN CSL_CITATION {"citationItems":[{"id":"ITEM-1","itemData":{"ISSN":"0315-162X","PMID":"10813295","abstract":"OBJECTIVE To determine the incidence, prevalence, and outcomes of psoriatic arthritis (PsA) in a geographically defined community. METHODS Using the Rochester Epidemiology Project computerized medical record system, we screened all records of Olmsted County, Minnesota, residents with any diagnosis consistent with psoriasis and/or PsA made between January 1, 1982 and December 31, 1991. Medical records were reviewed using a pretested data collection form. Only those cases of psoriasis where the diagnosis was confirmed by a dermatologist were included. PsA was defined as inflammatory arthritis associated with a definite diagnosis of psoriasis. All identified cases were followed until death, migration from the county, or January 1, 1992. Cases with seropositive rheumatoid arthritis, systemic lupus erythematosus, crystal induced arthritis, Reiter's syndrome, arthritis associated with inflammatory bowel diseases, and inflammatory osteoarthritis were excluded. Clinical characteristics were described using summary statistics. Age and sex adjusted incidence and prevalence rates were calculated. Survival was estimated using the Kaplan-Meier method. RESULTS We reviewed the records of 1844 patients with a diagnosis of psoriasis. In 1056 of these, the diagnosis was confirmed by a dermatologist. Among these 1056 psoriasis cases, we identified 66 cases (34 female, 32 male) of PsA first diagnosed between 1982 and 1991. The average age and sex adjusted incidence rate per 100,000 US population was 6.59 (95% confidence interval, CI, 4.99, 8.19) and the prevalence on January 1, 1992, was about one per 1000 (95% CI 0.81, 1.21). The average age at diagnosis was 40.7 years. At diagnosis, 91, 3, and 6% of cases had oligoarthritis, polyarthritis, and spondylitis, respectively. Over the 477.8 person-years of followup, 25 developed extraarticular manifestations (enthesitis, n = 15; ocular inflammation, n = 11; urethritis, n = 9), 10 patients received disease modifying antirheumatic drug treatment (methotrexate, n = 7; sulfasalazine, n = 5; intramuscular gold, n = 1; oral gold, n = 1), 3 received corticosteroids, and 5 had surgical interventions (synovectomy, n = 3; arthroplasty, n = 1; other reconstructive surgery, n = 2). Survival was not significantly different from the general population (p = 0.546). CONCLUSION Unlike results from previous referral based studies, our findings indicate that PsA is a mild, uncommon inflammatory arthritis, not associated with a significant increa…","author":[{"dropping-particle":"","family":"Shbeeb","given":"M","non-dropping-particle":"","parse-names":false,"suffix":""},{"dropping-particle":"","family":"Uramoto","given":"K M","non-dropping-particle":"","parse-names":false,"suffix":""},{"dropping-particle":"","family":"Gibson","given":"L E","non-dropping-particle":"","parse-names":false,"suffix":""},{"dropping-particle":"","family":"O'Fallon","given":"W M","non-dropping-particle":"","parse-names":false,"suffix":""},{"dropping-particle":"","family":"Gabriel","given":"S E","non-dropping-particle":"","parse-names":false,"suffix":""}],"container-title":"The Journal of rheumatology","id":"ITEM-1","issue":"5","issued":{"date-parts":[["2000","5"]]},"page":"1247-50","title":"The epidemiology of psoriatic arthritis in Olmsted County, Minnesota, USA, 1982-1991.","type":"article-journal","volume":"27"},"uris":["http://www.mendeley.com/documents/?uuid=a0a6ba20-b5c9-309f-bfa3-98493e641c4c"]}],"mendeley":{"formattedCitation":"&lt;sup&gt;376&lt;/sup&gt;","plainTextFormattedCitation":"376","previouslyFormattedCitation":"&lt;sup&gt;376&lt;/sup&gt;"},"properties":{"noteIndex":0},"schema":"https://github.com/citation-style-language/schema/raw/master/csl-citation.json"}</w:instrText>
      </w:r>
      <w:r w:rsidR="00444C40" w:rsidRPr="0082680A">
        <w:rPr>
          <w:lang w:val="en-GB"/>
        </w:rPr>
        <w:fldChar w:fldCharType="separate"/>
      </w:r>
      <w:r w:rsidR="00426B19" w:rsidRPr="00426B19">
        <w:rPr>
          <w:noProof/>
          <w:vertAlign w:val="superscript"/>
          <w:lang w:val="en-GB"/>
        </w:rPr>
        <w:t>376</w:t>
      </w:r>
      <w:r w:rsidR="00444C40" w:rsidRPr="0082680A">
        <w:rPr>
          <w:lang w:val="en-GB"/>
        </w:rPr>
        <w:fldChar w:fldCharType="end"/>
      </w:r>
      <w:r w:rsidRPr="0082680A">
        <w:rPr>
          <w:lang w:val="en-GB"/>
        </w:rPr>
        <w:t xml:space="preserve">. The premature maturation of skin cells is caused by the presence of dendritic cells, T-Cells and macrophages in the dermis, resulting in the release of inflammatory cytokines which promote proliferation </w:t>
      </w:r>
      <w:r w:rsidR="006A46D2" w:rsidRPr="0082680A">
        <w:rPr>
          <w:lang w:val="en-GB"/>
        </w:rPr>
        <w:fldChar w:fldCharType="begin" w:fldLock="1"/>
      </w:r>
      <w:r w:rsidR="000507BA">
        <w:rPr>
          <w:lang w:val="en-GB"/>
        </w:rPr>
        <w:instrText>ADDIN CSL_CITATION {"citationItems":[{"id":"ITEM-1","itemData":{"DOI":"10.1038/nature05663","ISSN":"0028-0836","PMID":"17314973","abstract":"Psoriasis is one of the most common human skin diseases and is considered to have key genetic underpinnings. It is characterized by excessive growth and aberrant differentiation of keratinocytes, but is fully reversible with appropriate therapy. The trigger of the keratinocyte response is thought to be activation of the cellular immune system, with T cells, dendritic cells and various immune-related cytokines and chemokines implicated in pathogenesis. The newest therapies for psoriasis target its immune components and may predict potential treatments for other inflammatory human diseases.","author":[{"dropping-particle":"","family":"Lowes","given":"Michelle A.","non-dropping-particle":"","parse-names":false,"suffix":""},{"dropping-particle":"","family":"Bowcock","given":"Anne M.","non-dropping-particle":"","parse-names":false,"suffix":""},{"dropping-particle":"","family":"Krueger","given":"James G.","non-dropping-particle":"","parse-names":false,"suffix":""}],"container-title":"Nature","id":"ITEM-1","issue":"7130","issued":{"date-parts":[["2007","2","22"]]},"page":"866-873","title":"Pathogenesis and therapy of psoriasis","type":"article-journal","volume":"445"},"uris":["http://www.mendeley.com/documents/?uuid=4ba9fed3-b12e-3a94-8390-23158390fae9"]}],"mendeley":{"formattedCitation":"&lt;sup&gt;377&lt;/sup&gt;","plainTextFormattedCitation":"377","previouslyFormattedCitation":"&lt;sup&gt;377&lt;/sup&gt;"},"properties":{"noteIndex":0},"schema":"https://github.com/citation-style-language/schema/raw/master/csl-citation.json"}</w:instrText>
      </w:r>
      <w:r w:rsidR="006A46D2" w:rsidRPr="0082680A">
        <w:rPr>
          <w:lang w:val="en-GB"/>
        </w:rPr>
        <w:fldChar w:fldCharType="separate"/>
      </w:r>
      <w:r w:rsidR="00426B19" w:rsidRPr="00426B19">
        <w:rPr>
          <w:noProof/>
          <w:vertAlign w:val="superscript"/>
          <w:lang w:val="en-GB"/>
        </w:rPr>
        <w:t>377</w:t>
      </w:r>
      <w:r w:rsidR="006A46D2" w:rsidRPr="0082680A">
        <w:rPr>
          <w:lang w:val="en-GB"/>
        </w:rPr>
        <w:fldChar w:fldCharType="end"/>
      </w:r>
      <w:r w:rsidRPr="0082680A">
        <w:rPr>
          <w:lang w:val="en-GB"/>
        </w:rPr>
        <w:t xml:space="preserve">. In some psoriasis cases, arthritis also develops, known as psoriatic arthritis (PA). PA presents similarly to RA, with chronic joint inflammation, heightened presence of immune cells in the synovium, synovial membrane thickening, </w:t>
      </w:r>
      <w:r w:rsidRPr="0082680A">
        <w:rPr>
          <w:lang w:val="en-GB"/>
        </w:rPr>
        <w:lastRenderedPageBreak/>
        <w:t xml:space="preserve">and bone and cartilage degradation </w:t>
      </w:r>
      <w:r w:rsidR="000A31BF" w:rsidRPr="0082680A">
        <w:rPr>
          <w:lang w:val="en-GB"/>
        </w:rPr>
        <w:fldChar w:fldCharType="begin" w:fldLock="1"/>
      </w:r>
      <w:r w:rsidR="000507BA">
        <w:rPr>
          <w:lang w:val="en-GB"/>
        </w:rPr>
        <w:instrText>ADDIN CSL_CITATION {"citationItems":[{"id":"ITEM-1","itemData":{"DOI":"10.1002/art.38376","ISSN":"23265191","author":[{"dropping-particle":"","family":"Menon","given":"Bina","non-dropping-particle":"","parse-names":false,"suffix":""},{"dropping-particle":"","family":"Gullick","given":"Nicola J.","non-dropping-particle":"","parse-names":false,"suffix":""},{"dropping-particle":"","family":"Walter","given":"Gina J.","non-dropping-particle":"","parse-names":false,"suffix":""},{"dropping-particle":"","family":"Rajasekhar","given":"Megha","non-dropping-particle":"","parse-names":false,"suffix":""},{"dropping-particle":"","family":"Garrood","given":"Toby","non-dropping-particle":"","parse-names":false,"suffix":""},{"dropping-particle":"","family":"Evans","given":"Hayley G.","non-dropping-particle":"","parse-names":false,"suffix":""},{"dropping-particle":"","family":"Taams","given":"Leonie S.","non-dropping-particle":"","parse-names":false,"suffix":""},{"dropping-particle":"","family":"Kirkham","given":"Bruce W.","non-dropping-particle":"","parse-names":false,"suffix":""}],"container-title":"Arthritis &amp; Rheumatology","id":"ITEM-1","issue":"5","issued":{"date-parts":[["2014","5","1"]]},"page":"1272-1281","publisher":"Wiley-Blackwell","title":"Interleukin-17+CD8+ T Cells Are Enriched in the Joints of Patients With Psoriatic Arthritis and Correlate With Disease Activity and Joint Damage Progression","type":"article-journal","volume":"66"},"uris":["http://www.mendeley.com/documents/?uuid=5102a76a-dda6-4507-8bfb-e3d48654ab85"]},{"id":"ITEM-2","itemData":{"abstract":"Objective. Monocyte-derived cytokines are important mediators in synovitis and represent novel therapeutic targets. This study was undertaken to analyze their expression in synovial membrane (SM) of patients with psoriatic arthritis (PsA) compared with that in skin of patients with PsA and SM of patients with rheumatoid arthritis (RA). Methods. Multiple synovial biopsy samples (24 from patients with PsA, 20 from patients with RA, 5 from patients with osteoarthritis [OA]) and skin biopsy samples (lesional and perilesional skin from 25 PsA patients) were obtained. Standard leukocyte antigens, cytokines (tumor necrosis factor [TNF], interleukin-1 [IL-1], IL-1, IL-15, and IL-10) and the transcription factor nuclear factor B (NF-B; active p65 subunit) were localized and quantified immunohistochemically by light mi-croscopy and digital image analysis. Results. Sublining cellular infiltration, lymphoid aggregation, and vascularity were similar in PsA and RA SM. Lining layer thickness was greater in RA SM, associated with more CD68 macrophages. In PsA SM, TNF, IL-1, IL-1, IL-15, and IL-10 were primarily localized to lining layer and perivascular macrophages, as were cells expressing the active subunit of NF-B (p65). TNF, IL-1, and IL-15 expression in PsA lining layer was less than that in RA lining layer, likely reflecting lower macrophage numbers. In sublining areas , levels of TNF and IL-15 were lower in PsA patients than in RA patients, whereas IL-1 and IL-1 expression was equivalent. IL-10 was identified at similar levels in RA and PsA SM lining layer and sublining. Expression of NF-B (p65) was equal in lining layer from both patient groups, but lower in PsA than RA sublining. Histologic findings did not correlate with clinical parameters of disease. Cytokine expression in skin did not correlate directly with that in SM. Cytokine expression was greater in PsA and RA SM than in OA SM. Conclusion. This study shows, for the first time, that monocyte-derived cytokines are found in PsA SM and demonstrates the relative paucity of the antiinflam-matory cytokine IL-10 in PsA skin and SM. Significant divergence from RA SM expression was observed, despite similar clinical and demographic features in the 2 patient groups.","author":[{"dropping-particle":"","family":"Danning","given":"C L","non-dropping-particle":"","parse-names":false,"suffix":""},{"dropping-particle":"","family":"Illei","given":"G G","non-dropping-particle":"","parse-names":false,"suffix":""},{"dropping-particle":"","family":"Hitchon","given":"C","non-dropping-particle":"","parse-names":false,"suffix":""},{"dropping-particle":"","family":"Greer","given":"M R","non-dropping-particle":"","parse-names":false,"suffix":""},{"dropping-particle":"","family":"Boumpas","given":"D T","non-dropping-particle":"","parse-names":false,"suffix":""},{"dropping-particle":"","family":"Mcinnes","given":"I B","non-dropping-particle":"","parse-names":false,"suffix":""}],"container-title":"ARTHRITIS &amp; RHEUMATISM","id":"ITEM-2","issue":"6","issued":{"date-parts":[["2000"]]},"number-of-pages":"1244-1256","title":"Macrophage-Derived Cytokine and Nuclear Factor B p65 Expression in Synovial Membrane and Skin of Patients with Psoriatic Arthritis","type":"report","volume":"43"},"uris":["http://www.mendeley.com/documents/?uuid=830d936f-d8da-3875-a3f1-d65c51f59adc"]},{"id":"ITEM-3","itemData":{"DOI":"10.1016/J.BCP.2012.01.001","ISSN":"0006-2952","abstract":"Psoriasis and psoriatic arthritis are common clinical conditions that negatively impact health-related quality of life and are linked to serious medical comorbidities. Disease mechanisms involve local and systemic chronic inflammatory processes. Available biologic therapies specifically target single inflammatory mediators, such as tumor necrosis factor-α (TNF-α), in the context of a larger inflammatory signaling cascade. To interrupt this pathological cascade earlier in the response or further upstream, and return pro-inflammatory and anti-inflammatory signaling to a homeostatic balance, the use of a phosphodiesterase4 (PDE4) inhibitor has been explored. PDE4 is the major enzyme class responsible for the hydrolysis of cyclic adenosine monophosphate (cAMP), an intracellular second messenger that controls a network of pro-inflammatory and anti-inflammatory mediators. With PDE4 inhibition, and the resulting increases in cAMP levels in immune and non-immune cell types, expression of a network of pro-inflammatory and anti-inflammatory mediators can be modulated. Apremilast is an orally available targeted PDE4 inhibitor that modulates a wide array of inflammatory mediators involved in psoriasis and psoriatic arthritis, including decreases in the expression of inducible nitric oxide synthase, TNF-α, and interleukin (IL)-23 and increases IL-10. In phase II studies of subjects with psoriasis and psoriatic arthritis, apremilast reversed features of the inflammatory pathophysiology in skin and joints and significantly reduces clinical symptoms. The use of an oral targeted PDE4 inhibitor for chronic inflammatory diseases, like psoriasis and psoriatic arthritis, represents a novel treatment approach that does not target any single mediator, but rather focuses on restoring a balance of pro-inflammatory and anti-inflammatory signals.","author":[{"dropping-particle":"","family":"Schafer","given":"Peter","non-dropping-particle":"","parse-names":false,"suffix":""}],"container-title":"Biochemical Pharmacology","id":"ITEM-3","issue":"12","issued":{"date-parts":[["2012","6","15"]]},"page":"1583-1590","publisher":"Elsevier","title":"Apremilast mechanism of action and application to psoriasis and psoriatic arthritis","type":"article-journal","volume":"83"},"uris":["http://www.mendeley.com/documents/?uuid=6b1a76e1-f72a-3082-b5e3-e7972068ed4c"]},{"id":"ITEM-4","itemData":{"DOI":"10.1172/JCI16069","ISSN":"0021-9738","PMID":"12639988","abstract":"Psoriatic arthritis (PsA) is an inflammatory joint disease characterized by extensive bone resorption. The mechanisms underlying this matrix loss have not been elucidated. We report here that blood samples from PsA patients, particularly those with bone erosions visible on plain radiographs, exhibit a marked increase in osteoclast precursors (OCPs) compared with those from healthy controls. Moreover, PsA PBMCs readily formed osteoclasts in vitro without exogenous receptor activator of NF-kappaB ligand (RANKL) or MCSF. Both osteoprotegerin (OPG) and anti-TNF antibodies inhibited osteoclast formation. Additionally, cultured PsA PBMCs spontaneously secreted higher levels of TNF-alpha than did healthy controls. In vivo, OCP frequency declined substantially in PsA patients following treatment with anti-TNF agents. Immunohistochemical analysis of subchondral bone and synovium revealed RANK-positive perivascular mononuclear cells and osteoclasts in PsA specimens. RANKL expression was dramatically upregulated in the synovial lining layer, while OPG immunostaining was restricted to the endothelium. These results suggest a model for understanding the pathogenesis of aggressive bone erosions in PsA. OCPs arise from TNF-alpha-activated PBMCs that migrate to the inflamed synovium and subchondral bone, where they are exposed to unopposed RANKL and TNF-alpha. This leads to osteoclastogenesis at the erosion front and in subchondral bone, resulting in a bidirectional assault on psoriatic bone.","author":[{"dropping-particle":"","family":"Ritchlin","given":"Christopher T","non-dropping-particle":"","parse-names":false,"suffix":""},{"dropping-particle":"","family":"Haas-Smith","given":"Sally A","non-dropping-particle":"","parse-names":false,"suffix":""},{"dropping-particle":"","family":"Li","given":"Ping","non-dropping-particle":"","parse-names":false,"suffix":""},{"dropping-particle":"","family":"Hicks","given":"David G","non-dropping-particle":"","parse-names":false,"suffix":""},{"dropping-particle":"","family":"Schwarz","given":"Edward M","non-dropping-particle":"","parse-names":false,"suffix":""}],"container-title":"The Journal of clinical investigation","id":"ITEM-4","issue":"6","issued":{"date-parts":[["2003","3","15"]]},"page":"821-31","publisher":"American Society for Clinical Investigation","title":"Mechanisms of TNF-alpha- and RANKL-mediated osteoclastogenesis and bone resorption in psoriatic arthritis.","type":"article-journal","volume":"111"},"uris":["http://www.mendeley.com/documents/?uuid=c4593d78-241f-375c-9001-18f1e84c689d"]}],"mendeley":{"formattedCitation":"&lt;sup&gt;378–381&lt;/sup&gt;","plainTextFormattedCitation":"378–381","previouslyFormattedCitation":"&lt;sup&gt;378–381&lt;/sup&gt;"},"properties":{"noteIndex":0},"schema":"https://github.com/citation-style-language/schema/raw/master/csl-citation.json"}</w:instrText>
      </w:r>
      <w:r w:rsidR="000A31BF" w:rsidRPr="0082680A">
        <w:rPr>
          <w:lang w:val="en-GB"/>
        </w:rPr>
        <w:fldChar w:fldCharType="separate"/>
      </w:r>
      <w:r w:rsidR="00426B19" w:rsidRPr="00426B19">
        <w:rPr>
          <w:noProof/>
          <w:vertAlign w:val="superscript"/>
          <w:lang w:val="en-GB"/>
        </w:rPr>
        <w:t>378–381</w:t>
      </w:r>
      <w:r w:rsidR="000A31BF" w:rsidRPr="0082680A">
        <w:rPr>
          <w:lang w:val="en-GB"/>
        </w:rPr>
        <w:fldChar w:fldCharType="end"/>
      </w:r>
      <w:r w:rsidRPr="0082680A">
        <w:rPr>
          <w:lang w:val="en-GB"/>
        </w:rPr>
        <w:t xml:space="preserve">. Treatments for both conditions are the same, with the administration of NSAIDS, DMARDS, corticosteroids, and TNF-alpha inhibitors. Risk genes for psoriatic arthritis are still being uncovered, however a number of loci have been identified in </w:t>
      </w:r>
      <w:r w:rsidRPr="0082680A">
        <w:rPr>
          <w:i/>
          <w:lang w:val="en-GB"/>
        </w:rPr>
        <w:t xml:space="preserve">HLA </w:t>
      </w:r>
      <w:r w:rsidRPr="0082680A">
        <w:rPr>
          <w:lang w:val="en-GB"/>
        </w:rPr>
        <w:t>and interleukin</w:t>
      </w:r>
      <w:r w:rsidRPr="0082680A">
        <w:rPr>
          <w:i/>
          <w:lang w:val="en-GB"/>
        </w:rPr>
        <w:t xml:space="preserve"> </w:t>
      </w:r>
      <w:r w:rsidRPr="0082680A">
        <w:rPr>
          <w:lang w:val="en-GB"/>
        </w:rPr>
        <w:t xml:space="preserve">genes.   </w:t>
      </w:r>
    </w:p>
    <w:p w14:paraId="2AD8339B" w14:textId="77777777" w:rsidR="00381BB6" w:rsidRPr="0082680A" w:rsidRDefault="00381BB6" w:rsidP="00842FD0">
      <w:pPr>
        <w:pStyle w:val="Heading4"/>
        <w:rPr>
          <w:lang w:val="en-GB"/>
        </w:rPr>
      </w:pPr>
      <w:bookmarkStart w:id="306" w:name="_r4ryzsc5q0eh" w:colFirst="0" w:colLast="0"/>
      <w:bookmarkStart w:id="307" w:name="_Toc3211420"/>
      <w:bookmarkEnd w:id="306"/>
      <w:r w:rsidRPr="0082680A">
        <w:rPr>
          <w:lang w:val="en-GB"/>
        </w:rPr>
        <w:t>Ankylosing Spondylitis</w:t>
      </w:r>
      <w:bookmarkEnd w:id="307"/>
    </w:p>
    <w:p w14:paraId="4340941B" w14:textId="69837AC8" w:rsidR="00381BB6" w:rsidRPr="0082680A" w:rsidRDefault="00381BB6" w:rsidP="00381BB6">
      <w:pPr>
        <w:rPr>
          <w:lang w:val="en-GB"/>
        </w:rPr>
      </w:pPr>
      <w:r w:rsidRPr="0082680A">
        <w:rPr>
          <w:lang w:val="en-GB"/>
        </w:rPr>
        <w:t xml:space="preserve">Unlike RA or PA, ankylosing spondylitis (AS) is an autoimmune condition in which the spine is predominantly affected, though in some cases shoulder and hip joints are also affected </w:t>
      </w:r>
      <w:r w:rsidR="00332391" w:rsidRPr="0082680A">
        <w:rPr>
          <w:lang w:val="en-GB"/>
        </w:rPr>
        <w:fldChar w:fldCharType="begin" w:fldLock="1"/>
      </w:r>
      <w:r w:rsidR="000507BA">
        <w:rPr>
          <w:lang w:val="en-GB"/>
        </w:rPr>
        <w:instrText>ADDIN CSL_CITATION {"citationItems":[{"id":"ITEM-1","itemData":{"author":[{"dropping-particle":"","family":"Braun","given":"Jürgen","non-dropping-particle":"","parse-names":false,"suffix":""},{"dropping-particle":"","family":"Sieper","given":"Joachim","non-dropping-particle":"","parse-names":false,"suffix":""}],"container-title":"www.thelancet.com","id":"ITEM-1","issued":{"date-parts":[["2007"]]},"title":"Ankylosing spondylitis","type":"report","volume":"369"},"uris":["http://www.mendeley.com/documents/?uuid=a592f967-a526-4a57-8ad4-7bbe435488d7"]}],"mendeley":{"formattedCitation":"&lt;sup&gt;382&lt;/sup&gt;","plainTextFormattedCitation":"382","previouslyFormattedCitation":"&lt;sup&gt;382&lt;/sup&gt;"},"properties":{"noteIndex":0},"schema":"https://github.com/citation-style-language/schema/raw/master/csl-citation.json"}</w:instrText>
      </w:r>
      <w:r w:rsidR="00332391" w:rsidRPr="0082680A">
        <w:rPr>
          <w:lang w:val="en-GB"/>
        </w:rPr>
        <w:fldChar w:fldCharType="separate"/>
      </w:r>
      <w:r w:rsidR="00426B19" w:rsidRPr="00426B19">
        <w:rPr>
          <w:noProof/>
          <w:vertAlign w:val="superscript"/>
          <w:lang w:val="en-GB"/>
        </w:rPr>
        <w:t>382</w:t>
      </w:r>
      <w:r w:rsidR="00332391" w:rsidRPr="0082680A">
        <w:rPr>
          <w:lang w:val="en-GB"/>
        </w:rPr>
        <w:fldChar w:fldCharType="end"/>
      </w:r>
      <w:r w:rsidRPr="0082680A">
        <w:rPr>
          <w:lang w:val="en-GB"/>
        </w:rPr>
        <w:t xml:space="preserve">. Peak onset of AS is between 20 and 30 years of age, when the individual will experience a stiff, aching lower back </w:t>
      </w:r>
      <w:r w:rsidR="00332391" w:rsidRPr="0082680A">
        <w:rPr>
          <w:lang w:val="en-GB"/>
        </w:rPr>
        <w:fldChar w:fldCharType="begin" w:fldLock="1"/>
      </w:r>
      <w:r w:rsidR="000507BA">
        <w:rPr>
          <w:lang w:val="en-GB"/>
        </w:rPr>
        <w:instrText>ADDIN CSL_CITATION {"citationItems":[{"id":"ITEM-1","itemData":{"ISSN":"0315-162X","PMID":"11669170","abstract":"OBJECTIVE Ankylosing spondylitis (AS) is a chronic inflammatory disorder with symptom onset generally occurring in the late teens/mid-twenties. In women, a younger age at onset enhances disease susceptibility in the next generation. We examined the influence of age at symptom onset on phenotypic expression. METHODS Patients were divided into cohorts according to age of symptom onset. The primary outcome measure was radiological progression (by Bath AS Radiology Index, BASRI). Secondary measures were disease activity (Bath AS Disease Activity Index, BASDAI), function (Bath AS Functional Index, BASFI), numbers undergoing AS related surgery, and percentage with secondary disorders. RESULTS Age at onset had no significant effect on radiological progression (young onset vs late onset, 8.0, 8.6, respectively) disease activity (young vs late, 4.4, 4.4), need for non-hip surgical intervention (9%, 8%, respectively), or prevalence of secondary disorders (iritis, 40%, 41%; psoriasis, 20%, 19%; inflammatory bowel disease, 7.5%, 8.9%). By contrast, there was a striking increase in prevalence of total hip replacement in those with juvenile onset (18%, 8%, respectively; p &lt; 0.001). Regardless of age at onset, spinal progression determined radiologically was greater in those with hip arthritis compared to those without (young onset hip involvement vs non-hip involvement, 9.7 (2.4), 7.2 (3.0) (p &lt; 0.001); late onset hip involvement vs non-hip involvement, 10.1 (2.5), 7.1 (3.0), respectively]. Function deteriorates with age (young onset vs late onset, 3.7, 4.5, respectively; p &lt; 0.01). CONCLUSION (1) Hip disease (young or late onset) is a major prognostic marker for longterm severe disease (patients with hip disease have a spinal score increased by 2.5-3 points or 35-40% more change). (2) Hip involvement is more prevalent among patients with young age at onset. (3) Young onset patients without hip involvement do not have more severe disease. Thus, age at onset, itself, does not influence disease severity. (4) Since hip involvement and not age at onset is associated with worse outcome, patients with a young age at onset may be assumed to have an increased susceptibility load (i.e., genetic component or environmental trigger) rather than more severity genes. The lack of association between severity and age at onset implies that the determinants of susceptibility and severity are independent.","author":[{"dropping-particle":"","family":"Brophy","given":"S","non-dropping-particle":"","parse-names":false,"suffix":""},{"dropping-particle":"","family":"Calin","given":"A","non-dropping-particle":"","parse-names":false,"suffix":""}],"container-title":"The Journal of rheumatology","id":"ITEM-1","issue":"10","issued":{"date-parts":[["2001","10"]]},"page":"2283-8","title":"Ankylosing spondylitis: interaction between genes, joints, age at onset, and disease expression.","type":"article-journal","volume":"28"},"uris":["http://www.mendeley.com/documents/?uuid=d41e3dc1-e354-3e54-91b0-5afac49f6aaf"]}],"mendeley":{"formattedCitation":"&lt;sup&gt;383&lt;/sup&gt;","plainTextFormattedCitation":"383","previouslyFormattedCitation":"&lt;sup&gt;383&lt;/sup&gt;"},"properties":{"noteIndex":0},"schema":"https://github.com/citation-style-language/schema/raw/master/csl-citation.json"}</w:instrText>
      </w:r>
      <w:r w:rsidR="00332391" w:rsidRPr="0082680A">
        <w:rPr>
          <w:lang w:val="en-GB"/>
        </w:rPr>
        <w:fldChar w:fldCharType="separate"/>
      </w:r>
      <w:r w:rsidR="00426B19" w:rsidRPr="00426B19">
        <w:rPr>
          <w:noProof/>
          <w:vertAlign w:val="superscript"/>
          <w:lang w:val="en-GB"/>
        </w:rPr>
        <w:t>383</w:t>
      </w:r>
      <w:r w:rsidR="00332391" w:rsidRPr="0082680A">
        <w:rPr>
          <w:lang w:val="en-GB"/>
        </w:rPr>
        <w:fldChar w:fldCharType="end"/>
      </w:r>
      <w:r w:rsidRPr="0082680A">
        <w:rPr>
          <w:lang w:val="en-GB"/>
        </w:rPr>
        <w:t xml:space="preserve">. AS can, however occur in any part of the spine </w:t>
      </w:r>
      <w:r w:rsidR="00AD68DB" w:rsidRPr="0082680A">
        <w:rPr>
          <w:lang w:val="en-GB"/>
        </w:rPr>
        <w:fldChar w:fldCharType="begin" w:fldLock="1"/>
      </w:r>
      <w:r w:rsidR="000507BA">
        <w:rPr>
          <w:lang w:val="en-GB"/>
        </w:rPr>
        <w:instrText>ADDIN CSL_CITATION {"citationItems":[{"id":"ITEM-1","itemData":{"author":[{"dropping-particle":"","family":"Braun","given":"Jürgen","non-dropping-particle":"","parse-names":false,"suffix":""},{"dropping-particle":"","family":"Sieper","given":"Joachim","non-dropping-particle":"","parse-names":false,"suffix":""}],"container-title":"www.thelancet.com","id":"ITEM-1","issued":{"date-parts":[["2007"]]},"title":"Ankylosing spondylitis","type":"report","volume":"369"},"uris":["http://www.mendeley.com/documents/?uuid=a592f967-a526-4a57-8ad4-7bbe435488d7"]}],"mendeley":{"formattedCitation":"&lt;sup&gt;382&lt;/sup&gt;","plainTextFormattedCitation":"382","previouslyFormattedCitation":"&lt;sup&gt;382&lt;/sup&gt;"},"properties":{"noteIndex":0},"schema":"https://github.com/citation-style-language/schema/raw/master/csl-citation.json"}</w:instrText>
      </w:r>
      <w:r w:rsidR="00AD68DB" w:rsidRPr="0082680A">
        <w:rPr>
          <w:lang w:val="en-GB"/>
        </w:rPr>
        <w:fldChar w:fldCharType="separate"/>
      </w:r>
      <w:r w:rsidR="00426B19" w:rsidRPr="00426B19">
        <w:rPr>
          <w:noProof/>
          <w:vertAlign w:val="superscript"/>
          <w:lang w:val="en-GB"/>
        </w:rPr>
        <w:t>382</w:t>
      </w:r>
      <w:r w:rsidR="00AD68DB" w:rsidRPr="0082680A">
        <w:rPr>
          <w:lang w:val="en-GB"/>
        </w:rPr>
        <w:fldChar w:fldCharType="end"/>
      </w:r>
      <w:r w:rsidRPr="0082680A">
        <w:rPr>
          <w:lang w:val="en-GB"/>
        </w:rPr>
        <w:t xml:space="preserve">. Pathogenesis of AS contains classic markers of arthritis; influx of white blood cells into the synovium, TNF-alpha response, and increased osteoclast activity </w:t>
      </w:r>
      <w:r w:rsidR="00AD68DB" w:rsidRPr="0082680A">
        <w:rPr>
          <w:lang w:val="en-GB"/>
        </w:rPr>
        <w:fldChar w:fldCharType="begin" w:fldLock="1"/>
      </w:r>
      <w:r w:rsidR="000507BA">
        <w:rPr>
          <w:lang w:val="en-GB"/>
        </w:rPr>
        <w:instrText>ADDIN CSL_CITATION {"citationItems":[{"id":"ITEM-1","itemData":{"author":[{"dropping-particle":"","family":"Braun","given":"Jürgen","non-dropping-particle":"","parse-names":false,"suffix":""},{"dropping-particle":"","family":"Sieper","given":"Joachim","non-dropping-particle":"","parse-names":false,"suffix":""}],"container-title":"www.thelancet.com","id":"ITEM-1","issued":{"date-parts":[["2007"]]},"title":"Ankylosing spondylitis","type":"report","volume":"369"},"uris":["http://www.mendeley.com/documents/?uuid=a592f967-a526-4a57-8ad4-7bbe435488d7"]},{"id":"ITEM-2","itemData":{"DOI":"10.1016/0140-6736(93)91760-J","ISSN":"0140-6736","abstract":"Ankylosing spondylitis and seronegative spondylarthropathies such as Reiter's syndrome and reactive arthritis are strongly associated with HLA-B27. However, the mechanisms by which HLA-B27 is involved in disease susceptibility and pathogenesis are unknown. If the disease association is a consequence of HLA-B27's physiological function in antigen presentation, the disease should be mediated by cytotoxic T lymphocytes (CTLs) that recognise bacterial or self peptides presented by HLA-B27. Proof of this arthritogenic peptide model requires isolation of B27-restricted CD8 T cells from arthritic joints of patients with spondylarthropathies. An important question is whether \"arthritogenic\" bacteria such as yersinia or salmonella can generate HLA-B27-restricted bacteria-specific CTLs. We describe such HLA-B27-restricted CTLs. We tested a panel of 354 αβ-TCR CD8 T lymphocyte clones (TLCs) that had been derived from the synovial fluid of 4 patients with reactive arthritis and 2 patients with ankylosing spondylitis. In 1 patient with yersinia-induced arthritis, 2 TLCs were identified that killed specifically yersinia-infected B27 target cells. In another patient with salmonella-induced arthritis, 1 B27-restricted CD8 TLC that recognised both salmonella and yersinia was identified. In 5 of the 6 patients autoreactive CTLs were found, 5 of which showed B27-restricted killing of uninfected cell lines. 827-restricted CTLs with specificity for arthritogenic bacteria or autoantigens provide a missing link in the pathogenesis of the HLA-B27-associated spondylarthropathies.","author":[{"dropping-particle":"","family":"Hermann","given":"E.","non-dropping-particle":"","parse-names":false,"suffix":""},{"dropping-particle":"","family":"Meyer zum Büschenfelde","given":"K-H.","non-dropping-particle":"","parse-names":false,"suffix":""},{"dropping-particle":"","family":"Fleischer","given":"B.","non-dropping-particle":"","parse-names":false,"suffix":""},{"dropping-particle":"","family":"Yu","given":"D.T.Y.","non-dropping-particle":"","parse-names":false,"suffix":""}],"container-title":"The Lancet","id":"ITEM-2","issue":"8872","issued":{"date-parts":[["1993","9","11"]]},"page":"646-650","publisher":"Elsevier","title":"HLA-B27-restricted CD8 T cells derived from synovial fluids of patients with reactive arthritis and ankylosing spondylitis","type":"article-journal","volume":"342"},"uris":["http://www.mendeley.com/documents/?uuid=0e097908-c8a9-3de4-8bc8-cb51f0b352e9"]},{"id":"ITEM-3","itemData":{"abstract":"Objectives-To compare serum markers of bone formation with the urinary excretion of pyridinium crosslinks (PYR) as a possible measure of bone and cartilage degradation which would detect changes in bone metabolism in patients with ankylosing spondylitis (AS) and to relate them to influences of in-flammatory disease activity, and to treatment. Methods-In 62 patients with AS, serum osteocalcin, alkaline phosphatase (ALP), and skeletal ALP isoenzyme levels were evaluated concurrently in comparison with urinary excretion ofpyridinium cross links and were compared with values in 50 healthy controls. Results-Osteocalcin concentrations in AS patients were in the middle normal range (3-5 (SD 1.2) ng/ml) and did not differ significantly from those in control subjects (4.2 (1.3) ng/ml); the same was true for ALP and skeletal ALP isoenzyme fraction (AS: ALP 149 (50.3) U/l, skeletal ALP 12*8 (4-1) ,ug/l; controls: ALP 133 (25.2) U/l, skeletal ALP 11 9 (4-3) p,g/l). The urinary levels of PYR in AS (51-2 (25.2) nmol PYR/mmol creatinine) were significantly increased compared with controls (33.9 (12.4) nmol PYR/mmol creatinine (p&lt;0.001)). In the AS group there was a positive correlation between urinary excretion of PYR and inflam-matory disease activity (erythrocyte sedimentation rate (ESR)) (r = 0*6, p &lt; 0 0001) and C reactive protein (CRP) (r = 0*3, p = 0.02), but no significant correlation was found with ESR, CRP, and markers ofbone formation. Conclusions-Bone metabolism in patients with AS is characterised by normal bone formation and enhanced cartilage/bone degradation, suggesting that impaired bone turnover is pronounced in active disease. The results clearly indicate that this comparison can be used to demonstrate impairment of cartilage/bone metabolism which correlates with disease activity. The data obtained further emphasise the importance of measuring both serum variables and urinary excretion of PYR cross-links to obtain adequate evaluation of cartilage/bone metabolism in patients with AS.","author":[{"dropping-particle":"","family":"Marhoffer","given":"Wilhelm","non-dropping-particle":"","parse-names":false,"suffix":""},{"dropping-particle":"","family":"Stracke","given":"Hilmar","non-dropping-particle":"","parse-names":false,"suffix":""},{"dropping-particle":"","family":"Masoud","given":"Ibrahim","non-dropping-particle":"","parse-names":false,"suffix":""},{"dropping-particle":"","family":"Scheja","given":"Monika","non-dropping-particle":"","parse-names":false,"suffix":""},{"dropping-particle":"","family":"Graef","given":"Volkmar","non-dropping-particle":"","parse-names":false,"suffix":""},{"dropping-particle":"","family":"Bolten","given":"Wolfgang","non-dropping-particle":"","parse-names":false,"suffix":""},{"dropping-particle":"","family":"Federlin","given":"Konrad","non-dropping-particle":"","parse-names":false,"suffix":""}],"container-title":"Annals of the Rheumatic Diseases","id":"ITEM-3","issued":{"date-parts":[["1995"]]},"number-of-pages":"556-559","title":"Evidence of impaired cartilage/bone turnover in patients with active ankylosing spondylitis","type":"report","volume":"54"},"uris":["http://www.mendeley.com/documents/?uuid=4d031754-df93-3279-aae8-d62af1d0c647"]}],"mendeley":{"formattedCitation":"&lt;sup&gt;382,384,385&lt;/sup&gt;","plainTextFormattedCitation":"382,384,385","previouslyFormattedCitation":"&lt;sup&gt;382,384,385&lt;/sup&gt;"},"properties":{"noteIndex":0},"schema":"https://github.com/citation-style-language/schema/raw/master/csl-citation.json"}</w:instrText>
      </w:r>
      <w:r w:rsidR="00AD68DB" w:rsidRPr="0082680A">
        <w:rPr>
          <w:lang w:val="en-GB"/>
        </w:rPr>
        <w:fldChar w:fldCharType="separate"/>
      </w:r>
      <w:r w:rsidR="00426B19" w:rsidRPr="00426B19">
        <w:rPr>
          <w:noProof/>
          <w:vertAlign w:val="superscript"/>
          <w:lang w:val="en-GB"/>
        </w:rPr>
        <w:t>382,384,385</w:t>
      </w:r>
      <w:r w:rsidR="00AD68DB" w:rsidRPr="0082680A">
        <w:rPr>
          <w:lang w:val="en-GB"/>
        </w:rPr>
        <w:fldChar w:fldCharType="end"/>
      </w:r>
      <w:r w:rsidRPr="0082680A">
        <w:rPr>
          <w:lang w:val="en-GB"/>
        </w:rPr>
        <w:t xml:space="preserve">. In AS there is a strong association with the antigen HLA-B27, which is shared to a lesser extent with psoriatic arthritis, inflammatory bowel disease, and reactive arthritis </w:t>
      </w:r>
      <w:r w:rsidR="00C077F7" w:rsidRPr="0082680A">
        <w:rPr>
          <w:lang w:val="en-GB"/>
        </w:rPr>
        <w:fldChar w:fldCharType="begin" w:fldLock="1"/>
      </w:r>
      <w:r w:rsidR="000507BA">
        <w:rPr>
          <w:lang w:val="en-GB"/>
        </w:rPr>
        <w:instrText>ADDIN CSL_CITATION {"citationItems":[{"id":"ITEM-1","itemData":{"author":[{"dropping-particle":"","family":"Braun","given":"Jürgen","non-dropping-particle":"","parse-names":false,"suffix":""},{"dropping-particle":"","family":"Sieper","given":"Joachim","non-dropping-particle":"","parse-names":false,"suffix":""}],"container-title":"www.thelancet.com","id":"ITEM-1","issued":{"date-parts":[["2007"]]},"title":"Ankylosing spondylitis","type":"report","volume":"369"},"uris":["http://www.mendeley.com/documents/?uuid=a592f967-a526-4a57-8ad4-7bbe435488d7"]}],"mendeley":{"formattedCitation":"&lt;sup&gt;382&lt;/sup&gt;","plainTextFormattedCitation":"382","previouslyFormattedCitation":"&lt;sup&gt;382&lt;/sup&gt;"},"properties":{"noteIndex":0},"schema":"https://github.com/citation-style-language/schema/raw/master/csl-citation.json"}</w:instrText>
      </w:r>
      <w:r w:rsidR="00C077F7" w:rsidRPr="0082680A">
        <w:rPr>
          <w:lang w:val="en-GB"/>
        </w:rPr>
        <w:fldChar w:fldCharType="separate"/>
      </w:r>
      <w:r w:rsidR="00426B19" w:rsidRPr="00426B19">
        <w:rPr>
          <w:noProof/>
          <w:vertAlign w:val="superscript"/>
          <w:lang w:val="en-GB"/>
        </w:rPr>
        <w:t>382</w:t>
      </w:r>
      <w:r w:rsidR="00C077F7" w:rsidRPr="0082680A">
        <w:rPr>
          <w:lang w:val="en-GB"/>
        </w:rPr>
        <w:fldChar w:fldCharType="end"/>
      </w:r>
      <w:r w:rsidRPr="0082680A">
        <w:rPr>
          <w:lang w:val="en-GB"/>
        </w:rPr>
        <w:t xml:space="preserve">. Over 90% of AS patients are HLA-B27 positive </w:t>
      </w:r>
      <w:r w:rsidR="00C077F7" w:rsidRPr="0082680A">
        <w:rPr>
          <w:lang w:val="en-GB"/>
        </w:rPr>
        <w:fldChar w:fldCharType="begin" w:fldLock="1"/>
      </w:r>
      <w:r w:rsidR="000507BA">
        <w:rPr>
          <w:lang w:val="en-GB"/>
        </w:rPr>
        <w:instrText>ADDIN CSL_CITATION {"citationItems":[{"id":"ITEM-1","itemData":{"DOI":"10.1016/S0140-6736(73)91360-3","ISSN":"0140-6736","abstract":"Using a standard microcytotoxicity technique of tissue typing, the HL-A 27 antigen was identified in 72 out of 75 patients with classical ankylosing spondylitis and in 3 out of 75 controls. The same antigen was found in 31 out of 60 first-degree relatives.","author":[{"dropping-particle":"","family":"Brewerton","given":"D.A.","non-dropping-particle":"","parse-names":false,"suffix":""},{"dropping-particle":"","family":"Hart","given":"F.D.","non-dropping-particle":"","parse-names":false,"suffix":""},{"dropping-particle":"","family":"Nicholls","given":"Anne","non-dropping-particle":"","parse-names":false,"suffix":""},{"dropping-particle":"","family":"Caffrey","given":"Maeve","non-dropping-particle":"","parse-names":false,"suffix":""},{"dropping-particle":"","family":"James","given":"D.C.O.","non-dropping-particle":"","parse-names":false,"suffix":""},{"dropping-particle":"","family":"Sturrock","given":"R.D.","non-dropping-particle":"","parse-names":false,"suffix":""}],"container-title":"The Lancet","id":"ITEM-1","issue":"7809","issued":{"date-parts":[["1973","4","28"]]},"page":"904-907","publisher":"Elsevier","title":"Ankylosing Spondylitis and HL-A 27","type":"article-journal","volume":"301"},"uris":["http://www.mendeley.com/documents/?uuid=685a88b6-2d37-3bc1-83d9-89ea64b6b478"]}],"mendeley":{"formattedCitation":"&lt;sup&gt;386&lt;/sup&gt;","plainTextFormattedCitation":"386","previouslyFormattedCitation":"&lt;sup&gt;386&lt;/sup&gt;"},"properties":{"noteIndex":0},"schema":"https://github.com/citation-style-language/schema/raw/master/csl-citation.json"}</w:instrText>
      </w:r>
      <w:r w:rsidR="00C077F7" w:rsidRPr="0082680A">
        <w:rPr>
          <w:lang w:val="en-GB"/>
        </w:rPr>
        <w:fldChar w:fldCharType="separate"/>
      </w:r>
      <w:r w:rsidR="00426B19" w:rsidRPr="00426B19">
        <w:rPr>
          <w:noProof/>
          <w:vertAlign w:val="superscript"/>
          <w:lang w:val="en-GB"/>
        </w:rPr>
        <w:t>386</w:t>
      </w:r>
      <w:r w:rsidR="00C077F7" w:rsidRPr="0082680A">
        <w:rPr>
          <w:lang w:val="en-GB"/>
        </w:rPr>
        <w:fldChar w:fldCharType="end"/>
      </w:r>
      <w:r w:rsidRPr="0082680A">
        <w:rPr>
          <w:lang w:val="en-GB"/>
        </w:rPr>
        <w:t xml:space="preserve">. AS associates with other risk variants, including those in interleukin and TNF genes </w:t>
      </w:r>
      <w:r w:rsidR="00C077F7" w:rsidRPr="0082680A">
        <w:rPr>
          <w:lang w:val="en-GB"/>
        </w:rPr>
        <w:fldChar w:fldCharType="begin" w:fldLock="1"/>
      </w:r>
      <w:r w:rsidR="000507BA">
        <w:rPr>
          <w:lang w:val="en-GB"/>
        </w:rPr>
        <w:instrText>ADDIN CSL_CITATION {"citationItems":[{"id":"ITEM-1","itemData":{"DOI":"10.1016/J.MOLIMM.2013.06.013","ISSN":"0161-5890","abstract":"Ankylosing spondylitis (AS) is a chronic inflammatory arthritis that affects the spine and sacroiliac joints. It causes significant disability and is associated with a number of other features including peripheral arthritis, anterior uveitis, psoriasis and inflammatory bowel disease (IBD). Significant progress has been made in the genetics of AS have in the last five years, leading to new treatments in trial, and major leaps in understanding of the aetiopathogenesis of the disease.","author":[{"dropping-particle":"","family":"Robinson","given":"Philip C.","non-dropping-particle":"","parse-names":false,"suffix":""},{"dropping-particle":"","family":"Brown","given":"Matthew A.","non-dropping-particle":"","parse-names":false,"suffix":""}],"container-title":"Molecular Immunology","id":"ITEM-1","issue":"1","issued":{"date-parts":[["2014","1","1"]]},"page":"2-11","publisher":"Pergamon","title":"Genetics of ankylosing spondylitis","type":"article-journal","volume":"57"},"uris":["http://www.mendeley.com/documents/?uuid=0e14077d-36e0-3db0-a8e2-58456d2d15b5"]}],"mendeley":{"formattedCitation":"&lt;sup&gt;387&lt;/sup&gt;","plainTextFormattedCitation":"387","previouslyFormattedCitation":"&lt;sup&gt;387&lt;/sup&gt;"},"properties":{"noteIndex":0},"schema":"https://github.com/citation-style-language/schema/raw/master/csl-citation.json"}</w:instrText>
      </w:r>
      <w:r w:rsidR="00C077F7" w:rsidRPr="0082680A">
        <w:rPr>
          <w:lang w:val="en-GB"/>
        </w:rPr>
        <w:fldChar w:fldCharType="separate"/>
      </w:r>
      <w:r w:rsidR="00426B19" w:rsidRPr="00426B19">
        <w:rPr>
          <w:noProof/>
          <w:vertAlign w:val="superscript"/>
          <w:lang w:val="en-GB"/>
        </w:rPr>
        <w:t>387</w:t>
      </w:r>
      <w:r w:rsidR="00C077F7" w:rsidRPr="0082680A">
        <w:rPr>
          <w:lang w:val="en-GB"/>
        </w:rPr>
        <w:fldChar w:fldCharType="end"/>
      </w:r>
      <w:r w:rsidR="00C077F7" w:rsidRPr="0082680A">
        <w:rPr>
          <w:lang w:val="en-GB"/>
        </w:rPr>
        <w:t>.</w:t>
      </w:r>
    </w:p>
    <w:p w14:paraId="1F7E9EA3" w14:textId="77777777" w:rsidR="00381BB6" w:rsidRPr="0082680A" w:rsidRDefault="00381BB6" w:rsidP="00842FD0">
      <w:pPr>
        <w:pStyle w:val="Heading4"/>
        <w:rPr>
          <w:lang w:val="en-GB"/>
        </w:rPr>
      </w:pPr>
      <w:bookmarkStart w:id="308" w:name="_c87a5oi2seqh" w:colFirst="0" w:colLast="0"/>
      <w:bookmarkStart w:id="309" w:name="_Toc3211421"/>
      <w:bookmarkEnd w:id="308"/>
      <w:r w:rsidRPr="0082680A">
        <w:rPr>
          <w:lang w:val="en-GB"/>
        </w:rPr>
        <w:t>Juvenile Idiopathic Arthritis</w:t>
      </w:r>
      <w:bookmarkEnd w:id="309"/>
    </w:p>
    <w:p w14:paraId="579889FC" w14:textId="5D043F9C" w:rsidR="00381BB6" w:rsidRPr="0082680A" w:rsidRDefault="00381BB6" w:rsidP="00381BB6">
      <w:pPr>
        <w:rPr>
          <w:lang w:val="en-GB"/>
        </w:rPr>
      </w:pPr>
      <w:r w:rsidRPr="0082680A">
        <w:rPr>
          <w:lang w:val="en-GB"/>
        </w:rPr>
        <w:t xml:space="preserve">Juvenile idiopathic arthritis (JIA) is reminiscent of rheumatoid arthritis in its </w:t>
      </w:r>
      <w:proofErr w:type="gramStart"/>
      <w:r w:rsidRPr="0082680A">
        <w:rPr>
          <w:lang w:val="en-GB"/>
        </w:rPr>
        <w:t>presentation, but</w:t>
      </w:r>
      <w:proofErr w:type="gramEnd"/>
      <w:r w:rsidRPr="0082680A">
        <w:rPr>
          <w:lang w:val="en-GB"/>
        </w:rPr>
        <w:t xml:space="preserve"> is isolated to children and young adults under the age of 16. Symptom onset tends to be between 1 and 6 years of age, with the child presenting with limping, high temperature, and joint swelling </w:t>
      </w:r>
      <w:r w:rsidR="00044BE3" w:rsidRPr="0082680A">
        <w:rPr>
          <w:lang w:val="en-GB"/>
        </w:rPr>
        <w:fldChar w:fldCharType="begin" w:fldLock="1"/>
      </w:r>
      <w:r w:rsidR="000507BA">
        <w:rPr>
          <w:lang w:val="en-GB"/>
        </w:rPr>
        <w:instrText>ADDIN CSL_CITATION {"citationItems":[{"id":"ITEM-1","itemData":{"DOI":"10.1016/S0140-6736(11)60244-4","ISSN":"0140-6736","abstract":"Juvenile idiopathic arthritis is a heterogeneous group of diseases characterised by arthritis of unknown origin with onset before age of 16 years. Pivotal studies in the past 5 years have led to substantial progress in various areas, ranging from disease classification to new treatments. Gene expression profiling studies have identified different immune mechanisms in distinct subtypes of the disease, and can help to redefine disease classification criteria. Moreover, immunological studies have shown that systemic juvenile idiopathic arthritis is an acquired autoinflammatory disease, and have led to successful studies of both interleukin-1 and interleukin-6 blockade. In other forms of the disease, synovial inflammation is the consequence of a disturbed balance between proinflammatory effector cells (such as T-helper-17 cells), and anti-inflammatory regulatory cells (such as FOXP3-positive regulatory T cells). Moreover, specific soluble biomarkers (S100 proteins) can guide individual treatment. Altogether these new developments in genetics, immunology, and imaging are instrumental to better define, classify, and treat patients with juvenile idiopathic arthritis.","author":[{"dropping-particle":"","family":"Prakken","given":"Berent","non-dropping-particle":"","parse-names":false,"suffix":""},{"dropping-particle":"","family":"Albani","given":"Salvatore","non-dropping-particle":"","parse-names":false,"suffix":""},{"dropping-particle":"","family":"Martini","given":"Alberto","non-dropping-particle":"","parse-names":false,"suffix":""}],"container-title":"The Lancet","id":"ITEM-1","issue":"9783","issued":{"date-parts":[["2011","6","18"]]},"page":"2138-2149","publisher":"Elsevier","title":"Juvenile idiopathic arthritis","type":"article-journal","volume":"377"},"uris":["http://www.mendeley.com/documents/?uuid=7c76e638-3746-3c19-be54-43ec2f4485de"]}],"mendeley":{"formattedCitation":"&lt;sup&gt;388&lt;/sup&gt;","plainTextFormattedCitation":"388","previouslyFormattedCitation":"&lt;sup&gt;388&lt;/sup&gt;"},"properties":{"noteIndex":0},"schema":"https://github.com/citation-style-language/schema/raw/master/csl-citation.json"}</w:instrText>
      </w:r>
      <w:r w:rsidR="00044BE3" w:rsidRPr="0082680A">
        <w:rPr>
          <w:lang w:val="en-GB"/>
        </w:rPr>
        <w:fldChar w:fldCharType="separate"/>
      </w:r>
      <w:r w:rsidR="00426B19" w:rsidRPr="00426B19">
        <w:rPr>
          <w:noProof/>
          <w:vertAlign w:val="superscript"/>
          <w:lang w:val="en-GB"/>
        </w:rPr>
        <w:t>388</w:t>
      </w:r>
      <w:r w:rsidR="00044BE3" w:rsidRPr="0082680A">
        <w:rPr>
          <w:lang w:val="en-GB"/>
        </w:rPr>
        <w:fldChar w:fldCharType="end"/>
      </w:r>
      <w:r w:rsidRPr="0082680A">
        <w:rPr>
          <w:lang w:val="en-GB"/>
        </w:rPr>
        <w:t xml:space="preserve">. Affected joints include hands, wrists, knees, spine, shoulders, hips and jaw. JIA patients may also present with </w:t>
      </w:r>
      <w:r w:rsidR="00263B1E" w:rsidRPr="0082680A">
        <w:rPr>
          <w:lang w:val="en-GB"/>
        </w:rPr>
        <w:t>anterior uveitis</w:t>
      </w:r>
      <w:r w:rsidRPr="0082680A">
        <w:rPr>
          <w:lang w:val="en-GB"/>
        </w:rPr>
        <w:t xml:space="preserve"> - inflammation of the anterior chamber and iris of the eye </w:t>
      </w:r>
      <w:r w:rsidR="00520F9A" w:rsidRPr="0082680A">
        <w:rPr>
          <w:lang w:val="en-GB"/>
        </w:rPr>
        <w:fldChar w:fldCharType="begin" w:fldLock="1"/>
      </w:r>
      <w:r w:rsidR="000507BA">
        <w:rPr>
          <w:lang w:val="en-GB"/>
        </w:rPr>
        <w:instrText>ADDIN CSL_CITATION {"citationItems":[{"id":"ITEM-1","itemData":{"DOI":"10.1093/rheumatology/kem053","ISSN":"1462-0324","author":[{"dropping-particle":"","family":"Heiligenhaus","given":"A.","non-dropping-particle":"","parse-names":false,"suffix":""},{"dropping-particle":"","family":"Niewerth","given":"M.","non-dropping-particle":"","parse-names":false,"suffix":""},{"dropping-particle":"","family":"Ganser","given":"G.","non-dropping-particle":"","parse-names":false,"suffix":""},{"dropping-particle":"","family":"Heinz","given":"C.","non-dropping-particle":"","parse-names":false,"suffix":""},{"dropping-particle":"","family":"Minden","given":"K.","non-dropping-particle":"","parse-names":false,"suffix":""}],"container-title":"Rheumatology","id":"ITEM-1","issue":"6","issued":{"date-parts":[["2007","3","27"]]},"page":"1015-1019","publisher":"Oxford University Press","title":"Prevalence and complications of uveitis in juvenile idiopathic arthritis in a population-based nation-wide study in Germany: suggested modification of the current screening guidelines","type":"article-journal","volume":"46"},"uris":["http://www.mendeley.com/documents/?uuid=6e8c75da-01b8-3952-a193-9bb129bc9be2"]},{"id":"ITEM-2","itemData":{"DOI":"10.1016/J.AJO.2007.01.033","ISSN":"0002-9394","abstract":"PURPOSE\nTo estimate the incidences of ocular complications and vision loss in patients with juvenile idiopathic arthritis (JIA)-associated uveitis, to describe risk factors for vision loss, and to describe the association between therapy and complications and vision loss. \n\nDESIGN\nRetrospective cohort study. \n\nMETHODS\nsetting: Single-center, academic practice. study population: A total of 75 patients with JIA-associated uveitis evaluated between July 1984 and August 2005. procedures: Clinical data on these patients were analyzed. outcome measures: Occurrence of ocular complications and visions of 20/50 or worse and 20/200 or worse. \n\nRESULTS\nOver a median follow-up of three years, the incidence of any ocular complication was 0.33/eye-year (EY). Rates of vision loss to 20/50 or worse and 20/200 or worse were 0.10/EY and 0.08/EY, respectively. Risk factors at presentation for incident vision loss included presence of posterior synechiae, anterior chamber flare ≥ 1+, and abnormal intraocular pressure (IOP). During follow-up, ocular inflammation ≥ 0.5+ cells was associated with an increased risk of visual impairment (relative risk [RR] = 2.02, P = .006) and of blindness (RR = 2.99, P = .03). Immunosuppressive drug therapy reduced the risk of hypotony by 74% (P = .002), epiretinal membrane formation by 86% (P = .05), and blindness in the better eye by 60% (P = .04). \n\nCONCLUSIONS\nIncident vision loss and complications were common. Presence of posterior synechiae, anterior chamber flare ≥ 1+, and abnormal IOP at presentation were associated with vision loss during follow-up. Use of immunosuppressive drugs reduced the risk of some ocular complications and of blindness in the better-seeing eye.","author":[{"dropping-particle":"","family":"Thorne","given":"Jennifer E.","non-dropping-particle":"","parse-names":false,"suffix":""},{"dropping-particle":"","family":"Woreta","given":"Fasika","non-dropping-particle":"","parse-names":false,"suffix":""},{"dropping-particle":"","family":"Kedhar","given":"Sanjay R.","non-dropping-particle":"","parse-names":false,"suffix":""},{"dropping-particle":"","family":"Dunn","given":"James P.","non-dropping-particle":"","parse-names":false,"suffix":""},{"dropping-particle":"","family":"Jabs","given":"Douglas A.","non-dropping-particle":"","parse-names":false,"suffix":""}],"container-title":"American Journal of Ophthalmology","id":"ITEM-2","issue":"5","issued":{"date-parts":[["2007","5","1"]]},"page":"840-846.e2","publisher":"Elsevier","title":"Juvenile Idiopathic Arthritis-Associated Uveitis: Incidence of Ocular Complications and Visual Acuity Loss","type":"article-journal","volume":"143"},"uris":["http://www.mendeley.com/documents/?uuid=019beccd-b021-3602-ae4d-31ec936401f1"]}],"mendeley":{"formattedCitation":"&lt;sup&gt;389,390&lt;/sup&gt;","plainTextFormattedCitation":"389,390","previouslyFormattedCitation":"&lt;sup&gt;389,390&lt;/sup&gt;"},"properties":{"noteIndex":0},"schema":"https://github.com/citation-style-language/schema/raw/master/csl-citation.json"}</w:instrText>
      </w:r>
      <w:r w:rsidR="00520F9A" w:rsidRPr="0082680A">
        <w:rPr>
          <w:lang w:val="en-GB"/>
        </w:rPr>
        <w:fldChar w:fldCharType="separate"/>
      </w:r>
      <w:r w:rsidR="00426B19" w:rsidRPr="00426B19">
        <w:rPr>
          <w:noProof/>
          <w:vertAlign w:val="superscript"/>
          <w:lang w:val="en-GB"/>
        </w:rPr>
        <w:t>389,390</w:t>
      </w:r>
      <w:r w:rsidR="00520F9A" w:rsidRPr="0082680A">
        <w:rPr>
          <w:lang w:val="en-GB"/>
        </w:rPr>
        <w:fldChar w:fldCharType="end"/>
      </w:r>
      <w:r w:rsidRPr="0082680A">
        <w:rPr>
          <w:lang w:val="en-GB"/>
        </w:rPr>
        <w:t xml:space="preserve">. JIA affects as many as 4 in 1000 children, with higher risk in females </w:t>
      </w:r>
      <w:r w:rsidR="00A14471" w:rsidRPr="0082680A">
        <w:rPr>
          <w:lang w:val="en-GB"/>
        </w:rPr>
        <w:fldChar w:fldCharType="begin" w:fldLock="1"/>
      </w:r>
      <w:r w:rsidR="000507BA">
        <w:rPr>
          <w:lang w:val="en-GB"/>
        </w:rPr>
        <w:instrText>ADDIN CSL_CITATION {"citationItems":[{"id":"ITEM-1","itemData":{"DOI":"10.1016/J.JBSPIN.2013.09.003","ISSN":"1297-319X","abstract":"OBJECTIVES\nTo conduct a systematic literature review on incidence and prevalence of juvenile idiopathic arthritis and to estimate these figures in Europe for 2010. \n\nMETHODS\nArticles on incidence or prevalence of juvenile idiopathic arthritis were searched in Medline. Pooled incidence and prevalence were calculated overall, by gender, age, classification and arthritis categories. We used the available age and gender pooled rates to standardize the incidence and prevalence on the 2010 European population and estimate the number of cases in Europe in 2010. \n\nRESULTS\nForty-three articles (33 on incidence, 29 on prevalence) were included. Incidence rates varied from 1.6 to 23 and prevalence from 3.8 to 400/100,000. Pooled incidence and prevalence were higher for girls (10.0 [9.4–10.7] and 19.4 [18.3–20.6]/100,000) than boys (5.7 [5.3–6.2] and 11.0 [10.2–11.9]/100,000). Oligoarthritis was the most frequent form (pooled incidence rate 3.7 [3.5–3.9] and prevalence 16.8 [15.9–17.7]/100,000). The direct standardized incidence rate was 8.2 [7.5–9.0] and prevalence 70.2 [62.9–78.1]/100,000. In Europe in 2010, the estimated number of incident cases was 6896 [5481–8578] and 59,175 [44,256–76,983] prevalent cases. \n\nCONCLUSIONS\nIncidence and prevalence varied greatly among published reports of juvenile idiopathic arthritis, which may be explained by methodological issues, classification used, and time. Estimating the number of affected children can be useful, especially with the new treatment possibilities.","author":[{"dropping-particle":"","family":"Thierry","given":"Sigrid","non-dropping-particle":"","parse-names":false,"suffix":""},{"dropping-particle":"","family":"Fautrel","given":"Bruno","non-dropping-particle":"","parse-names":false,"suffix":""},{"dropping-particle":"","family":"Lemelle","given":"Irène","non-dropping-particle":"","parse-names":false,"suffix":""},{"dropping-particle":"","family":"Guillemin","given":"Francis","non-dropping-particle":"","parse-names":false,"suffix":""}],"container-title":"Joint Bone Spine","id":"ITEM-1","issue":"2","issued":{"date-parts":[["2014","3","1"]]},"page":"112-117","publisher":"Elsevier Masson","title":"Prevalence and incidence of juvenile idiopathic arthritis: A systematic review","type":"article-journal","volume":"81"},"uris":["http://www.mendeley.com/documents/?uuid=eed7a12b-7792-3703-96dc-a5835f3cfe91"]}],"mendeley":{"formattedCitation":"&lt;sup&gt;391&lt;/sup&gt;","plainTextFormattedCitation":"391","previouslyFormattedCitation":"&lt;sup&gt;391&lt;/sup&gt;"},"properties":{"noteIndex":0},"schema":"https://github.com/citation-style-language/schema/raw/master/csl-citation.json"}</w:instrText>
      </w:r>
      <w:r w:rsidR="00A14471" w:rsidRPr="0082680A">
        <w:rPr>
          <w:lang w:val="en-GB"/>
        </w:rPr>
        <w:fldChar w:fldCharType="separate"/>
      </w:r>
      <w:r w:rsidR="00426B19" w:rsidRPr="00426B19">
        <w:rPr>
          <w:noProof/>
          <w:vertAlign w:val="superscript"/>
          <w:lang w:val="en-GB"/>
        </w:rPr>
        <w:t>391</w:t>
      </w:r>
      <w:r w:rsidR="00A14471" w:rsidRPr="0082680A">
        <w:rPr>
          <w:lang w:val="en-GB"/>
        </w:rPr>
        <w:fldChar w:fldCharType="end"/>
      </w:r>
      <w:r w:rsidRPr="0082680A">
        <w:rPr>
          <w:lang w:val="en-GB"/>
        </w:rPr>
        <w:t xml:space="preserve">. There are 3 </w:t>
      </w:r>
      <w:r w:rsidR="00263B1E" w:rsidRPr="0082680A">
        <w:rPr>
          <w:lang w:val="en-GB"/>
        </w:rPr>
        <w:t xml:space="preserve">main </w:t>
      </w:r>
      <w:r w:rsidRPr="0082680A">
        <w:rPr>
          <w:lang w:val="en-GB"/>
        </w:rPr>
        <w:t xml:space="preserve">subtypes of JIA - </w:t>
      </w:r>
      <w:proofErr w:type="spellStart"/>
      <w:r w:rsidRPr="0082680A">
        <w:rPr>
          <w:lang w:val="en-GB"/>
        </w:rPr>
        <w:t>oligoarticular</w:t>
      </w:r>
      <w:proofErr w:type="spellEnd"/>
      <w:r w:rsidRPr="0082680A">
        <w:rPr>
          <w:lang w:val="en-GB"/>
        </w:rPr>
        <w:t xml:space="preserve">, polyarticular, and systemic - however they all share classic arthritis pathophysiology </w:t>
      </w:r>
      <w:r w:rsidR="00A14471" w:rsidRPr="0082680A">
        <w:rPr>
          <w:lang w:val="en-GB"/>
        </w:rPr>
        <w:fldChar w:fldCharType="begin" w:fldLock="1"/>
      </w:r>
      <w:r w:rsidR="000507BA">
        <w:rPr>
          <w:lang w:val="en-GB"/>
        </w:rPr>
        <w:instrText>ADDIN CSL_CITATION {"citationItems":[{"id":"ITEM-1","itemData":{"DOI":"10.1016/S0140-6736(11)60244-4","ISSN":"0140-6736","abstract":"Juvenile idiopathic arthritis is a heterogeneous group of diseases characterised by arthritis of unknown origin with onset before age of 16 years. Pivotal studies in the past 5 years have led to substantial progress in various areas, ranging from disease classification to new treatments. Gene expression profiling studies have identified different immune mechanisms in distinct subtypes of the disease, and can help to redefine disease classification criteria. Moreover, immunological studies have shown that systemic juvenile idiopathic arthritis is an acquired autoinflammatory disease, and have led to successful studies of both interleukin-1 and interleukin-6 blockade. In other forms of the disease, synovial inflammation is the consequence of a disturbed balance between proinflammatory effector cells (such as T-helper-17 cells), and anti-inflammatory regulatory cells (such as FOXP3-positive regulatory T cells). Moreover, specific soluble biomarkers (S100 proteins) can guide individual treatment. Altogether these new developments in genetics, immunology, and imaging are instrumental to better define, classify, and treat patients with juvenile idiopathic arthritis.","author":[{"dropping-particle":"","family":"Prakken","given":"Berent","non-dropping-particle":"","parse-names":false,"suffix":""},{"dropping-particle":"","family":"Albani","given":"Salvatore","non-dropping-particle":"","parse-names":false,"suffix":""},{"dropping-particle":"","family":"Martini","given":"Alberto","non-dropping-particle":"","parse-names":false,"suffix":""}],"container-title":"The Lancet","id":"ITEM-1","issue":"9783","issued":{"date-parts":[["2011","6","18"]]},"page":"2138-2149","publisher":"Elsevier","title":"Juvenile idiopathic arthritis","type":"article-journal","volume":"377"},"uris":["http://www.mendeley.com/documents/?uuid=7c76e638-3746-3c19-be54-43ec2f4485de"]}],"mendeley":{"formattedCitation":"&lt;sup&gt;388&lt;/sup&gt;","plainTextFormattedCitation":"388","previouslyFormattedCitation":"&lt;sup&gt;388&lt;/sup&gt;"},"properties":{"noteIndex":0},"schema":"https://github.com/citation-style-language/schema/raw/master/csl-citation.json"}</w:instrText>
      </w:r>
      <w:r w:rsidR="00A14471" w:rsidRPr="0082680A">
        <w:rPr>
          <w:lang w:val="en-GB"/>
        </w:rPr>
        <w:fldChar w:fldCharType="separate"/>
      </w:r>
      <w:r w:rsidR="00426B19" w:rsidRPr="00426B19">
        <w:rPr>
          <w:noProof/>
          <w:vertAlign w:val="superscript"/>
          <w:lang w:val="en-GB"/>
        </w:rPr>
        <w:t>388</w:t>
      </w:r>
      <w:r w:rsidR="00A14471" w:rsidRPr="0082680A">
        <w:rPr>
          <w:lang w:val="en-GB"/>
        </w:rPr>
        <w:fldChar w:fldCharType="end"/>
      </w:r>
      <w:r w:rsidRPr="0082680A">
        <w:rPr>
          <w:lang w:val="en-GB"/>
        </w:rPr>
        <w:t xml:space="preserve">. Interestingly, </w:t>
      </w:r>
      <w:proofErr w:type="spellStart"/>
      <w:r w:rsidRPr="0082680A">
        <w:rPr>
          <w:lang w:val="en-GB"/>
        </w:rPr>
        <w:t>oligoarticular</w:t>
      </w:r>
      <w:proofErr w:type="spellEnd"/>
      <w:r w:rsidRPr="0082680A">
        <w:rPr>
          <w:lang w:val="en-GB"/>
        </w:rPr>
        <w:t xml:space="preserve"> and polyarticular JIA are driven by adaptive immunity, whereas systemic JIA is driven by innate immunity </w:t>
      </w:r>
      <w:r w:rsidR="00C613EE" w:rsidRPr="0082680A">
        <w:rPr>
          <w:lang w:val="en-GB"/>
        </w:rPr>
        <w:fldChar w:fldCharType="begin" w:fldLock="1"/>
      </w:r>
      <w:r w:rsidR="000507BA">
        <w:rPr>
          <w:lang w:val="en-GB"/>
        </w:rPr>
        <w:instrText>ADDIN CSL_CITATION {"citationItems":[{"id":"ITEM-1","itemData":{"DOI":"10.1016/J.AUTREV.2011.02.001","ISSN":"1568-9972","abstract":"Juvenile idiopathic arthritis (JIA) has had a long and difficult problem with classification. It is clearly a heterogeneous and multi-factorial autoimmune disease but all too often the distinctions among subtypes were unclear. In fact, there is now increasing evidence of a distinct pathogenesis of oligo/polyarticular JIA compared to systemic JIA. Oligo/polyarticular JIA is an antigen-driven lymphocyte-mediated autoimmune disease with abnormality in the adaptive immune system. Cartilage-derived auto-antigens activate autoreactive T cells including Th1 and Th17 cells with production of pro-inflammatory cytokines IFN-γ and IL-17. On the other hand, the inhibition of regulatory T (Treg) cells including natural Foxp3+ Treg and self-heat shock protein-induced Treg cells with decreased anti-inflammatory cytokine IL-10 results in the loss of immune tolerance. Imbalance between autoreactive Th1/Th17 and Treg cells leads to the failure of T cell tolerance to self-antigens, which contributes to the synovial inflammation of oligo/polyarticular JIA. By contrast, systemic JIA is an autoinflammatory disease with abnormality in the innate immune system. A loss of control of the alternative secretory pathway leading to aberrant activation of phagocytes including monocytes, macrophages and neutrophils seems to be involved in the release of pro-inflammatory cytokines IL-1, IL-6, IL-18 and pro-inflammatory S100-proteins, which contribute to the multisystem inflammation of systemic JIA. Markedly distinct pathogenesis of oligo/polyarticular JIA and systemic JIA implies that they might need different treatment strategies.","author":[{"dropping-particle":"","family":"Lin","given":"Yu-Tsan","non-dropping-particle":"","parse-names":false,"suffix":""},{"dropping-particle":"","family":"Wang","given":"Chen-Ti","non-dropping-particle":"","parse-names":false,"suffix":""},{"dropping-particle":"","family":"Gershwin","given":"M. Eric","non-dropping-particle":"","parse-names":false,"suffix":""},{"dropping-particle":"","family":"Chiang","given":"Bor-Luen","non-dropping-particle":"","parse-names":false,"suffix":""}],"container-title":"Autoimmunity Reviews","id":"ITEM-1","issue":"8","issued":{"date-parts":[["2011","6","1"]]},"page":"482-489","publisher":"Elsevier","title":"The pathogenesis of oligoarticular/polyarticular vs systemic juvenile idiopathic arthritis","type":"article-journal","volume":"10"},"uris":["http://www.mendeley.com/documents/?uuid=fbeb3727-a86f-3249-9db0-ae8a10a6bff8"]},{"id":"ITEM-2","itemData":{"DOI":"10.1016/S0140-6736(11)60244-4","ISSN":"0140-6736","abstract":"Juvenile idiopathic arthritis is a heterogeneous group of diseases characterised by arthritis of unknown origin with onset before age of 16 years. Pivotal studies in the past 5 years have led to substantial progress in various areas, ranging from disease classification to new treatments. Gene expression profiling studies have identified different immune mechanisms in distinct subtypes of the disease, and can help to redefine disease classification criteria. Moreover, immunological studies have shown that systemic juvenile idiopathic arthritis is an acquired autoinflammatory disease, and have led to successful studies of both interleukin-1 and interleukin-6 blockade. In other forms of the disease, synovial inflammation is the consequence of a disturbed balance between proinflammatory effector cells (such as T-helper-17 cells), and anti-inflammatory regulatory cells (such as FOXP3-positive regulatory T cells). Moreover, specific soluble biomarkers (S100 proteins) can guide individual treatment. Altogether these new developments in genetics, immunology, and imaging are instrumental to better define, classify, and treat patients with juvenile idiopathic arthritis.","author":[{"dropping-particle":"","family":"Prakken","given":"Berent","non-dropping-particle":"","parse-names":false,"suffix":""},{"dropping-particle":"","family":"Albani","given":"Salvatore","non-dropping-particle":"","parse-names":false,"suffix":""},{"dropping-particle":"","family":"Martini","given":"Alberto","non-dropping-particle":"","parse-names":false,"suffix":""}],"container-title":"The Lancet","id":"ITEM-2","issue":"9783","issued":{"date-parts":[["2011","6","18"]]},"page":"2138-2149","publisher":"Elsevier","title":"Juvenile idiopathic arthritis","type":"article-journal","volume":"377"},"uris":["http://www.mendeley.com/documents/?uuid=7c76e638-3746-3c19-be54-43ec2f4485de"]}],"mendeley":{"formattedCitation":"&lt;sup&gt;388,392&lt;/sup&gt;","plainTextFormattedCitation":"388,392","previouslyFormattedCitation":"&lt;sup&gt;388,392&lt;/sup&gt;"},"properties":{"noteIndex":0},"schema":"https://github.com/citation-style-language/schema/raw/master/csl-citation.json"}</w:instrText>
      </w:r>
      <w:r w:rsidR="00C613EE" w:rsidRPr="0082680A">
        <w:rPr>
          <w:lang w:val="en-GB"/>
        </w:rPr>
        <w:fldChar w:fldCharType="separate"/>
      </w:r>
      <w:r w:rsidR="00426B19" w:rsidRPr="00426B19">
        <w:rPr>
          <w:noProof/>
          <w:vertAlign w:val="superscript"/>
          <w:lang w:val="en-GB"/>
        </w:rPr>
        <w:t>388,392</w:t>
      </w:r>
      <w:r w:rsidR="00C613EE" w:rsidRPr="0082680A">
        <w:rPr>
          <w:lang w:val="en-GB"/>
        </w:rPr>
        <w:fldChar w:fldCharType="end"/>
      </w:r>
      <w:r w:rsidRPr="0082680A">
        <w:rPr>
          <w:lang w:val="en-GB"/>
        </w:rPr>
        <w:t xml:space="preserve">. JIA is treated with the same four drug-types we have previously discussed for arthritis conditions. The genetics of JIA resembles those we have already seen, with associations with </w:t>
      </w:r>
      <w:r w:rsidRPr="0082680A">
        <w:rPr>
          <w:i/>
          <w:lang w:val="en-GB"/>
        </w:rPr>
        <w:t>HLA</w:t>
      </w:r>
      <w:r w:rsidRPr="0082680A">
        <w:rPr>
          <w:lang w:val="en-GB"/>
        </w:rPr>
        <w:t xml:space="preserve"> genes as well as </w:t>
      </w:r>
      <w:r w:rsidRPr="0082680A">
        <w:rPr>
          <w:i/>
          <w:lang w:val="en-GB"/>
        </w:rPr>
        <w:t>PTPN22</w:t>
      </w:r>
      <w:r w:rsidRPr="0082680A">
        <w:rPr>
          <w:lang w:val="en-GB"/>
        </w:rPr>
        <w:t xml:space="preserve">, </w:t>
      </w:r>
      <w:r w:rsidRPr="0082680A">
        <w:rPr>
          <w:i/>
          <w:lang w:val="en-GB"/>
        </w:rPr>
        <w:t>TNFA</w:t>
      </w:r>
      <w:r w:rsidRPr="0082680A">
        <w:rPr>
          <w:lang w:val="en-GB"/>
        </w:rPr>
        <w:t xml:space="preserve">, </w:t>
      </w:r>
      <w:r w:rsidRPr="0082680A">
        <w:rPr>
          <w:i/>
          <w:lang w:val="en-GB"/>
        </w:rPr>
        <w:t>MIF</w:t>
      </w:r>
      <w:r w:rsidRPr="0082680A">
        <w:rPr>
          <w:lang w:val="en-GB"/>
        </w:rPr>
        <w:t xml:space="preserve">, </w:t>
      </w:r>
      <w:r w:rsidRPr="0082680A">
        <w:rPr>
          <w:i/>
          <w:lang w:val="en-GB"/>
        </w:rPr>
        <w:t>WISP3</w:t>
      </w:r>
      <w:r w:rsidRPr="0082680A">
        <w:rPr>
          <w:lang w:val="en-GB"/>
        </w:rPr>
        <w:t xml:space="preserve">, </w:t>
      </w:r>
      <w:r w:rsidRPr="0082680A">
        <w:rPr>
          <w:i/>
          <w:lang w:val="en-GB"/>
        </w:rPr>
        <w:t>SLC11A1</w:t>
      </w:r>
      <w:r w:rsidRPr="0082680A">
        <w:rPr>
          <w:lang w:val="en-GB"/>
        </w:rPr>
        <w:t xml:space="preserve"> </w:t>
      </w:r>
      <w:r w:rsidR="00C613EE" w:rsidRPr="0082680A">
        <w:rPr>
          <w:lang w:val="en-GB"/>
        </w:rPr>
        <w:fldChar w:fldCharType="begin" w:fldLock="1"/>
      </w:r>
      <w:r w:rsidR="000507BA">
        <w:rPr>
          <w:lang w:val="en-GB"/>
        </w:rPr>
        <w:instrText>ADDIN CSL_CITATION {"citationItems":[{"id":"ITEM-1","itemData":{"DOI":"10.1186/1546-0096-6-11","PMID":"18644131","author":[{"dropping-particle":"","family":"Prahalad","given":"Sampath","non-dropping-particle":"","parse-names":false,"suffix":""},{"dropping-particle":"","family":"Glass","given":"David N","non-dropping-particle":"","parse-names":false,"suffix":""}],"container-title":"Pediatric Rheumatology Online Journal","id":"ITEM-1","issued":{"date-parts":[["2008"]]},"page":"11","publisher":"BioMed Central","title":"A comprehensive review of the genetics of juvenile idiopathic arthritis","type":"article-journal","volume":"6"},"uris":["http://www.mendeley.com/documents/?uuid=f04a607a-ee67-3a3c-9708-a0e28d76bf89"]}],"mendeley":{"formattedCitation":"&lt;sup&gt;393&lt;/sup&gt;","plainTextFormattedCitation":"393","previouslyFormattedCitation":"&lt;sup&gt;393&lt;/sup&gt;"},"properties":{"noteIndex":0},"schema":"https://github.com/citation-style-language/schema/raw/master/csl-citation.json"}</w:instrText>
      </w:r>
      <w:r w:rsidR="00C613EE" w:rsidRPr="0082680A">
        <w:rPr>
          <w:lang w:val="en-GB"/>
        </w:rPr>
        <w:fldChar w:fldCharType="separate"/>
      </w:r>
      <w:r w:rsidR="00426B19" w:rsidRPr="00426B19">
        <w:rPr>
          <w:noProof/>
          <w:vertAlign w:val="superscript"/>
          <w:lang w:val="en-GB"/>
        </w:rPr>
        <w:t>393</w:t>
      </w:r>
      <w:r w:rsidR="00C613EE" w:rsidRPr="0082680A">
        <w:rPr>
          <w:lang w:val="en-GB"/>
        </w:rPr>
        <w:fldChar w:fldCharType="end"/>
      </w:r>
      <w:r w:rsidRPr="0082680A">
        <w:rPr>
          <w:lang w:val="en-GB"/>
        </w:rPr>
        <w:t xml:space="preserve">. </w:t>
      </w:r>
    </w:p>
    <w:p w14:paraId="11F28049" w14:textId="77777777" w:rsidR="00381BB6" w:rsidRPr="0082680A" w:rsidRDefault="00381BB6" w:rsidP="00842FD0">
      <w:pPr>
        <w:pStyle w:val="Heading4"/>
        <w:rPr>
          <w:lang w:val="en-GB"/>
        </w:rPr>
      </w:pPr>
      <w:bookmarkStart w:id="310" w:name="_xue5daiz1ebz" w:colFirst="0" w:colLast="0"/>
      <w:bookmarkStart w:id="311" w:name="_Toc3211422"/>
      <w:bookmarkEnd w:id="310"/>
      <w:r w:rsidRPr="0082680A">
        <w:rPr>
          <w:lang w:val="en-GB"/>
        </w:rPr>
        <w:t>Adult-Onset Still’s Disease</w:t>
      </w:r>
      <w:bookmarkEnd w:id="311"/>
    </w:p>
    <w:p w14:paraId="1F302E0A" w14:textId="34616D29" w:rsidR="00381BB6" w:rsidRPr="0082680A" w:rsidRDefault="00381BB6" w:rsidP="00381BB6">
      <w:pPr>
        <w:rPr>
          <w:lang w:val="en-GB"/>
        </w:rPr>
      </w:pPr>
      <w:r w:rsidRPr="0082680A">
        <w:rPr>
          <w:lang w:val="en-GB"/>
        </w:rPr>
        <w:t xml:space="preserve">Adult-onset Still’s Disease (AOSD) presents in a classic triad of symptoms; joint inflammation, a raised salmon-coloured rash, and spiking fevers. Onset usually occurs at a relatively young age, with median onset around 36 years of age </w:t>
      </w:r>
      <w:r w:rsidR="00BC62D5" w:rsidRPr="0082680A">
        <w:rPr>
          <w:lang w:val="en-GB"/>
        </w:rPr>
        <w:fldChar w:fldCharType="begin" w:fldLock="1"/>
      </w:r>
      <w:r w:rsidR="000507BA">
        <w:rPr>
          <w:lang w:val="en-GB"/>
        </w:rPr>
        <w:instrText>ADDIN CSL_CITATION {"citationItems":[{"id":"ITEM-1","itemData":{"DOI":"10.1097/MD.0000000000000021","PMID":"24646465","author":[{"dropping-particle":"","family":"Gerfaud-Valentin","given":"Mathieu","non-dropping-particle":"","parse-names":false,"suffix":""},{"dropping-particle":"","family":"Maucort-Boulch","given":"Delphine","non-dropping-particle":"","parse-names":false,"suffix":""},{"dropping-particle":"","family":"Hot","given":"Arnaud","non-dropping-particle":"","parse-names":false,"suffix":""},{"dropping-particle":"","family":"Iwaz","given":"Jean","non-dropping-particle":"","parse-names":false,"suffix":""},{"dropping-particle":"","family":"Ninet","given":"Jacques","non-dropping-particle":"","parse-names":false,"suffix":""},{"dropping-particle":"","family":"Durieu","given":"Isabelle","non-dropping-particle":"","parse-names":false,"suffix":""},{"dropping-particle":"","family":"Broussolle","given":"Christiane","non-dropping-particle":"","parse-names":false,"suffix":""},{"dropping-particle":"","family":"Sève","given":"Pascal","non-dropping-particle":"","parse-names":false,"suffix":""}],"container-title":"Medicine","id":"ITEM-1","issue":"2","issued":{"date-parts":[["2014"]]},"publisher":"Wolters Kluwer Health","title":"Adult-Onset Still Disease: Manifestations, Treatment, Outcome, and Prognostic Factors in 57 Patients","type":"article-journal","volume":"93"},"uris":["http://www.mendeley.com/documents/?uuid=23bfe011-fd69-3369-9414-9ea0592dd6a3"]}],"mendeley":{"formattedCitation":"&lt;sup&gt;394&lt;/sup&gt;","plainTextFormattedCitation":"394","previouslyFormattedCitation":"&lt;sup&gt;394&lt;/sup&gt;"},"properties":{"noteIndex":0},"schema":"https://github.com/citation-style-language/schema/raw/master/csl-citation.json"}</w:instrText>
      </w:r>
      <w:r w:rsidR="00BC62D5" w:rsidRPr="0082680A">
        <w:rPr>
          <w:lang w:val="en-GB"/>
        </w:rPr>
        <w:fldChar w:fldCharType="separate"/>
      </w:r>
      <w:r w:rsidR="00426B19" w:rsidRPr="00426B19">
        <w:rPr>
          <w:noProof/>
          <w:vertAlign w:val="superscript"/>
          <w:lang w:val="en-GB"/>
        </w:rPr>
        <w:t>394</w:t>
      </w:r>
      <w:r w:rsidR="00BC62D5" w:rsidRPr="0082680A">
        <w:rPr>
          <w:lang w:val="en-GB"/>
        </w:rPr>
        <w:fldChar w:fldCharType="end"/>
      </w:r>
      <w:r w:rsidRPr="0082680A">
        <w:rPr>
          <w:lang w:val="en-GB"/>
        </w:rPr>
        <w:t xml:space="preserve">. Arthritis is not present in every case of AOSD, but is experienced by the vast majority of cases (approximately 95%) </w:t>
      </w:r>
      <w:r w:rsidR="00BC62D5" w:rsidRPr="0082680A">
        <w:rPr>
          <w:lang w:val="en-GB"/>
        </w:rPr>
        <w:fldChar w:fldCharType="begin" w:fldLock="1"/>
      </w:r>
      <w:r w:rsidR="000507BA">
        <w:rPr>
          <w:lang w:val="en-GB"/>
        </w:rPr>
        <w:instrText>ADDIN CSL_CITATION {"citationItems":[{"id":"ITEM-1","itemData":{"DOI":"10.1097/MD.0000000000000021","PMID":"24646465","author":[{"dropping-particle":"","family":"Gerfaud-Valentin","given":"Mathieu","non-dropping-particle":"","parse-names":false,"suffix":""},{"dropping-particle":"","family":"Maucort-Boulch","given":"Delphine","non-dropping-particle":"","parse-names":false,"suffix":""},{"dropping-particle":"","family":"Hot","given":"Arnaud","non-dropping-particle":"","parse-names":false,"suffix":""},{"dropping-particle":"","family":"Iwaz","given":"Jean","non-dropping-particle":"","parse-names":false,"suffix":""},{"dropping-particle":"","family":"Ninet","given":"Jacques","non-dropping-particle":"","parse-names":false,"suffix":""},{"dropping-particle":"","family":"Durieu","given":"Isabelle","non-dropping-particle":"","parse-names":false,"suffix":""},{"dropping-particle":"","family":"Broussolle","given":"Christiane","non-dropping-particle":"","parse-names":false,"suffix":""},{"dropping-particle":"","family":"Sève","given":"Pascal","non-dropping-particle":"","parse-names":false,"suffix":""}],"container-title":"Medicine","id":"ITEM-1","issue":"2","issued":{"date-parts":[["2014"]]},"publisher":"Wolters Kluwer Health","title":"Adult-Onset Still Disease: Manifestations, Treatment, Outcome, and Prognostic Factors in 57 Patients","type":"article-journal","volume":"93"},"uris":["http://www.mendeley.com/documents/?uuid=23bfe011-fd69-3369-9414-9ea0592dd6a3"]}],"mendeley":{"formattedCitation":"&lt;sup&gt;394&lt;/sup&gt;","plainTextFormattedCitation":"394","previouslyFormattedCitation":"&lt;sup&gt;394&lt;/sup&gt;"},"properties":{"noteIndex":0},"schema":"https://github.com/citation-style-language/schema/raw/master/csl-citation.json"}</w:instrText>
      </w:r>
      <w:r w:rsidR="00BC62D5" w:rsidRPr="0082680A">
        <w:rPr>
          <w:lang w:val="en-GB"/>
        </w:rPr>
        <w:fldChar w:fldCharType="separate"/>
      </w:r>
      <w:r w:rsidR="00426B19" w:rsidRPr="00426B19">
        <w:rPr>
          <w:noProof/>
          <w:vertAlign w:val="superscript"/>
          <w:lang w:val="en-GB"/>
        </w:rPr>
        <w:t>394</w:t>
      </w:r>
      <w:r w:rsidR="00BC62D5" w:rsidRPr="0082680A">
        <w:rPr>
          <w:lang w:val="en-GB"/>
        </w:rPr>
        <w:fldChar w:fldCharType="end"/>
      </w:r>
      <w:r w:rsidRPr="0082680A">
        <w:rPr>
          <w:lang w:val="en-GB"/>
        </w:rPr>
        <w:t xml:space="preserve">. The risk factors for AOSD are still unclear. The lack of a </w:t>
      </w:r>
      <w:r w:rsidRPr="0082680A">
        <w:rPr>
          <w:lang w:val="en-GB"/>
        </w:rPr>
        <w:lastRenderedPageBreak/>
        <w:t xml:space="preserve">pattern of familial heritability and the rarity of patients has made both linkage and GWAS analysis of AOSD extremely difficult. Targeted gene panels have revealed polymorphisms in the interleukin gene </w:t>
      </w:r>
      <w:r w:rsidRPr="0082680A">
        <w:rPr>
          <w:i/>
          <w:lang w:val="en-GB"/>
        </w:rPr>
        <w:t>IL-18</w:t>
      </w:r>
      <w:r w:rsidRPr="0082680A">
        <w:rPr>
          <w:lang w:val="en-GB"/>
        </w:rPr>
        <w:t xml:space="preserve">, and a recently published study in Japanese AOSD patients has implicated a link with the gene </w:t>
      </w:r>
      <w:r w:rsidRPr="0082680A">
        <w:rPr>
          <w:i/>
          <w:lang w:val="en-GB"/>
        </w:rPr>
        <w:t xml:space="preserve">HLA-DQB1 </w:t>
      </w:r>
      <w:r w:rsidR="00D57CBF" w:rsidRPr="0082680A">
        <w:rPr>
          <w:i/>
          <w:lang w:val="en-GB"/>
        </w:rPr>
        <w:fldChar w:fldCharType="begin" w:fldLock="1"/>
      </w:r>
      <w:r w:rsidR="000507BA">
        <w:rPr>
          <w:i/>
          <w:lang w:val="en-GB"/>
        </w:rPr>
        <w:instrText>ADDIN CSL_CITATION {"citationItems":[{"id":"ITEM-1","itemData":{"DOI":"10.1038/sj.gene.6363922","ISSN":"1466-4879","author":[{"dropping-particle":"","family":"Sugiura","given":"T","non-dropping-particle":"","parse-names":false,"suffix":""},{"dropping-particle":"","family":"Kawaguchi","given":"Y","non-dropping-particle":"","parse-names":false,"suffix":""},{"dropping-particle":"","family":"Harigai","given":"M","non-dropping-particle":"","parse-names":false,"suffix":""},{"dropping-particle":"","family":"Terajima-Ichida","given":"H","non-dropping-particle":"","parse-names":false,"suffix":""},{"dropping-particle":"","family":"Kitamura","given":"Y","non-dropping-particle":"","parse-names":false,"suffix":""},{"dropping-particle":"","family":"Furuya","given":"T","non-dropping-particle":"","parse-names":false,"suffix":""},{"dropping-particle":"","family":"Ichikawa","given":"N","non-dropping-particle":"","parse-names":false,"suffix":""},{"dropping-particle":"","family":"Kotake","given":"S","non-dropping-particle":"","parse-names":false,"suffix":""},{"dropping-particle":"","family":"Tanaka","given":"M","non-dropping-particle":"","parse-names":false,"suffix":""},{"dropping-particle":"","family":"Hara","given":"M","non-dropping-particle":"","parse-names":false,"suffix":""},{"dropping-particle":"","family":"Kamatani","given":"N","non-dropping-particle":"","parse-names":false,"suffix":""}],"container-title":"Genes &amp; Immunity","id":"ITEM-1","issue":"7","issued":{"date-parts":[["2002","11","8"]]},"page":"394-399","title":"Association between adult-onset Still's disease and interleukin-18 gene polymorphisms","type":"article-journal","volume":"3"},"uris":["http://www.mendeley.com/documents/?uuid=680dd91b-9aef-3285-bdf5-2977604cd42d"]},{"id":"ITEM-2","itemData":{"DOI":"10.1080/14397595.2018.1514999","ISSN":"1439-7595","PMID":"30136608","abstract":"OBJECTIVE HLA class II alleles are major determinants of genetic predisposition to rheumatic diseases. Predisposing effects of HLA had been suggested in AOSD, however, ethnic differences may account for variations in AOSD association with HLA. We determined the contribution of HLA-DQB1, DPB1 alleles to susceptibility to Adult-onset Still's disease (AOSD) in the Japanese population. METHODS HLA-DQB1 and DPB1 alleles were analyzed in 87 Japanese patients with AOSD and 413 Japanese healthy subjects. RESULTS We found significant association between HLA-DQB1*06:02 (Pc = 0.010, odds ratio: 2.54) and AOSD, whereas there was no association between the DQB1*06:02 allele and disease phenotypes of AOSD. Moreover, we did not find a predisposing effect of the HLA-DPB1 allele to AOSD. Haplotype analysis showed that presence of DRB1*15:01-DQB1*06:02 was associated with Japanese patients with AOSD. However, conditional logistic regression tests were unable to demonstrate independent association between DRB1*1501 or DQB1*0602 and AOSD. CONCLUSIONS Our results show significant association between AOSD and the HLA DQB1*06:02 allele, and between the DRB1*1501-DQB1*06:02 haplotype and AOSD susceptibility. These findings suggest that genetic susceptibility to AOSD depends on the genotype combinations of HLA DRB1 and DQB1 alleles.","author":[{"dropping-particle":"","family":"Fujita","given":"Yuya","non-dropping-particle":"","parse-names":false,"suffix":""},{"dropping-particle":"","family":"Furukawa","given":"Hiroshi","non-dropping-particle":"","parse-names":false,"suffix":""},{"dropping-particle":"","family":"Asano","given":"Tomoyuki","non-dropping-particle":"","parse-names":false,"suffix":""},{"dropping-particle":"","family":"Sato","given":"Shuzo","non-dropping-particle":"","parse-names":false,"suffix":""},{"dropping-particle":"","family":"Yashiro Furuya","given":"Makiko","non-dropping-particle":"","parse-names":false,"suffix":""},{"dropping-particle":"","family":"Kobayashi","given":"Hiroko","non-dropping-particle":"","parse-names":false,"suffix":""},{"dropping-particle":"","family":"Watanabe","given":"Hiroshi","non-dropping-particle":"","parse-names":false,"suffix":""},{"dropping-particle":"","family":"Suzuki","given":"Eiji","non-dropping-particle":"","parse-names":false,"suffix":""},{"dropping-particle":"","family":"Koga","given":"Tomohiro","non-dropping-particle":"","parse-names":false,"suffix":""},{"dropping-particle":"","family":"Shimizu","given":"Toshimasa","non-dropping-particle":"","parse-names":false,"suffix":""},{"dropping-particle":"","family":"Ueki","given":"Yukitaka","non-dropping-particle":"","parse-names":false,"suffix":""},{"dropping-particle":"","family":"Eguchi","given":"Katsumi","non-dropping-particle":"","parse-names":false,"suffix":""},{"dropping-particle":"","family":"Tsuchiya","given":"Naoyuki","non-dropping-particle":"","parse-names":false,"suffix":""},{"dropping-particle":"","family":"Kawakami","given":"Atsushi","non-dropping-particle":"","parse-names":false,"suffix":""},{"dropping-particle":"","family":"Migita","given":"Kiyoshi","non-dropping-particle":"","parse-names":false,"suffix":""}],"container-title":"Modern Rheumatology","id":"ITEM-2","issued":{"date-parts":[["2018","10","18"]]},"page":"1-5","title":"HLA-DQB1 DPB1 alleles in Japanese patients with adult-onset Still’s disease","type":"article-journal"},"uris":["http://www.mendeley.com/documents/?uuid=5476b2e3-39ee-33f5-a73b-9a3a874aaba3"]}],"mendeley":{"formattedCitation":"&lt;sup&gt;395,396&lt;/sup&gt;","plainTextFormattedCitation":"395,396","previouslyFormattedCitation":"&lt;sup&gt;395,396&lt;/sup&gt;"},"properties":{"noteIndex":0},"schema":"https://github.com/citation-style-language/schema/raw/master/csl-citation.json"}</w:instrText>
      </w:r>
      <w:r w:rsidR="00D57CBF" w:rsidRPr="0082680A">
        <w:rPr>
          <w:i/>
          <w:lang w:val="en-GB"/>
        </w:rPr>
        <w:fldChar w:fldCharType="separate"/>
      </w:r>
      <w:r w:rsidR="00426B19" w:rsidRPr="00426B19">
        <w:rPr>
          <w:noProof/>
          <w:vertAlign w:val="superscript"/>
          <w:lang w:val="en-GB"/>
        </w:rPr>
        <w:t>395,396</w:t>
      </w:r>
      <w:r w:rsidR="00D57CBF" w:rsidRPr="0082680A">
        <w:rPr>
          <w:i/>
          <w:lang w:val="en-GB"/>
        </w:rPr>
        <w:fldChar w:fldCharType="end"/>
      </w:r>
      <w:r w:rsidRPr="0082680A">
        <w:rPr>
          <w:lang w:val="en-GB"/>
        </w:rPr>
        <w:t xml:space="preserve">. </w:t>
      </w:r>
    </w:p>
    <w:p w14:paraId="1662EDFB" w14:textId="77777777" w:rsidR="00381BB6" w:rsidRPr="0082680A" w:rsidRDefault="00381BB6" w:rsidP="00842FD0">
      <w:pPr>
        <w:pStyle w:val="Heading4"/>
        <w:rPr>
          <w:lang w:val="en-GB"/>
        </w:rPr>
      </w:pPr>
      <w:bookmarkStart w:id="312" w:name="_ph4p7pyyhr3z" w:colFirst="0" w:colLast="0"/>
      <w:bookmarkStart w:id="313" w:name="_Toc3211423"/>
      <w:bookmarkEnd w:id="312"/>
      <w:r w:rsidRPr="0082680A">
        <w:rPr>
          <w:lang w:val="en-GB"/>
        </w:rPr>
        <w:t>Systemic Lupus Erythematosus</w:t>
      </w:r>
      <w:bookmarkEnd w:id="313"/>
    </w:p>
    <w:p w14:paraId="6C50806F" w14:textId="5C5BA991" w:rsidR="00381BB6" w:rsidRPr="0082680A" w:rsidRDefault="00381BB6" w:rsidP="00381BB6">
      <w:pPr>
        <w:rPr>
          <w:lang w:val="en-GB"/>
        </w:rPr>
      </w:pPr>
      <w:r w:rsidRPr="0082680A">
        <w:rPr>
          <w:lang w:val="en-GB"/>
        </w:rPr>
        <w:t xml:space="preserve">In the conditions we have covered so far, arthritis is the predominant symptom experienced by patients. In the following conditions, many other tissue types are attacked by the immune system. Aside from joint inflammation, systemic lupus erythematosus (SLE) patients may present with maladies of the skin, blood, heart, lungs, and kidneys, as well as psychiatric conditions including headaches, mood disorders, seizures, anxiety and depression </w:t>
      </w:r>
      <w:r w:rsidR="0061780C" w:rsidRPr="0082680A">
        <w:rPr>
          <w:lang w:val="en-GB"/>
        </w:rPr>
        <w:fldChar w:fldCharType="begin" w:fldLock="1"/>
      </w:r>
      <w:r w:rsidR="000507BA">
        <w:rPr>
          <w:lang w:val="en-GB"/>
        </w:rPr>
        <w:instrText>ADDIN CSL_CITATION {"citationItems":[{"id":"ITEM-1","itemData":{"DOI":"10.3238/arztebl.2015.0423","ISSN":"1866-0452","PMID":"26179016","abstract":"BACKGROUND Systemic lupus erythematosus (SLE) is an autoimmune disease with a prevalence of 36.7/100 000 in Germany and a female/male ratio of 4:1. The clinical course is variable, with a broad spectrum of organ manifestations; lupus nephritis develops in about half of all patients. METHODS This review is based on a selective search of PubMed and the Cochrane Library, including current guidelines and expert recommendations. RESULTS Assessment of clinical symptoms, laboratory findings, and optional biopsy results are the basis for early diagnosis of SLE. All patients should be treated with antimalarials as soon as the diagnosis is confirmed. In particular, hydroxychloroquine is associated with a higher rate of remission, fewer relapses, and reduced damage in the course of the disease, even in lupus nephritis. High-dose glucocorticoids should be given only when acutely indicated; immunosuppressives such as azathioprine, methotrexate, or mycophenolate mofetil may be administered to reduce glucocorticoids, according to the EULAR recommendations. Belimumab was recently approved as add-on therapy in autoantibody-positive SLE patients with high disease activity unresponsive to standard treatment. Short-term induction pulse therapy with low-dose intravenous cyclophosphamide, as well as continued mycophenolate mofetil treatment are advances in lupus nephritis. CONCLUSION The long-term prognosis for SLE has improved markedly in recent decades because of earlier diagnosis and optimized treatment. Further research and randomized controlled trials are needed for the development of specifically targeted therapies.","author":[{"dropping-particle":"","family":"Kuhn","given":"Annegret","non-dropping-particle":"","parse-names":false,"suffix":""},{"dropping-particle":"","family":"Bonsmann","given":"Gisela","non-dropping-particle":"","parse-names":false,"suffix":""},{"dropping-particle":"","family":"Anders","given":"Hans-Joachim","non-dropping-particle":"","parse-names":false,"suffix":""},{"dropping-particle":"","family":"Herzer","given":"Peter","non-dropping-particle":"","parse-names":false,"suffix":""},{"dropping-particle":"","family":"Tenbrock","given":"Klaus","non-dropping-particle":"","parse-names":false,"suffix":""},{"dropping-particle":"","family":"Schneider","given":"Matthias","non-dropping-particle":"","parse-names":false,"suffix":""}],"container-title":"Deutsches Arzteblatt international","id":"ITEM-1","issue":"25","issued":{"date-parts":[["2015","6","19"]]},"page":"423-32","publisher":"Deutscher Arzte-Verlag GmbH","title":"The Diagnosis and Treatment of Systemic Lupus Erythematosus.","type":"article-journal","volume":"112"},"uris":["http://www.mendeley.com/documents/?uuid=74b5d442-2dea-3dda-be8c-7e8d4d9fb67b"]},{"id":"ITEM-2","itemData":{"DOI":"10.1136/ard.2010.130476","ISSN":"0003-4967","PMID":"20724309","abstract":"OBJECTIVES To develop recommendations for the diagnosis, prevention and treatment of neuropsychiatric systemic lupus erythematosus (NPSLE) manifestations. METHODS The authors compiled questions on prevalence and risk factors, diagnosis and monitoring, therapy and prognosis of NPSLE. A systematic literature search was performed and evidence was categorised based on sample size and study design. RESULTS Systemic lupus erythematosus (SLE) patients are at increased risk of several neuropsychiatric manifestations. Common (cumulative incidence &gt; 5%) manifestations include cerebrovascular disease (CVD) and seizures; relatively uncommon (1-5%) are severe cognitive dysfunction, major depression, acute confusional state (ACS), peripheral nervous disorders psychosis. Strong risk factors (at least fivefold increased risk) are previous or concurrent severe NPSLE (for cognitive dysfunction, seizures) and antiphospholipid antibodies (for CVD, seizures, chorea). The diagnostic work-up of suspected NPSLE is comparable to that in patients without SLE who present with the same manifestations, and aims to exclude causes unrelated to SLE. Investigations include cerebrospinal fluid analysis (to exclude central nervous system infection), EEG (to diagnose seizure disorder), neuropsychological tests (to assess cognitive dysfunction), nerve conduction studies (for peripheral neuropathy) and MRI (T1/T2, fluid-attenuating inversion recovery, diffusion-weighted imaging, enhanced T1 sequence). Glucocorticoids and immunosuppressive therapy are indicated when NPSLE is thought to reflect an inflammatory process (optic neuritis, transverse myelitis, peripheral neuropathy, refractory seizures, psychosis, ACS) and in the presence of generalised lupus activity. Antiplatelet/anticoagulation therapy is indicated when manifestations are related to antiphospholipid antibodies, particularly thrombotic CVD. CONCLUSIONS Neuropsychiatric manifestations in SLE patients should be first evaluated and treated as in patients without SLE, and secondarily attributed to SLE and treated accordingly.","author":[{"dropping-particle":"","family":"Bertsias","given":"G. K.","non-dropping-particle":"","parse-names":false,"suffix":""},{"dropping-particle":"","family":"Ioannidis","given":"J. P. A.","non-dropping-particle":"","parse-names":false,"suffix":""},{"dropping-particle":"","family":"Aringer","given":"M.","non-dropping-particle":"","parse-names":false,"suffix":""},{"dropping-particle":"","family":"Bollen","given":"E.","non-dropping-particle":"","parse-names":false,"suffix":""},{"dropping-particle":"","family":"Bombardieri","given":"S.","non-dropping-particle":"","parse-names":false,"suffix":""},{"dropping-particle":"","family":"Bruce","given":"I. N.","non-dropping-particle":"","parse-names":false,"suffix":""},{"dropping-particle":"","family":"Cervera","given":"R.","non-dropping-particle":"","parse-names":false,"suffix":""},{"dropping-particle":"","family":"Dalakas","given":"M.","non-dropping-particle":"","parse-names":false,"suffix":""},{"dropping-particle":"","family":"Doria","given":"A.","non-dropping-particle":"","parse-names":false,"suffix":""},{"dropping-particle":"","family":"Hanly","given":"J. G.","non-dropping-particle":"","parse-names":false,"suffix":""},{"dropping-particle":"","family":"Huizinga","given":"T. W. J.","non-dropping-particle":"","parse-names":false,"suffix":""},{"dropping-particle":"","family":"Isenberg","given":"D.","non-dropping-particle":"","parse-names":false,"suffix":""},{"dropping-particle":"","family":"Kallenberg","given":"C.","non-dropping-particle":"","parse-names":false,"suffix":""},{"dropping-particle":"","family":"Piette","given":"J. C.","non-dropping-particle":"","parse-names":false,"suffix":""},{"dropping-particle":"","family":"Schneider","given":"M.","non-dropping-particle":"","parse-names":false,"suffix":""},{"dropping-particle":"","family":"Scolding","given":"N.","non-dropping-particle":"","parse-names":false,"suffix":""},{"dropping-particle":"","family":"Smolen","given":"J.","non-dropping-particle":"","parse-names":false,"suffix":""},{"dropping-particle":"","family":"Stara","given":"A.","non-dropping-particle":"","parse-names":false,"suffix":""},{"dropping-particle":"","family":"Tassiulas","given":"I.","non-dropping-particle":"","parse-names":false,"suffix":""},{"dropping-particle":"","family":"Tektonidou","given":"M.","non-dropping-particle":"","parse-names":false,"suffix":""},{"dropping-particle":"","family":"Tincani","given":"A.","non-dropping-particle":"","parse-names":false,"suffix":""},{"dropping-particle":"","family":"Buchem","given":"M. A.","non-dropping-particle":"van","parse-names":false,"suffix":""},{"dropping-particle":"","family":"Vollenhoven","given":"R.","non-dropping-particle":"van","parse-names":false,"suffix":""},{"dropping-particle":"","family":"Ward","given":"M.","non-dropping-particle":"","parse-names":false,"suffix":""},{"dropping-particle":"","family":"Gordon","given":"C.","non-dropping-particle":"","parse-names":false,"suffix":""},{"dropping-particle":"","family":"Boumpas","given":"D. T.","non-dropping-particle":"","parse-names":false,"suffix":""}],"container-title":"Annals of the Rheumatic Diseases","id":"ITEM-2","issue":"12","issued":{"date-parts":[["2010","12","1"]]},"page":"2074-2082","title":"EULAR recommendations for the management of systemic lupus erythematosus with neuropsychiatric manifestations: report of a task force of the EULAR standing committee for clinical affairs","type":"article-journal","volume":"69"},"uris":["http://www.mendeley.com/documents/?uuid=6635ef28-e780-3e95-90c3-5d7b565be84e"]}],"mendeley":{"formattedCitation":"&lt;sup&gt;397,398&lt;/sup&gt;","plainTextFormattedCitation":"397,398","previouslyFormattedCitation":"&lt;sup&gt;397,398&lt;/sup&gt;"},"properties":{"noteIndex":0},"schema":"https://github.com/citation-style-language/schema/raw/master/csl-citation.json"}</w:instrText>
      </w:r>
      <w:r w:rsidR="0061780C" w:rsidRPr="0082680A">
        <w:rPr>
          <w:lang w:val="en-GB"/>
        </w:rPr>
        <w:fldChar w:fldCharType="separate"/>
      </w:r>
      <w:r w:rsidR="00426B19" w:rsidRPr="00426B19">
        <w:rPr>
          <w:noProof/>
          <w:vertAlign w:val="superscript"/>
          <w:lang w:val="en-GB"/>
        </w:rPr>
        <w:t>397,398</w:t>
      </w:r>
      <w:r w:rsidR="0061780C" w:rsidRPr="0082680A">
        <w:rPr>
          <w:lang w:val="en-GB"/>
        </w:rPr>
        <w:fldChar w:fldCharType="end"/>
      </w:r>
      <w:r w:rsidRPr="0082680A">
        <w:rPr>
          <w:lang w:val="en-GB"/>
        </w:rPr>
        <w:t xml:space="preserve">. SLE affects between 40 and 100 individuals per 100,000 with higher levels reported in </w:t>
      </w:r>
      <w:r w:rsidR="002019B0" w:rsidRPr="0082680A">
        <w:rPr>
          <w:lang w:val="en-GB"/>
        </w:rPr>
        <w:t>Hispanic</w:t>
      </w:r>
      <w:r w:rsidRPr="0082680A">
        <w:rPr>
          <w:lang w:val="en-GB"/>
        </w:rPr>
        <w:t xml:space="preserve"> and Chinese populations </w:t>
      </w:r>
      <w:r w:rsidR="00083E78" w:rsidRPr="0082680A">
        <w:rPr>
          <w:lang w:val="en-GB"/>
        </w:rPr>
        <w:fldChar w:fldCharType="begin" w:fldLock="1"/>
      </w:r>
      <w:r w:rsidR="000507BA">
        <w:rPr>
          <w:lang w:val="en-GB"/>
        </w:rPr>
        <w:instrText>ADDIN CSL_CITATION {"citationItems":[{"id":"ITEM-1","itemData":{"ISSN":"0025-6196","PMID":"3974288","abstract":"The incidence and prevalence rates of connective tissue disease syndromes in Rochester, Minnesota, from 1950 through 1979 are reported. The incidence of definite systemic lupus erythematosus (SLE) has not increased since 1960. The incidence of SLE in the elderly population was higher than that in previous reports. Rates of SLE and discoid lupus erythematosus were approximately equal. Other diagnoses (in decreasing order of frequency) were suspected lupus erythematosus, scleroderma, drug-induced lupus, and overlapping connective tissue disease syndromes. The 10-year survival of patients with definite SLE was decreased, and the survival of patients with suspected SLE was the same as that of the general population.","author":[{"dropping-particle":"","family":"Michet","given":"C J","non-dropping-particle":"","parse-names":false,"suffix":""},{"dropping-particle":"","family":"McKenna","given":"C H","non-dropping-particle":"","parse-names":false,"suffix":""},{"dropping-particle":"","family":"Elveback","given":"L R","non-dropping-particle":"","parse-names":false,"suffix":""},{"dropping-particle":"","family":"Kaslow","given":"R A","non-dropping-particle":"","parse-names":false,"suffix":""},{"dropping-particle":"","family":"Kurland","given":"L T","non-dropping-particle":"","parse-names":false,"suffix":""}],"container-title":"Mayo Clinic proceedings","id":"ITEM-1","issue":"2","issued":{"date-parts":[["1985","2"]]},"page":"105-13","title":"Epidemiology of systemic lupus erythematosus and other connective tissue diseases in Rochester, Minnesota, 1950 through 1979.","type":"article-journal","volume":"60"},"uris":["http://www.mendeley.com/documents/?uuid=11a947b0-e887-3029-9b8b-a57583c2d62e"]},{"id":"ITEM-2","itemData":{"ISSN":"0002-9262","PMID":"11724719","abstract":"In 1996, a citizens group in Nogales, Arizona, reported to the Arizona Department of Health their concerns about a possible excess prevalence of systemic lupus erythematosus (SLE) due to exposure to environmental contamination in the area. The authors conducted a two-phase study in which the objectives of phase I were to identify potential SLE cases and to determine the prevalence of SLE and the objectives of phase II were to identify potential risk factors associated with the development of SLE and to evaluate the possible association between SLE and environmental exposure to pesticides and inorganic compounds. Participants included 20 confirmed cases and 36 controls. The authors found the prevalence of SLE to be 103 cases per 100,000 population (95 percent confidence interval: 56, 149), two to seven times higher than the prevalence in the US population. They detected elevated levels of 1,1-dichloro-2,2-bis-(p-chorophenyl)ethylene and organophosphate metabolites among cases and controls. In both, levels were higher than the reference mean for the US population. The authors found no statistical association between elevated levels of pesticides and disease status. Their results show that the prevalence of SLE in Nogales is higher than the reported prevalence in the US population and that both cases and controls had past exposure to chlorinated pesticides and have ongoing exposure to organophosphates.","author":[{"dropping-particle":"","family":"Balluz","given":"L","non-dropping-particle":"","parse-names":false,"suffix":""},{"dropping-particle":"","family":"Philen","given":"R","non-dropping-particle":"","parse-names":false,"suffix":""},{"dropping-particle":"","family":"Ortega","given":"L","non-dropping-particle":"","parse-names":false,"suffix":""},{"dropping-particle":"","family":"Rosales","given":"C","non-dropping-particle":"","parse-names":false,"suffix":""},{"dropping-particle":"","family":"Brock","given":"J","non-dropping-particle":"","parse-names":false,"suffix":""},{"dropping-particle":"","family":"Barr","given":"D","non-dropping-particle":"","parse-names":false,"suffix":""},{"dropping-particle":"","family":"Kieszak","given":"S","non-dropping-particle":"","parse-names":false,"suffix":""}],"container-title":"American journal of epidemiology","id":"ITEM-2","issue":"11","issued":{"date-parts":[["2001","12","1"]]},"page":"1029-36","title":"Investigation of systemic lupus erythematosus in Nogales, Arizona.","type":"article-journal","volume":"154"},"uris":["http://www.mendeley.com/documents/?uuid=fac74ac8-91a3-3d77-9625-d38734d36328"]},{"id":"ITEM-3","itemData":{"ISSN":"0017-8594","PMID":"7737852","abstract":"This population-based study in Hawaii collected cases of systemic lupus erythematosus from medical facilities and a patient support group. A total of 454 cases was found and the prevalence was estimated at 41.8 per 100,000 population for 1989. The prevalence odds ratio for all non-Caucasians compared to Caucasians was 1.2 (0.9-1.5), for Japanese 1.3 (1.0-1.7), for Filipinos 1.5 (1.1-2.0), for Chinese 2.4 (1.7-3.4), and for Hawaiians 0.8 (0.6-1.1). Mortality rates were 3 times higher for non-Caucasians than for Caucasians in 1985 to 1989. Despite the observed differences, it remains unclear whether individuals with Asian or Pacific Islander ancestry are at higher risk for systemic lupus erythematosus. The variation in prevalence rates may be a result of differences in access to medical care and in survival.","author":[{"dropping-particle":"","family":"Maskarinec","given":"G","non-dropping-particle":"","parse-names":false,"suffix":""},{"dropping-particle":"","family":"Katz","given":"A R","non-dropping-particle":"","parse-names":false,"suffix":""}],"container-title":"Hawaii medical journal","id":"ITEM-3","issue":"2","issued":{"date-parts":[["1995","2"]]},"page":"406-9","title":"Prevalence of systemic lupus erythematosus in Hawaii: is there a difference between ethnic groups?","type":"article-journal","volume":"54"},"uris":["http://www.mendeley.com/documents/?uuid=50e82013-05ac-34d8-9c41-95c53aad7fb9"]}],"mendeley":{"formattedCitation":"&lt;sup&gt;399–401&lt;/sup&gt;","plainTextFormattedCitation":"399–401","previouslyFormattedCitation":"&lt;sup&gt;399–401&lt;/sup&gt;"},"properties":{"noteIndex":0},"schema":"https://github.com/citation-style-language/schema/raw/master/csl-citation.json"}</w:instrText>
      </w:r>
      <w:r w:rsidR="00083E78" w:rsidRPr="0082680A">
        <w:rPr>
          <w:lang w:val="en-GB"/>
        </w:rPr>
        <w:fldChar w:fldCharType="separate"/>
      </w:r>
      <w:r w:rsidR="00426B19" w:rsidRPr="00426B19">
        <w:rPr>
          <w:noProof/>
          <w:vertAlign w:val="superscript"/>
          <w:lang w:val="en-GB"/>
        </w:rPr>
        <w:t>399–401</w:t>
      </w:r>
      <w:r w:rsidR="00083E78" w:rsidRPr="0082680A">
        <w:rPr>
          <w:lang w:val="en-GB"/>
        </w:rPr>
        <w:fldChar w:fldCharType="end"/>
      </w:r>
      <w:r w:rsidRPr="0082680A">
        <w:rPr>
          <w:lang w:val="en-GB"/>
        </w:rPr>
        <w:t xml:space="preserve">. First-degree relatives of an SLE patient are 20-times more likely to develop the condition, indicating a significant genetic component </w:t>
      </w:r>
      <w:r w:rsidR="00083E78" w:rsidRPr="0082680A">
        <w:rPr>
          <w:lang w:val="en-GB"/>
        </w:rPr>
        <w:fldChar w:fldCharType="begin" w:fldLock="1"/>
      </w:r>
      <w:r w:rsidR="000507BA">
        <w:rPr>
          <w:lang w:val="en-GB"/>
        </w:rPr>
        <w:instrText>ADDIN CSL_CITATION {"citationItems":[{"id":"ITEM-1","itemData":{"DOI":"10.1002/art.20999","ISSN":"00043591","PMID":"15818688","abstract":"OBJECTIVE To determine whether there is familial aggregation of systemic lupus erythematosus (SLE) and/or other autoimmune diseases in SLE patients and to identify clinical differences between patients with and those without familial autoimmunity. METHODS We interviewed members of the Grupo Latinoamericano de Estudio del Lupus Eritematoso (GLADEL) inception cohort of 1,214 SLE patients to ascertain whether they had relatives with SLE and/or other autoimmune diseases. Identified relatives were studied. Familial aggregation was tested using reported highest and intermediate population prevalence data for SLE, rheumatoid arthritis (RA), or all autoimmune diseases, and studies were performed to identify the genetic model applicable for SLE. RESULTS We identified 116 first-, second-, or third-degree relatives with SLE, 79 with RA, 23 with autoimmune thyroiditis, 3 with scleroderma, 1 with polymyositis, and 16 with other autoimmune diseases, related to 166 of the 1,177 SLE patients in the GLADEL cohort who agreed to participate. Forty-two SLE patients had 2 or more relatives with an autoimmune disease. We found a lambda(sibling) of 5.8 and 29.0 for SLE and of 3.2-5.3 for RA, when comparing with their reported high or intermediate population prevalence, respectively. We also found familial aggregation for autoimmune disease in general (lambda(sibling) = 1.5) and determined that for SLE, a polygenic additive genetic model, rather than a multiplicative one, is applicable. CONCLUSION In SLE there is familial aggregation of SLE, RA, and autoimmune disease in general. A polygenic additive model applies for SLE. American Indian-white Mestizo SLE patients and those with higher socioeconomic level were more likely to have familial autoimmunity.","author":[{"dropping-particle":"","family":"Alarcón-Segovia","given":"Donato","non-dropping-particle":"","parse-names":false,"suffix":""},{"dropping-particle":"","family":"Alarcón-Riquelme","given":"Marta E.","non-dropping-particle":"","parse-names":false,"suffix":""},{"dropping-particle":"","family":"Cardiel","given":"Mario H.","non-dropping-particle":"","parse-names":false,"suffix":""},{"dropping-particle":"","family":"Caeiro","given":"Francisco","non-dropping-particle":"","parse-names":false,"suffix":""},{"dropping-particle":"","family":"Massardo","given":"Loreto","non-dropping-particle":"","parse-names":false,"suffix":""},{"dropping-particle":"","family":"Villa","given":"Antonio R.","non-dropping-particle":"","parse-names":false,"suffix":""},{"dropping-particle":"","family":"Pons-Estel","given":"Bernardo A.","non-dropping-particle":"","parse-names":false,"suffix":""},{"dropping-particle":"","family":"Grupo Latinoamericano de Estudio del Lupus Eritematoso (GLADEL)","given":"","non-dropping-particle":"","parse-names":false,"suffix":""}],"container-title":"Arthritis &amp; Rheumatism","id":"ITEM-1","issue":"4","issued":{"date-parts":[["2005","4"]]},"page":"1138-1147","title":"Familial aggregation of systemic lupus erythematosus, rheumatoid arthritis, and other autoimmune diseases in 1,177 lupus patients from the GLADEL cohort","type":"article-journal","volume":"52"},"uris":["http://www.mendeley.com/documents/?uuid=342d9db7-3ab8-3df3-8d59-8e8e2c198723"]}],"mendeley":{"formattedCitation":"&lt;sup&gt;402&lt;/sup&gt;","plainTextFormattedCitation":"402","previouslyFormattedCitation":"&lt;sup&gt;402&lt;/sup&gt;"},"properties":{"noteIndex":0},"schema":"https://github.com/citation-style-language/schema/raw/master/csl-citation.json"}</w:instrText>
      </w:r>
      <w:r w:rsidR="00083E78" w:rsidRPr="0082680A">
        <w:rPr>
          <w:lang w:val="en-GB"/>
        </w:rPr>
        <w:fldChar w:fldCharType="separate"/>
      </w:r>
      <w:r w:rsidR="00426B19" w:rsidRPr="00426B19">
        <w:rPr>
          <w:noProof/>
          <w:vertAlign w:val="superscript"/>
          <w:lang w:val="en-GB"/>
        </w:rPr>
        <w:t>402</w:t>
      </w:r>
      <w:r w:rsidR="00083E78" w:rsidRPr="0082680A">
        <w:rPr>
          <w:lang w:val="en-GB"/>
        </w:rPr>
        <w:fldChar w:fldCharType="end"/>
      </w:r>
      <w:r w:rsidRPr="0082680A">
        <w:rPr>
          <w:lang w:val="en-GB"/>
        </w:rPr>
        <w:t xml:space="preserve">. A number of genes have been associated with risk for SLE, including </w:t>
      </w:r>
      <w:r w:rsidRPr="0082680A">
        <w:rPr>
          <w:i/>
          <w:lang w:val="en-GB"/>
        </w:rPr>
        <w:t>STAT4</w:t>
      </w:r>
      <w:r w:rsidRPr="0082680A">
        <w:rPr>
          <w:lang w:val="en-GB"/>
        </w:rPr>
        <w:t xml:space="preserve">, </w:t>
      </w:r>
      <w:r w:rsidRPr="0082680A">
        <w:rPr>
          <w:i/>
          <w:lang w:val="en-GB"/>
        </w:rPr>
        <w:t>IRF5</w:t>
      </w:r>
      <w:r w:rsidRPr="0082680A">
        <w:rPr>
          <w:lang w:val="en-GB"/>
        </w:rPr>
        <w:t xml:space="preserve">, </w:t>
      </w:r>
      <w:r w:rsidRPr="0082680A">
        <w:rPr>
          <w:i/>
          <w:lang w:val="en-GB"/>
        </w:rPr>
        <w:t>TLR7</w:t>
      </w:r>
      <w:r w:rsidRPr="0082680A">
        <w:rPr>
          <w:lang w:val="en-GB"/>
        </w:rPr>
        <w:t xml:space="preserve">, and </w:t>
      </w:r>
      <w:r w:rsidRPr="0082680A">
        <w:rPr>
          <w:i/>
          <w:lang w:val="en-GB"/>
        </w:rPr>
        <w:t>PTPN22</w:t>
      </w:r>
      <w:r w:rsidR="00253196" w:rsidRPr="0082680A">
        <w:rPr>
          <w:i/>
          <w:lang w:val="en-GB"/>
        </w:rPr>
        <w:t xml:space="preserve"> </w:t>
      </w:r>
      <w:r w:rsidR="00253196" w:rsidRPr="0082680A">
        <w:rPr>
          <w:i/>
          <w:lang w:val="en-GB"/>
        </w:rPr>
        <w:fldChar w:fldCharType="begin" w:fldLock="1"/>
      </w:r>
      <w:r w:rsidR="000507BA">
        <w:rPr>
          <w:i/>
          <w:lang w:val="en-GB"/>
        </w:rPr>
        <w:instrText>ADDIN CSL_CITATION {"citationItems":[{"id":"ITEM-1","itemData":{"DOI":"10.1097/BOR.0000000000000205","ISSN":"1531-6963","PMID":"26218512","abstract":"PURPOSE OF REVIEW The field of systemic lupus erythematosus (SLE) genetics has been advancing rapidly in recent years. This review will summarize recent advances in SLE genetics. RECENT FINDINGS Genome-wide-association and follow-up studies have greatly expanded the list of associated polymorphisms, and much current work strives to integrate these polymorphisms into immune system biology and the pathogenic mediators involved in the disease. This review covers some current areas of interest, including genetic studies in non-European SLE patient populations, studies of pathogenic immune system subphenotypes such as type I interferon and autoantibodies, and a rapidly growing body of work investigating the functional consequences of the genetic polymorphisms associated with SLE. SUMMARY These studies provide a fascinating window into human SLE disease biology. As the work proceeds from genetic association signal to altered human biology, we move closer to tailoring interventions based upon an individual's genetic substrate.","author":[{"dropping-particle":"","family":"Niewold","given":"Timothy B","non-dropping-particle":"","parse-names":false,"suffix":""}],"container-title":"Current opinion in rheumatology","id":"ITEM-1","issue":"5","issued":{"date-parts":[["2015","9"]]},"page":"440-7","publisher":"NIH Public Access","title":"Advances in lupus genetics.","type":"article-journal","volume":"27"},"uris":["http://www.mendeley.com/documents/?uuid=5eaf9f93-542f-3b37-a00b-d2c809d5deb9"]}],"mendeley":{"formattedCitation":"&lt;sup&gt;403&lt;/sup&gt;","plainTextFormattedCitation":"403","previouslyFormattedCitation":"&lt;sup&gt;403&lt;/sup&gt;"},"properties":{"noteIndex":0},"schema":"https://github.com/citation-style-language/schema/raw/master/csl-citation.json"}</w:instrText>
      </w:r>
      <w:r w:rsidR="00253196" w:rsidRPr="0082680A">
        <w:rPr>
          <w:i/>
          <w:lang w:val="en-GB"/>
        </w:rPr>
        <w:fldChar w:fldCharType="separate"/>
      </w:r>
      <w:r w:rsidR="00426B19" w:rsidRPr="00426B19">
        <w:rPr>
          <w:noProof/>
          <w:vertAlign w:val="superscript"/>
          <w:lang w:val="en-GB"/>
        </w:rPr>
        <w:t>403</w:t>
      </w:r>
      <w:r w:rsidR="00253196" w:rsidRPr="0082680A">
        <w:rPr>
          <w:i/>
          <w:lang w:val="en-GB"/>
        </w:rPr>
        <w:fldChar w:fldCharType="end"/>
      </w:r>
      <w:r w:rsidR="00253196" w:rsidRPr="0082680A">
        <w:rPr>
          <w:i/>
          <w:lang w:val="en-GB"/>
        </w:rPr>
        <w:t>.</w:t>
      </w:r>
      <w:r w:rsidRPr="0082680A">
        <w:rPr>
          <w:lang w:val="en-GB"/>
        </w:rPr>
        <w:t xml:space="preserve"> Treatments for SLE arthritis are similar to those already discussed, however TNF-alpha treatments have been less successful in SLE. Fortunately, biological agents inhibiting B-cell activation have proven effective at mediating SLE symptomology </w:t>
      </w:r>
      <w:r w:rsidR="00253196" w:rsidRPr="0082680A">
        <w:rPr>
          <w:lang w:val="en-GB"/>
        </w:rPr>
        <w:fldChar w:fldCharType="begin" w:fldLock="1"/>
      </w:r>
      <w:r w:rsidR="000507BA">
        <w:rPr>
          <w:lang w:val="en-GB"/>
        </w:rPr>
        <w:instrText>ADDIN CSL_CITATION {"citationItems":[{"id":"ITEM-1","itemData":{"DOI":"10.1016/S0140-6736(10)61354-2","ISSN":"01406736","PMID":"21296403","abstract":"BACKGROUND Systemic lupus erythematosus is a heterogeneous autoimmune disease that is associated with B-cell hyperactivity, autoantibodies, and increased concentrations of B-lymphocyte stimulator (BLyS). The efficacy and safety of the fully human monoclonal antibody belimumab (BLyS-specific inhibitor) was assessed in patients with active systemic lupus erythematosus. METHODS Patients (aged ≥18 years) who were seropositive with scores of at least 6 on the Safety of Estrogens in Lupus Erythematosus National Assessment-Systemic Lupus Erythematosus Disease Activity Index (SELENA-SLEDAI) were enrolled in a multicentre phase 3 study, which was done in Latin America, Asia-Pacific, and eastern Europe. Patients were randomly assigned by use of a central interactive voice response system in a 1:1:1 ratio to belimumab 1 mg/kg or 10 mg/kg, or placebo by intravenous infusion in 1 h on days 0, 14, and 28, and then every 28 days until 48 weeks, with standard of care. Patients, investigators, study coordinators, and sponsors were masked to treatment assignment. Primary efficacy endpoint was improvement in the Systemic Lupus Erythematosus Responder Index (SRI) at week 52 (reduction ≥4 points in SELENA-SLEDAI score; no new British Isles Lupus Assessment Group [BILAG] A organ domain score and no more than 1 new B organ domain score; and no worsening [&lt;0·3 increase] in Physician's Global Assessment [PGA] score) versus baseline. Method of analysis was by modified intention to treat. This trial is registered with ClinicalTrials.gov, number NCT00424476. FINDINGS 867 patients were randomly assigned to belimumab 1 mg/kg (n=289) or 10 mg/kg (n=290), or placebo (n=288). 865 were treated and analysed in the belimumab (1 mg/kg, n=288; 10 mg/kg, n=290) and placebo groups (n=287). Significantly higher SRI rates were noted with belimumab 1 mg/kg (148 [51%], odds ratio 1·55 [95% CI 1·10-2·19]; p=0·0129) and 10 mg/kg (167 [58%], 1·83 [1·30-2·59]; p=0·0006) than with placebo (125 [44%]) at week 52. More patients had their SELENA-SLEDAI score reduced by at least 4 points during 52 weeks with belimumab 1 mg/kg (153 [53%], 1·51 [1·07-2·14]; p=0·0189) and 10 mg/kg (169 [58%], 1·71 [1·21-2·41]; p=0·0024) than with placebo (132 [46%]). More patients given belimumab 1 mg/kg (226 [78%], 1·38 [0·93-2·04]; p=0·1064) and 10 mg/kg (236 [81%], 1·62 [1·09-2·42]; p=0·0181) had no new BILAG A or no more than 1 new B flare than did those in the placebo group (210 [73%]). No worsening in PGA score was not…","author":[{"dropping-particle":"V","family":"Navarra","given":"Sandra","non-dropping-particle":"","parse-names":false,"suffix":""},{"dropping-particle":"","family":"Guzmán","given":"Renato M","non-dropping-particle":"","parse-names":false,"suffix":""},{"dropping-particle":"","family":"Gallacher","given":"Alberto E","non-dropping-particle":"","parse-names":false,"suffix":""},{"dropping-particle":"","family":"Hall","given":"Stephen","non-dropping-particle":"","parse-names":false,"suffix":""},{"dropping-particle":"","family":"Levy","given":"Roger A","non-dropping-particle":"","parse-names":false,"suffix":""},{"dropping-particle":"","family":"Jimenez","given":"Renato E","non-dropping-particle":"","parse-names":false,"suffix":""},{"dropping-particle":"","family":"Li","given":"Edmund K-M","non-dropping-particle":"","parse-names":false,"suffix":""},{"dropping-particle":"","family":"Thomas","given":"Mathew","non-dropping-particle":"","parse-names":false,"suffix":""},{"dropping-particle":"","family":"Kim","given":"Ho-Youn","non-dropping-particle":"","parse-names":false,"suffix":""},{"dropping-particle":"","family":"León","given":"Manuel G","non-dropping-particle":"","parse-names":false,"suffix":""},{"dropping-particle":"","family":"Tanasescu","given":"Coman","non-dropping-particle":"","parse-names":false,"suffix":""},{"dropping-particle":"","family":"Nasonov","given":"Eugeny","non-dropping-particle":"","parse-names":false,"suffix":""},{"dropping-particle":"","family":"Lan","given":"Joung-Liang","non-dropping-particle":"","parse-names":false,"suffix":""},{"dropping-particle":"","family":"Pineda","given":"Lilia","non-dropping-particle":"","parse-names":false,"suffix":""},{"dropping-particle":"","family":"Zhong","given":"Z John","non-dropping-particle":"","parse-names":false,"suffix":""},{"dropping-particle":"","family":"Freimuth","given":"William","non-dropping-particle":"","parse-names":false,"suffix":""},{"dropping-particle":"","family":"Petri","given":"Michelle A","non-dropping-particle":"","parse-names":false,"suffix":""},{"dropping-particle":"","family":"BLISS-52 Study Group","given":"","non-dropping-particle":"","parse-names":false,"suffix":""}],"container-title":"The Lancet","id":"ITEM-1","issue":"9767","issued":{"date-parts":[["2011","2","26"]]},"page":"721-731","title":"Efficacy and safety of belimumab in patients with active systemic lupus erythematosus: a randomised, placebo-controlled, phase 3 trial","type":"article-journal","volume":"377"},"uris":["http://www.mendeley.com/documents/?uuid=04b4213f-d3b7-37d7-817c-3d3bcbeb5999"]}],"mendeley":{"formattedCitation":"&lt;sup&gt;404&lt;/sup&gt;","plainTextFormattedCitation":"404","previouslyFormattedCitation":"&lt;sup&gt;404&lt;/sup&gt;"},"properties":{"noteIndex":0},"schema":"https://github.com/citation-style-language/schema/raw/master/csl-citation.json"}</w:instrText>
      </w:r>
      <w:r w:rsidR="00253196" w:rsidRPr="0082680A">
        <w:rPr>
          <w:lang w:val="en-GB"/>
        </w:rPr>
        <w:fldChar w:fldCharType="separate"/>
      </w:r>
      <w:r w:rsidR="00426B19" w:rsidRPr="00426B19">
        <w:rPr>
          <w:noProof/>
          <w:vertAlign w:val="superscript"/>
          <w:lang w:val="en-GB"/>
        </w:rPr>
        <w:t>404</w:t>
      </w:r>
      <w:r w:rsidR="00253196" w:rsidRPr="0082680A">
        <w:rPr>
          <w:lang w:val="en-GB"/>
        </w:rPr>
        <w:fldChar w:fldCharType="end"/>
      </w:r>
      <w:r w:rsidRPr="0082680A">
        <w:rPr>
          <w:lang w:val="en-GB"/>
        </w:rPr>
        <w:t>.</w:t>
      </w:r>
    </w:p>
    <w:p w14:paraId="675C22C0" w14:textId="77777777" w:rsidR="00381BB6" w:rsidRPr="00691215" w:rsidRDefault="00381BB6" w:rsidP="00691215">
      <w:pPr>
        <w:pStyle w:val="Heading3"/>
      </w:pPr>
      <w:bookmarkStart w:id="314" w:name="_812cj2dx6j9j" w:colFirst="0" w:colLast="0"/>
      <w:bookmarkStart w:id="315" w:name="_Toc3211424"/>
      <w:bookmarkEnd w:id="314"/>
      <w:r w:rsidRPr="00691215">
        <w:t>Building an Autoimmune Arthritis Signature</w:t>
      </w:r>
      <w:bookmarkEnd w:id="315"/>
    </w:p>
    <w:p w14:paraId="54AE067A" w14:textId="1F1FCF40" w:rsidR="00381BB6" w:rsidRPr="0082680A" w:rsidRDefault="00381BB6" w:rsidP="00381BB6">
      <w:pPr>
        <w:rPr>
          <w:lang w:val="en-GB"/>
        </w:rPr>
      </w:pPr>
      <w:r w:rsidRPr="0082680A">
        <w:rPr>
          <w:lang w:val="en-GB"/>
        </w:rPr>
        <w:t xml:space="preserve">Despite variations in population demographics, genetics, and co-occurring symptoms, it is apparent that the arthritis experienced by these conditions is the result of a shared inflammatory mechanism. </w:t>
      </w:r>
      <w:r w:rsidR="00064504" w:rsidRPr="0082680A">
        <w:rPr>
          <w:lang w:val="en-GB"/>
        </w:rPr>
        <w:t>The</w:t>
      </w:r>
      <w:r w:rsidRPr="0082680A">
        <w:rPr>
          <w:lang w:val="en-GB"/>
        </w:rPr>
        <w:t xml:space="preserve"> pain and disability associated with joint inflammation is not only debilitating to </w:t>
      </w:r>
      <w:r w:rsidR="00194FEA" w:rsidRPr="0082680A">
        <w:rPr>
          <w:lang w:val="en-GB"/>
        </w:rPr>
        <w:t>patients but</w:t>
      </w:r>
      <w:r w:rsidRPr="0082680A">
        <w:rPr>
          <w:lang w:val="en-GB"/>
        </w:rPr>
        <w:t xml:space="preserve"> is </w:t>
      </w:r>
      <w:r w:rsidR="00194FEA" w:rsidRPr="0082680A">
        <w:rPr>
          <w:lang w:val="en-GB"/>
        </w:rPr>
        <w:t xml:space="preserve">also </w:t>
      </w:r>
      <w:r w:rsidRPr="0082680A">
        <w:rPr>
          <w:lang w:val="en-GB"/>
        </w:rPr>
        <w:t xml:space="preserve">expensive to treat. Additionally, the drugs used to treat autoimmune arthritis have a number of unpleasant and sometimes dangerous side effects. Chronic NSAID use puts patients at significant risk of gastrointestinal problems such as heartburn and stomach ulcers </w:t>
      </w:r>
      <w:r w:rsidR="007D1E27" w:rsidRPr="0082680A">
        <w:rPr>
          <w:lang w:val="en-GB"/>
        </w:rPr>
        <w:fldChar w:fldCharType="begin" w:fldLock="1"/>
      </w:r>
      <w:r w:rsidR="000507BA">
        <w:rPr>
          <w:lang w:val="en-GB"/>
        </w:rPr>
        <w:instrText>ADDIN CSL_CITATION {"citationItems":[{"id":"ITEM-1","itemData":{"DOI":"10.1136/annrheumdis-2013-204078","ISSN":"1468-2060","PMID":"24356672","abstract":"OBJECTIVES Non-steroidal anti-inflammatory drugs (NSAIDs) may cause kidney damage. This study assessed the impact of prolonged NSAID exposure on renal function in a large rheumatoid arthritis (RA) patient cohort. METHODS Renal function was prospectively followed between 1996 and 2007 in 4101 RA patients with multilevel mixed models for longitudinal data over a mean period of 3.2 years. Among the 2739 'NSAID users' were 1290 patients treated with cyclooxygenase type 2 selective NSAIDs, while 1362 subjects were 'NSAID naive'. Primary outcome was the estimated glomerular filtration rate according to the Cockroft-Gault formula (eGFRCG), and secondary the Modification of Diet in Renal Disease and Chronic Kidney Disease Epidemiology Collaboration formula equations and serum creatinine concentrations. In sensitivity analyses, NSAID dosing effects were compared for patients with NSAID registration in ≤/&gt;50%, ≤/&gt;80% or ≤/&gt;90% of assessments. FINDINGS In patients with baseline eGFRCG &gt;30 mL/min, eGFRCG evolved without significant differences over time between 'NSAID users' (mean change in eGFRCG -0.87 mL/min/year, 95% CI -1.15 to -0.59) and 'NSAID naive' (-0.67 mL/min/year, 95% CI -1.26 to -0.09, p=0.63). In a multivariate Cox regression analysis adjusted for significant confounders age, sex, body mass index, arterial hypertension, heart disease and for other insignificant factors, NSAIDs were an independent predictor for accelerated renal function decline only in patients with advanced baseline renal impairment (eGFRCG &lt;30 mL/min). Analyses with secondary outcomes and sensitivity analyses confirmed these results. CONCLUSIONS NSAIDs had no negative impact on renal function estimates but in patients with advanced renal impairment.","author":[{"dropping-particle":"","family":"Möller","given":"Burkhard","non-dropping-particle":"","parse-names":false,"suffix":""},{"dropping-particle":"","family":"Pruijm","given":"Menno","non-dropping-particle":"","parse-names":false,"suffix":""},{"dropping-particle":"","family":"Adler","given":"Sabine","non-dropping-particle":"","parse-names":false,"suffix":""},{"dropping-particle":"","family":"Scherer","given":"Almut","non-dropping-particle":"","parse-names":false,"suffix":""},{"dropping-particle":"","family":"Villiger","given":"Peter M","non-dropping-particle":"","parse-names":false,"suffix":""},{"dropping-particle":"","family":"Finckh","given":"Axel","non-dropping-particle":"","parse-names":false,"suffix":""},{"dropping-particle":"","family":"Swiss Clinical Quality Management in Rheumatic Diseases (SCQM) Foundation, CH-8048 Zurich, Switzerland","given":"CH-8048 Zurich, Switzerland","non-dropping-particle":"","parse-names":false,"suffix":""}],"container-title":"Annals of the rheumatic diseases","id":"ITEM-1","issue":"4","issued":{"date-parts":[["2015","4","19"]]},"page":"718-23","publisher":"BMJ Publishing Group Ltd","title":"Chronic NSAID use and long-term decline of renal function in a prospective rheumatoid arthritis cohort study.","type":"article-journal","volume":"74"},"uris":["http://www.mendeley.com/documents/?uuid=ca9debc9-b26e-34ee-a78a-f53526d8ed61"]},{"id":"ITEM-2","itemData":{"abstract":"Background : There are considerable variations in estimates of the number of emergency upper gastrointestinal admissions per annum which are attributable to nonsteroidal anti-inflammatory drug (NSAID) use. Aim : To obtain a more accurate estimate of the number of these emergency admissions per annum in UK. Methods : A retrospective survey of the case notes of all emergency admissions for upper gastrointestinal disease (' Cases ') to two English District General Hospitals with a combined catchment population of 550 000. Records of all community deaths attributed to upper gastrointestinal diagnoses (with the same ICD codes) were also surveyed. Matched controls were identified from emergency admissions not caused by upper gastrointestinal diagnoses. The proportions of patients taking NSAIDs on admission to hospital (or at the time of death at home) and the outcome following admission to hospital were analysed.","author":[{"dropping-particle":"","family":"Blower","given":"A L","non-dropping-particle":"","parse-names":false,"suffix":""},{"dropping-particle":"","family":"Brooks","given":"A","non-dropping-particle":"","parse-names":false,"suffix":""},{"dropping-particle":"","family":"Fenn","given":"G C","non-dropping-particle":"","parse-names":false,"suffix":""},{"dropping-particle":"","family":"Hill","given":"A","non-dropping-particle":"","parse-names":false,"suffix":""},{"dropping-particle":"","family":"Pearce","given":"M Y","non-dropping-particle":"","parse-names":false,"suffix":""},{"dropping-particle":"","family":"Morant","given":"S","non-dropping-particle":"","parse-names":false,"suffix":""},{"dropping-particle":"","family":"Bardhan","given":"K D","non-dropping-particle":"","parse-names":false,"suffix":""},{"dropping-particle":"","family":"Albert","given":"Royal","non-dropping-particle":"","parse-names":false,"suffix":""}],"container-title":"Aliment Pharmacol Ther","id":"ITEM-2","issued":{"date-parts":[["1997"]]},"number-of-pages":"283-291","title":"Emergency admissions for upper gastrointestinal disease and their relation to NSAID use","type":"report","volume":"11"},"uris":["http://www.mendeley.com/documents/?uuid=ff9eddff-53a0-3916-9e28-bcd2cdfc73a7"]},{"id":"ITEM-3","itemData":{"ISSN":"0003-4819","PMID":"1834002","abstract":"OBJECTIVE To describe the relative risk for serious gastrointestinal complications due to non-aspirin nonsteroidal anti-inflammatory drug (NSAID) exposure among NSAID users as well as in selected subgroups. DESIGN Overview and meta-analysis. DATA IDENTIFICATION A literature search of English-language studies examining the association between NSAIDs and adverse gastrointestinal events for the period 1975 to 1990 identified using MEDLINE and communicating with three internationally recognized experts. DATA ANALYSIS A qualitative summary of study characteristics and a critical appraisal of study quality were done. The results of 16 primary studies were selected and combined statistically. Summary estimates were weighted by sample size and quality score. MAIN RESULTS The overall odds ratio of the risk for adverse gastrointestinal events related to NSAID use, summarized from 16 studies (9 case-control and 7 cohort) was 2.74 (95% Cl, 2.54 to 2.97). The summary odds ratios were as follows: elderly patients, (aged greater than or equal to 60 years), 5.52 (Cl, 4.63 to 6.60); patients under 65 years of age, 1.65 (Cl, 1.08 to 2.53); women, 2.32 (Cl, 1.91 to 2.82); and men, 2.40 (Cl, 1.85 to 3.11). The summary odds ratio for NSAID users receiving concomitant corticosteroids compared with NSAID users not receiving corticosteroids was 1.83 (Cl, 1.20 to 2.78). The summary odds ratio for the first gastrointestinal event was 2.39 (Cl, 2.16 to 2.65). The relative risk for a subsequent or unspecified gastrointestinal event was 4.76 (Cl, 4.05 to 5.59). The summary odds ratio for less than 1 month of NSAID exposure was 8.00 (Cl, 6.37 to 10.06); for more than 1 month but less than 3 months of exposure, the summary odds ratio was 3.31 (Cl, 2.27 to 4.82); and for more than 3 months of exposure, the summary odds ratio was 1.92 (Cl, 1.19 to 3.13). CONCLUSIONS Users of NSAIDs are at approximately three times greater relative risk for developing serious adverse gastrointestinal events than are nonusers. Additional risk factors include age greater than 60 years, previous history of gastrointestinal events, and concomitant corticosteroid use. Another possible risk factor is the first 3 months of NSAID therapy. The risk for serious gastrointestinal events appears to be equal among men and women. These data represent summary statistics from 16 studies and cannot be considered generalizable to all NSAID users.","author":[{"dropping-particle":"","family":"Gabriel","given":"S E","non-dropping-particle":"","parse-names":false,"suffix":""},{"dropping-particle":"","family":"Jaakkimainen","given":"L","non-dropping-particle":"","parse-names":false,"suffix":""},{"dropping-particle":"","family":"Bombardier","given":"C","non-dropping-particle":"","parse-names":false,"suffix":""}],"container-title":"Annals of internal medicine","id":"ITEM-3","issue":"10","issued":{"date-parts":[["1991","11","15"]]},"page":"787-96","title":"Risk for serious gastrointestinal complications related to use of nonsteroidal anti-inflammatory drugs. A meta-analysis.","type":"article-journal","volume":"115"},"uris":["http://www.mendeley.com/documents/?uuid=288e49f8-8c98-38c6-90e3-cfc9c32170d1"]}],"mendeley":{"formattedCitation":"&lt;sup&gt;405–407&lt;/sup&gt;","plainTextFormattedCitation":"405–407","previouslyFormattedCitation":"&lt;sup&gt;405–407&lt;/sup&gt;"},"properties":{"noteIndex":0},"schema":"https://github.com/citation-style-language/schema/raw/master/csl-citation.json"}</w:instrText>
      </w:r>
      <w:r w:rsidR="007D1E27" w:rsidRPr="0082680A">
        <w:rPr>
          <w:lang w:val="en-GB"/>
        </w:rPr>
        <w:fldChar w:fldCharType="separate"/>
      </w:r>
      <w:r w:rsidR="00426B19" w:rsidRPr="00426B19">
        <w:rPr>
          <w:noProof/>
          <w:vertAlign w:val="superscript"/>
          <w:lang w:val="en-GB"/>
        </w:rPr>
        <w:t>405–407</w:t>
      </w:r>
      <w:r w:rsidR="007D1E27" w:rsidRPr="0082680A">
        <w:rPr>
          <w:lang w:val="en-GB"/>
        </w:rPr>
        <w:fldChar w:fldCharType="end"/>
      </w:r>
      <w:r w:rsidRPr="0082680A">
        <w:rPr>
          <w:lang w:val="en-GB"/>
        </w:rPr>
        <w:t xml:space="preserve">. DMARDs use for long periods of time are also dangerous; chronic methotrexate use can cause liver disease and cirrhosis, and very rarely interstitial pneumonitis, which can be fatal </w:t>
      </w:r>
      <w:r w:rsidR="00657CF1" w:rsidRPr="0082680A">
        <w:rPr>
          <w:lang w:val="en-GB"/>
        </w:rPr>
        <w:fldChar w:fldCharType="begin" w:fldLock="1"/>
      </w:r>
      <w:r w:rsidR="000507BA">
        <w:rPr>
          <w:lang w:val="en-GB"/>
        </w:rPr>
        <w:instrText>ADDIN CSL_CITATION {"citationItems":[{"id":"ITEM-1","itemData":{"DOI":"10.1016/j.cgh.2014.07.062","ISSN":"15423565","author":[{"dropping-particle":"","family":"Björnsson","given":"Einar S.","non-dropping-particle":"","parse-names":false,"suffix":""},{"dropping-particle":"","family":"Gunnarsson","given":"Baldvin I.","non-dropping-particle":"","parse-names":false,"suffix":""},{"dropping-particle":"","family":"Gröndal","given":"Gerdur","non-dropping-particle":"","parse-names":false,"suffix":""},{"dropping-particle":"","family":"Jonasson","given":"Jon G.","non-dropping-particle":"","parse-names":false,"suffix":""},{"dropping-particle":"","family":"Einarsdottir","given":"Rannveig","non-dropping-particle":"","parse-names":false,"suffix":""},{"dropping-particle":"","family":"Ludviksson","given":"Björn R.","non-dropping-particle":"","parse-names":false,"suffix":""},{"dropping-particle":"","family":"Gudbjörnsson","given":"Björn","non-dropping-particle":"","parse-names":false,"suffix":""},{"dropping-particle":"","family":"Olafsson","given":"Sigurdur","non-dropping-particle":"","parse-names":false,"suffix":""}],"container-title":"Clinical Gastroenterology and Hepatology","id":"ITEM-1","issue":"3","issued":{"date-parts":[["2015","3"]]},"page":"602-608","title":"Risk of Drug-Induced Liver Injury From Tumor Necrosis Factor Antagonists","type":"article-journal","volume":"13"},"uris":["http://www.mendeley.com/documents/?uuid=45b988fb-44d4-3734-8212-b00a46d84fad"]},{"id":"ITEM-2","itemData":{"DOI":"10.1136/ard.2009.112136","ISSN":"1468-2060","PMID":"20448284","abstract":"OBJECTIVE Liver function test (LFT) elevations are reported with the use of tumour necrosis factor inhibitors (TNF-Is). The aim of this study was to compare LFT elevations in patients with rheumatoid arthritis receiving adalimumab (ADA), etanercept (ETN) or infliximab (INF) enrolled in the Consortium of Rheumatology Researchers of North America from October 2001 to March 2007. METHODS Alanine aminotransferase (ALT) and/or aspartate aminotransferase (AST) levels &gt;1x upper limit of normal (ULN) were considered elevations and ALT/AST levels &gt;2x ULN were considered abnormalities. Treatments included TNF-Is, methotrexate (MTX), leflunomide and other disease-modifying antirheumatic agents (DMARDs). Patients were censored after their first LFT elevation. Three analytical models were evaluated: (1) individual TNF-I vs non-biological DMARDs (primary model); (2) individual TNF-I plus MTX vs MTX monotherapy; and (3) limited to new users of individual TNF-I vs non-biological DMARDs. ORs for LFT elevations were estimated using generalised estimating equation logistic regression. RESULTS 6861 patients (ADA: 849; ETN: 1383; INF: 1449) with 22 522 determinations were analysed. LFT elevations &gt;1x ULN with TNF-I use were seen in 5.9% of AST/ALT determinations and abnormalities &gt;2x ULN in 0.77%. In the primary model the adjusted ORs for LFT elevations &gt;1x ULN were ADA 1.35 (95% CI 1.09 to 1.66), ETN 1.00 (95% CI 0.83 to 1.21) and INF 1.58 (95% CI 1.35 to 1.86). For 2x ULN, adjusted ORs were ADA 1.72 (95% CI 0.99 to 3.01), ETN 1.10 (95% CI 0.64 to 1.88) and INF 2.40 (95% CI 1.53 to 3.76). Similar results were obtained in other models. CONCLUSION The overall incidence of LFT elevations &gt;1x ULN with TNF-I use was uncommon and abnormalities &gt;2x ULN were rarely observed. Significant differences were most consistently observed with INF, less commonly with ADA and were not observed with ETN compared with comparator DMARDs.","author":[{"dropping-particle":"","family":"Sokolove","given":"Jeremy","non-dropping-particle":"","parse-names":false,"suffix":""},{"dropping-particle":"","family":"Strand","given":"Vibeke","non-dropping-particle":"","parse-names":false,"suffix":""},{"dropping-particle":"","family":"Greenberg","given":"Jeffrey D","non-dropping-particle":"","parse-names":false,"suffix":""},{"dropping-particle":"","family":"Curtis","given":"Jeffrey R","non-dropping-particle":"","parse-names":false,"suffix":""},{"dropping-particle":"","family":"Kavanaugh","given":"Arthur","non-dropping-particle":"","parse-names":false,"suffix":""},{"dropping-particle":"","family":"Kremer","given":"Joel M","non-dropping-particle":"","parse-names":false,"suffix":""},{"dropping-particle":"","family":"Anofrei","given":"Alina","non-dropping-particle":"","parse-names":false,"suffix":""},{"dropping-particle":"","family":"Reed","given":"George","non-dropping-particle":"","parse-names":false,"suffix":""},{"dropping-particle":"","family":"Calabrese","given":"Leonard","non-dropping-particle":"","parse-names":false,"suffix":""},{"dropping-particle":"","family":"Hooper","given":"Michele","non-dropping-particle":"","parse-names":false,"suffix":""},{"dropping-particle":"","family":"Baumgartner","given":"Scott","non-dropping-particle":"","parse-names":false,"suffix":""},{"dropping-particle":"","family":"Furst","given":"Daniel E","non-dropping-particle":"","parse-names":false,"suffix":""},{"dropping-particle":"","family":"CORRONA Investigators","given":"","non-dropping-particle":"","parse-names":false,"suffix":""}],"container-title":"Annals of the rheumatic diseases","id":"ITEM-2","issue":"9","issued":{"date-parts":[["2010","9","1"]]},"page":"1612-7","publisher":"BMJ Publishing Group Ltd","title":"Risk of elevated liver enzymes associated with TNF inhibitor utilisation in patients with rheumatoid arthritis.","type":"article-journal","volume":"69"},"uris":["http://www.mendeley.com/documents/?uuid=a4d449cd-9efa-32e8-8649-5167402b0122"]},{"id":"ITEM-3","itemData":{"ISSN":"1349-7235","PMID":"16778342","abstract":"Leflunomide is a disease-modifying antirheumatic drug (DMARD) that has been available in Japan since August 2003. Leflunomide-induced interstitial pneumonitis has not been reported as an adverse effect in other countries. We report a suspected case of leflunomide-induced interstitial pneumonitis. A 77-year-old woman with rheumatoid arthritis and a history of methotrexate-induced pneumonitis developed sudden-onset dyspnea on exertion about 2 months after the administration of leflunomide. She maintained a high concentration of an active metabolite of leflunomide for more than 3 weeks after withdrawal of the drug. She did not respond to treatment and died. Leflunomide must be administered with caution to patients with a history of interstitial pneumonitis or drug-induced pneumonitis. If leflunomide-induced pneumonitis is suspected, the plasma concentration must be immediately checked, along with elimination and withdrawal of the medication.","author":[{"dropping-particle":"","family":"Hirabayashi","given":"Yu","non-dropping-particle":"","parse-names":false,"suffix":""},{"dropping-particle":"","family":"Shimizu","given":"Hisahiro","non-dropping-particle":"","parse-names":false,"suffix":""},{"dropping-particle":"","family":"Kobayashi","given":"Nobuyuki","non-dropping-particle":"","parse-names":false,"suffix":""},{"dropping-particle":"","family":"Kudo","given":"Koichiro","non-dropping-particle":"","parse-names":false,"suffix":""}],"container-title":"Internal medicine (Tokyo, Japan)","id":"ITEM-3","issue":"10","issued":{"date-parts":[["2006"]]},"page":"689-91","title":"Leflunomide-induced pneumonitis in a patient with rheumatoid arthritis.","type":"article-journal","volume":"45"},"uris":["http://www.mendeley.com/documents/?uuid=b4403c04-c5c3-34d3-964d-7fb8be6be191"]}],"mendeley":{"formattedCitation":"&lt;sup&gt;408–410&lt;/sup&gt;","plainTextFormattedCitation":"408–410","previouslyFormattedCitation":"&lt;sup&gt;408–410&lt;/sup&gt;"},"properties":{"noteIndex":0},"schema":"https://github.com/citation-style-language/schema/raw/master/csl-citation.json"}</w:instrText>
      </w:r>
      <w:r w:rsidR="00657CF1" w:rsidRPr="0082680A">
        <w:rPr>
          <w:lang w:val="en-GB"/>
        </w:rPr>
        <w:fldChar w:fldCharType="separate"/>
      </w:r>
      <w:r w:rsidR="00426B19" w:rsidRPr="00426B19">
        <w:rPr>
          <w:noProof/>
          <w:vertAlign w:val="superscript"/>
          <w:lang w:val="en-GB"/>
        </w:rPr>
        <w:t>408–410</w:t>
      </w:r>
      <w:r w:rsidR="00657CF1" w:rsidRPr="0082680A">
        <w:rPr>
          <w:lang w:val="en-GB"/>
        </w:rPr>
        <w:fldChar w:fldCharType="end"/>
      </w:r>
      <w:r w:rsidRPr="0082680A">
        <w:rPr>
          <w:lang w:val="en-GB"/>
        </w:rPr>
        <w:t xml:space="preserve">. Biologics such as anti-TNF therapies are extremely expensive, and can leave patients at risk of infections, cancer, blood disorders, neuropathy, heart failure, and even development of autoimmune conditions </w:t>
      </w:r>
      <w:r w:rsidR="00A75F04" w:rsidRPr="0082680A">
        <w:rPr>
          <w:lang w:val="en-GB"/>
        </w:rPr>
        <w:fldChar w:fldCharType="begin" w:fldLock="1"/>
      </w:r>
      <w:r w:rsidR="000507BA">
        <w:rPr>
          <w:lang w:val="en-GB"/>
        </w:rPr>
        <w:instrText>ADDIN CSL_CITATION {"citationItems":[{"id":"ITEM-1","itemData":{"ISSN":"0392-856X","PMID":"12463468","abstract":"The development of the anti-TNF therapies is a milestone in the therapy of rheumatic diseases. As in all new treatment opportunities it is of concern whether all potential undesired side effects have been evaluated within the clinical trials which have lead to approval of the drugs. Postmarketing experience and pharmacovigilance programs are necessary to determine the overall safety profile of the new agents. From the clinical trials and the practical experience of the first years we know that side effects have occurred in patients treated with anti-TNF agents. Sufficient knowledge about these partly specific side effects is critical for rheumatologists who treat their patients with these very effective biologic drugs.","author":[{"dropping-particle":"","family":"Antoni","given":"C","non-dropping-particle":"","parse-names":false,"suffix":""},{"dropping-particle":"","family":"Braun","given":"J","non-dropping-particle":"","parse-names":false,"suffix":""}],"container-title":"Clinical and experimental rheumatology","id":"ITEM-1","issue":"6 Suppl 28","issued":{"date-parts":[["2002"]]},"page":"S152-7","title":"Side effects of anti-TNF therapy: current knowledge.","type":"article-journal","volume":"20"},"uris":["http://www.mendeley.com/documents/?uuid=023d87ff-7177-33a0-8e39-586b33d96ff8"]}],"mendeley":{"formattedCitation":"&lt;sup&gt;411&lt;/sup&gt;","plainTextFormattedCitation":"411","previouslyFormattedCitation":"&lt;sup&gt;411&lt;/sup&gt;"},"properties":{"noteIndex":0},"schema":"https://github.com/citation-style-language/schema/raw/master/csl-citation.json"}</w:instrText>
      </w:r>
      <w:r w:rsidR="00A75F04" w:rsidRPr="0082680A">
        <w:rPr>
          <w:lang w:val="en-GB"/>
        </w:rPr>
        <w:fldChar w:fldCharType="separate"/>
      </w:r>
      <w:r w:rsidR="00426B19" w:rsidRPr="00426B19">
        <w:rPr>
          <w:noProof/>
          <w:vertAlign w:val="superscript"/>
          <w:lang w:val="en-GB"/>
        </w:rPr>
        <w:t>411</w:t>
      </w:r>
      <w:r w:rsidR="00A75F04" w:rsidRPr="0082680A">
        <w:rPr>
          <w:lang w:val="en-GB"/>
        </w:rPr>
        <w:fldChar w:fldCharType="end"/>
      </w:r>
      <w:r w:rsidRPr="0082680A">
        <w:rPr>
          <w:lang w:val="en-GB"/>
        </w:rPr>
        <w:t xml:space="preserve">. </w:t>
      </w:r>
    </w:p>
    <w:p w14:paraId="333B5149" w14:textId="77777777" w:rsidR="00381BB6" w:rsidRPr="0082680A" w:rsidRDefault="00381BB6" w:rsidP="00381BB6">
      <w:pPr>
        <w:rPr>
          <w:lang w:val="en-GB"/>
        </w:rPr>
      </w:pPr>
    </w:p>
    <w:p w14:paraId="05AA24A1" w14:textId="0D6D9D91" w:rsidR="00705E1B" w:rsidRPr="0082680A" w:rsidRDefault="00381BB6" w:rsidP="00381BB6">
      <w:pPr>
        <w:rPr>
          <w:lang w:val="en-GB"/>
        </w:rPr>
      </w:pPr>
      <w:r w:rsidRPr="0082680A">
        <w:rPr>
          <w:lang w:val="en-GB"/>
        </w:rPr>
        <w:t xml:space="preserve">We predict that application of the methodological pipeline developed in this PhD project will lead to identification of upstream drivers of </w:t>
      </w:r>
      <w:proofErr w:type="gramStart"/>
      <w:r w:rsidRPr="0082680A">
        <w:rPr>
          <w:lang w:val="en-GB"/>
        </w:rPr>
        <w:t>arthritis, and</w:t>
      </w:r>
      <w:proofErr w:type="gramEnd"/>
      <w:r w:rsidRPr="0082680A">
        <w:rPr>
          <w:lang w:val="en-GB"/>
        </w:rPr>
        <w:t xml:space="preserve"> may reveal novel targets for arthritis treatment. Through better understanding of the mechanisms leading to arthritis, it may eventually become possible to ameliorate the symptoms experienced by patients, </w:t>
      </w:r>
      <w:r w:rsidRPr="0082680A">
        <w:rPr>
          <w:lang w:val="en-GB"/>
        </w:rPr>
        <w:lastRenderedPageBreak/>
        <w:t xml:space="preserve">identify better therapeutics with less severe side effects, or even abate progression of arthritis before it the joint degenerates. </w:t>
      </w:r>
    </w:p>
    <w:p w14:paraId="2E730402" w14:textId="6F82108A" w:rsidR="00381BB6" w:rsidRPr="0082680A" w:rsidRDefault="00705E1B" w:rsidP="00381BB6">
      <w:pPr>
        <w:rPr>
          <w:lang w:val="en-GB"/>
        </w:rPr>
      </w:pPr>
      <w:r w:rsidRPr="0082680A">
        <w:rPr>
          <w:lang w:val="en-GB"/>
        </w:rPr>
        <w:br w:type="page"/>
      </w:r>
    </w:p>
    <w:p w14:paraId="6B4BF66C" w14:textId="77777777" w:rsidR="00381BB6" w:rsidRPr="00842FD0" w:rsidRDefault="00381BB6" w:rsidP="00842FD0">
      <w:pPr>
        <w:pStyle w:val="Heading2"/>
      </w:pPr>
      <w:bookmarkStart w:id="316" w:name="_e8ks57yy9b4v" w:colFirst="0" w:colLast="0"/>
      <w:bookmarkStart w:id="317" w:name="_Toc3211425"/>
      <w:bookmarkEnd w:id="316"/>
      <w:r w:rsidRPr="00842FD0">
        <w:lastRenderedPageBreak/>
        <w:t>Materials and Methods</w:t>
      </w:r>
      <w:bookmarkEnd w:id="317"/>
    </w:p>
    <w:p w14:paraId="0AEB4652" w14:textId="27AE1166" w:rsidR="00CF3181" w:rsidRPr="00CF3181" w:rsidRDefault="00CF3181" w:rsidP="00CF3181">
      <w:pPr>
        <w:rPr>
          <w:lang w:val="en-GB"/>
        </w:rPr>
      </w:pPr>
      <w:bookmarkStart w:id="318" w:name="_1uykf2t2ampt" w:colFirst="0" w:colLast="0"/>
      <w:bookmarkEnd w:id="318"/>
      <w:r w:rsidRPr="00CF3181">
        <w:rPr>
          <w:lang w:val="en-GB"/>
        </w:rPr>
        <w:t>Data were collected, processed and analysed as described in Chapter 2. Here we will describe any alterations made for the current analysis, also depicted in Figure 1</w:t>
      </w:r>
      <w:r w:rsidR="00AA3DEE">
        <w:rPr>
          <w:lang w:val="en-GB"/>
        </w:rPr>
        <w:t>5</w:t>
      </w:r>
      <w:r w:rsidRPr="00CF3181">
        <w:rPr>
          <w:lang w:val="en-GB"/>
        </w:rPr>
        <w:t xml:space="preserve">. </w:t>
      </w:r>
    </w:p>
    <w:p w14:paraId="260DDDC8" w14:textId="77777777" w:rsidR="00381BB6" w:rsidRPr="00691215" w:rsidRDefault="00381BB6" w:rsidP="00691215">
      <w:pPr>
        <w:pStyle w:val="Heading3"/>
      </w:pPr>
      <w:bookmarkStart w:id="319" w:name="_Toc3211426"/>
      <w:r w:rsidRPr="00691215">
        <w:t>Data Selection, Pre-processing, and Quality Control</w:t>
      </w:r>
      <w:bookmarkEnd w:id="319"/>
    </w:p>
    <w:p w14:paraId="11C141DD" w14:textId="77777777" w:rsidR="00A65B3C" w:rsidRDefault="00381BB6" w:rsidP="00A65B3C">
      <w:pPr>
        <w:rPr>
          <w:lang w:val="en-GB"/>
        </w:rPr>
      </w:pPr>
      <w:r w:rsidRPr="0082680A">
        <w:rPr>
          <w:lang w:val="en-GB"/>
        </w:rPr>
        <w:t>GEO terms used to find autoimmune cases suffering from arthritis included the term “arthritis” as well as the names of any of the aforementioned autoimmune conditions which present with symptoms of arthritic joints. Accepted tissues were limited to the synovial membrane and synovial fluid, as this is the site of the arthritic phenotype.</w:t>
      </w:r>
      <w:r w:rsidR="00A65B3C">
        <w:rPr>
          <w:lang w:val="en-GB"/>
        </w:rPr>
        <w:t xml:space="preserve"> </w:t>
      </w:r>
    </w:p>
    <w:p w14:paraId="66262E25" w14:textId="77777777" w:rsidR="00A65B3C" w:rsidRDefault="00A65B3C" w:rsidP="00A65B3C">
      <w:pPr>
        <w:rPr>
          <w:lang w:val="en-GB"/>
        </w:rPr>
      </w:pPr>
    </w:p>
    <w:p w14:paraId="211DEA0A" w14:textId="034834E8" w:rsidR="00A65B3C" w:rsidRPr="0082680A" w:rsidRDefault="00A65B3C" w:rsidP="00A65B3C">
      <w:pPr>
        <w:rPr>
          <w:lang w:val="en-GB"/>
        </w:rPr>
      </w:pPr>
      <w:r>
        <w:rPr>
          <w:lang w:val="en-GB"/>
        </w:rPr>
        <w:t>Four</w:t>
      </w:r>
      <w:r w:rsidRPr="0082680A">
        <w:rPr>
          <w:lang w:val="en-GB"/>
        </w:rPr>
        <w:t xml:space="preserve"> RA and one PA datasets were sourced, each containing samples from either the synovial membrane or synovial fluid in the case of PA (Table 4</w:t>
      </w:r>
      <w:r w:rsidR="00AA3DEE">
        <w:rPr>
          <w:lang w:val="en-GB"/>
        </w:rPr>
        <w:t>0</w:t>
      </w:r>
      <w:r w:rsidRPr="0082680A">
        <w:rPr>
          <w:lang w:val="en-GB"/>
        </w:rPr>
        <w:t xml:space="preserve">). Cases of other arthritis conditions such as JIA, gout, and ankylosing spondylitis were searched for, however datasets were extremely rare, and none met our criteria. For filtering, two groups of datasets were identified. Two </w:t>
      </w:r>
      <w:r w:rsidR="002B6267">
        <w:rPr>
          <w:lang w:val="en-GB"/>
        </w:rPr>
        <w:t>population</w:t>
      </w:r>
      <w:r w:rsidRPr="0082680A">
        <w:rPr>
          <w:lang w:val="en-GB"/>
        </w:rPr>
        <w:t xml:space="preserve">-generic signatures were generated, one from three osteoarthritis datasets, and another from one tendinopathy dataset (Tables </w:t>
      </w:r>
      <w:r w:rsidR="00AA3DEE">
        <w:rPr>
          <w:lang w:val="en-GB"/>
        </w:rPr>
        <w:t>41</w:t>
      </w:r>
      <w:r w:rsidRPr="0082680A">
        <w:rPr>
          <w:lang w:val="en-GB"/>
        </w:rPr>
        <w:t xml:space="preserve"> &amp; </w:t>
      </w:r>
      <w:r w:rsidR="00AA3DEE">
        <w:rPr>
          <w:lang w:val="en-GB"/>
        </w:rPr>
        <w:t>42</w:t>
      </w:r>
      <w:r w:rsidRPr="0082680A">
        <w:rPr>
          <w:lang w:val="en-GB"/>
        </w:rPr>
        <w:t xml:space="preserve">). These datasets represent non-autoimmune-induced inflammation within the joint (OA) and outside the joint (tendinopathy). Due to a lack of appropriate datasets to create an unaffected tissue signature, blood samples from one RA dataset (GSE55457) and blood samples from PA patients in the same dataset as synovial samples were used (Table </w:t>
      </w:r>
      <w:r w:rsidR="00AA3DEE">
        <w:rPr>
          <w:lang w:val="en-GB"/>
        </w:rPr>
        <w:t>43</w:t>
      </w:r>
      <w:r w:rsidRPr="0082680A">
        <w:rPr>
          <w:lang w:val="en-GB"/>
        </w:rPr>
        <w:t>). As discussed in the previous chapter, blood may carry a small arthritic gene expression signature, however it is considered divergent enough to carry out this role.</w:t>
      </w:r>
    </w:p>
    <w:p w14:paraId="72C29BD2" w14:textId="77777777" w:rsidR="00A65B3C" w:rsidRPr="0082680A" w:rsidRDefault="00A65B3C" w:rsidP="00A65B3C">
      <w:pPr>
        <w:rPr>
          <w:lang w:val="en-GB"/>
        </w:rPr>
      </w:pPr>
      <w:r w:rsidRPr="0082680A">
        <w:rPr>
          <w:lang w:val="en-GB"/>
        </w:rPr>
        <w:br w:type="page"/>
      </w:r>
    </w:p>
    <w:p w14:paraId="39DEA441" w14:textId="77777777" w:rsidR="00A65B3C" w:rsidRPr="0082680A" w:rsidRDefault="00A65B3C" w:rsidP="00A65B3C">
      <w:pPr>
        <w:pStyle w:val="NoSpacing"/>
        <w:rPr>
          <w:lang w:val="en-GB"/>
        </w:rPr>
      </w:pPr>
      <w:r w:rsidRPr="0082680A">
        <w:rPr>
          <w:noProof/>
          <w:lang w:val="en-GB"/>
        </w:rPr>
        <w:lastRenderedPageBreak/>
        <w:drawing>
          <wp:inline distT="0" distB="0" distL="0" distR="0" wp14:anchorId="21474C16" wp14:editId="4B5931C8">
            <wp:extent cx="5032530" cy="278067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A_ArthritisDatasetTable.pdf"/>
                    <pic:cNvPicPr/>
                  </pic:nvPicPr>
                  <pic:blipFill rotWithShape="1">
                    <a:blip r:embed="rId121">
                      <a:extLst>
                        <a:ext uri="{28A0092B-C50C-407E-A947-70E740481C1C}">
                          <a14:useLocalDpi xmlns:a14="http://schemas.microsoft.com/office/drawing/2010/main" val="0"/>
                        </a:ext>
                      </a:extLst>
                    </a:blip>
                    <a:srcRect b="18645"/>
                    <a:stretch/>
                  </pic:blipFill>
                  <pic:spPr bwMode="auto">
                    <a:xfrm>
                      <a:off x="0" y="0"/>
                      <a:ext cx="5042135" cy="2785982"/>
                    </a:xfrm>
                    <a:prstGeom prst="rect">
                      <a:avLst/>
                    </a:prstGeom>
                    <a:ln>
                      <a:noFill/>
                    </a:ln>
                    <a:extLst>
                      <a:ext uri="{53640926-AAD7-44D8-BBD7-CCE9431645EC}">
                        <a14:shadowObscured xmlns:a14="http://schemas.microsoft.com/office/drawing/2010/main"/>
                      </a:ext>
                    </a:extLst>
                  </pic:spPr>
                </pic:pic>
              </a:graphicData>
            </a:graphic>
          </wp:inline>
        </w:drawing>
      </w:r>
    </w:p>
    <w:p w14:paraId="7D38A236" w14:textId="0134C5B1" w:rsidR="00A65B3C" w:rsidRPr="00076A3D" w:rsidRDefault="00A65B3C" w:rsidP="00076A3D">
      <w:pPr>
        <w:pStyle w:val="Caption"/>
        <w:rPr>
          <w:b w:val="0"/>
          <w:lang w:val="en-GB"/>
        </w:rPr>
      </w:pPr>
      <w:bookmarkStart w:id="320" w:name="_Toc3225954"/>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40</w:t>
      </w:r>
      <w:r w:rsidR="00483095">
        <w:rPr>
          <w:lang w:val="en-GB"/>
        </w:rPr>
        <w:fldChar w:fldCharType="end"/>
      </w:r>
      <w:r w:rsidRPr="0082680A">
        <w:rPr>
          <w:lang w:val="en-GB"/>
        </w:rPr>
        <w:t xml:space="preserve">: </w:t>
      </w:r>
      <w:r w:rsidRPr="00076A3D">
        <w:rPr>
          <w:lang w:val="en-GB"/>
        </w:rPr>
        <w:t>Autoimmune arthritis datasets</w:t>
      </w:r>
      <w:r w:rsidR="00076A3D">
        <w:rPr>
          <w:b w:val="0"/>
          <w:lang w:val="en-GB"/>
        </w:rPr>
        <w:t xml:space="preserve">. </w:t>
      </w:r>
      <w:r w:rsidR="00076A3D" w:rsidRPr="006F3FC8">
        <w:rPr>
          <w:b w:val="0"/>
          <w:i/>
        </w:rPr>
        <w:t>Tissue</w:t>
      </w:r>
      <w:r w:rsidR="00076A3D">
        <w:rPr>
          <w:b w:val="0"/>
        </w:rPr>
        <w:t xml:space="preserve"> indicates the source of the biological material. </w:t>
      </w:r>
      <w:r w:rsidR="00076A3D" w:rsidRPr="006F3FC8">
        <w:rPr>
          <w:b w:val="0"/>
          <w:i/>
        </w:rPr>
        <w:t>Disease</w:t>
      </w:r>
      <w:r w:rsidR="00076A3D">
        <w:rPr>
          <w:b w:val="0"/>
        </w:rPr>
        <w:t xml:space="preserve"> indicates the medical condition patients had been diagnosed with. </w:t>
      </w:r>
      <w:r w:rsidR="00076A3D">
        <w:rPr>
          <w:b w:val="0"/>
          <w:i/>
        </w:rPr>
        <w:t>Variant</w:t>
      </w:r>
      <w:r w:rsidR="00076A3D">
        <w:rPr>
          <w:i/>
        </w:rPr>
        <w:t xml:space="preserve"> </w:t>
      </w:r>
      <w:r w:rsidR="00076A3D">
        <w:rPr>
          <w:b w:val="0"/>
        </w:rPr>
        <w:t xml:space="preserve">indicates whether the dataset contains individuals with a known genetic cause, or individuals with sporadic status. </w:t>
      </w:r>
      <w:r w:rsidR="00076A3D">
        <w:rPr>
          <w:b w:val="0"/>
          <w:i/>
        </w:rPr>
        <w:t>Platform</w:t>
      </w:r>
      <w:r w:rsidR="00076A3D">
        <w:rPr>
          <w:b w:val="0"/>
        </w:rPr>
        <w:t xml:space="preserve"> indicates the technical platform used to collect the expression data. Affymetrix platforms are microarray, Illumina are RNA-Seq. GEO ID is the reference provided by GEO to locate the original dataset. </w:t>
      </w:r>
      <w:r w:rsidR="00076A3D">
        <w:rPr>
          <w:b w:val="0"/>
          <w:i/>
        </w:rPr>
        <w:t>Publication</w:t>
      </w:r>
      <w:r w:rsidR="00076A3D">
        <w:rPr>
          <w:b w:val="0"/>
        </w:rPr>
        <w:t xml:space="preserve"> contains the reference supplied with the data on GEO.</w:t>
      </w:r>
      <w:bookmarkEnd w:id="320"/>
      <w:r w:rsidR="00076A3D">
        <w:rPr>
          <w:b w:val="0"/>
        </w:rPr>
        <w:t xml:space="preserve"> </w:t>
      </w:r>
    </w:p>
    <w:p w14:paraId="31D9EF8C" w14:textId="77777777" w:rsidR="00A65B3C" w:rsidRPr="0082680A" w:rsidRDefault="00A65B3C" w:rsidP="00A65B3C">
      <w:pPr>
        <w:pStyle w:val="NoSpacing"/>
        <w:rPr>
          <w:lang w:val="en-GB"/>
        </w:rPr>
      </w:pPr>
      <w:r w:rsidRPr="0082680A">
        <w:rPr>
          <w:noProof/>
          <w:lang w:val="en-GB"/>
        </w:rPr>
        <w:drawing>
          <wp:inline distT="0" distB="0" distL="0" distR="0" wp14:anchorId="480A3A53" wp14:editId="7770AE31">
            <wp:extent cx="5084815" cy="2106118"/>
            <wp:effectExtent l="0" t="0" r="0"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A_OsteoarthritisDatasets.pdf"/>
                    <pic:cNvPicPr/>
                  </pic:nvPicPr>
                  <pic:blipFill rotWithShape="1">
                    <a:blip r:embed="rId122">
                      <a:extLst>
                        <a:ext uri="{28A0092B-C50C-407E-A947-70E740481C1C}">
                          <a14:useLocalDpi xmlns:a14="http://schemas.microsoft.com/office/drawing/2010/main" val="0"/>
                        </a:ext>
                      </a:extLst>
                    </a:blip>
                    <a:srcRect b="39014"/>
                    <a:stretch/>
                  </pic:blipFill>
                  <pic:spPr bwMode="auto">
                    <a:xfrm>
                      <a:off x="0" y="0"/>
                      <a:ext cx="5108789" cy="2116048"/>
                    </a:xfrm>
                    <a:prstGeom prst="rect">
                      <a:avLst/>
                    </a:prstGeom>
                    <a:ln>
                      <a:noFill/>
                    </a:ln>
                    <a:extLst>
                      <a:ext uri="{53640926-AAD7-44D8-BBD7-CCE9431645EC}">
                        <a14:shadowObscured xmlns:a14="http://schemas.microsoft.com/office/drawing/2010/main"/>
                      </a:ext>
                    </a:extLst>
                  </pic:spPr>
                </pic:pic>
              </a:graphicData>
            </a:graphic>
          </wp:inline>
        </w:drawing>
      </w:r>
    </w:p>
    <w:p w14:paraId="10C78C6D" w14:textId="519EA784" w:rsidR="00A65B3C" w:rsidRPr="0082680A" w:rsidRDefault="00A65B3C" w:rsidP="00A65B3C">
      <w:pPr>
        <w:pStyle w:val="Caption"/>
        <w:rPr>
          <w:b w:val="0"/>
          <w:lang w:val="en-GB"/>
        </w:rPr>
      </w:pPr>
      <w:bookmarkStart w:id="321" w:name="_Toc3225955"/>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41</w:t>
      </w:r>
      <w:r w:rsidR="00483095">
        <w:rPr>
          <w:lang w:val="en-GB"/>
        </w:rPr>
        <w:fldChar w:fldCharType="end"/>
      </w:r>
      <w:r w:rsidRPr="0082680A">
        <w:rPr>
          <w:lang w:val="en-GB"/>
        </w:rPr>
        <w:t xml:space="preserve">: </w:t>
      </w:r>
      <w:r w:rsidRPr="00076A3D">
        <w:rPr>
          <w:lang w:val="en-GB"/>
        </w:rPr>
        <w:t xml:space="preserve">Osteoarthritis datasets representing a </w:t>
      </w:r>
      <w:r w:rsidR="002B6267" w:rsidRPr="00076A3D">
        <w:rPr>
          <w:lang w:val="en-GB"/>
        </w:rPr>
        <w:t>population-</w:t>
      </w:r>
      <w:r w:rsidRPr="00076A3D">
        <w:rPr>
          <w:lang w:val="en-GB"/>
        </w:rPr>
        <w:t>generic signature</w:t>
      </w:r>
      <w:r w:rsidR="00076A3D">
        <w:rPr>
          <w:b w:val="0"/>
          <w:lang w:val="en-GB"/>
        </w:rPr>
        <w:t xml:space="preserve">. </w:t>
      </w:r>
      <w:r w:rsidR="00076A3D" w:rsidRPr="006F3FC8">
        <w:rPr>
          <w:b w:val="0"/>
          <w:i/>
        </w:rPr>
        <w:t>Tissue</w:t>
      </w:r>
      <w:r w:rsidR="00076A3D">
        <w:rPr>
          <w:b w:val="0"/>
        </w:rPr>
        <w:t xml:space="preserve"> indicates the source of the biological material. </w:t>
      </w:r>
      <w:r w:rsidR="00076A3D" w:rsidRPr="006F3FC8">
        <w:rPr>
          <w:b w:val="0"/>
          <w:i/>
        </w:rPr>
        <w:t>Disease</w:t>
      </w:r>
      <w:r w:rsidR="00076A3D">
        <w:rPr>
          <w:b w:val="0"/>
        </w:rPr>
        <w:t xml:space="preserve"> indicates the medical condition patients had been diagnosed with. </w:t>
      </w:r>
      <w:r w:rsidR="00076A3D">
        <w:rPr>
          <w:b w:val="0"/>
          <w:i/>
        </w:rPr>
        <w:t>Platform</w:t>
      </w:r>
      <w:r w:rsidR="00076A3D">
        <w:rPr>
          <w:b w:val="0"/>
        </w:rPr>
        <w:t xml:space="preserve"> indicates the technical platform used to collect the expression data. Affymetrix platforms are microarray, Illumina are RNA-Seq. GEO ID is the reference provided by GEO to locate the original dataset. </w:t>
      </w:r>
      <w:r w:rsidR="00076A3D">
        <w:rPr>
          <w:b w:val="0"/>
          <w:i/>
        </w:rPr>
        <w:t>Publication</w:t>
      </w:r>
      <w:r w:rsidR="00076A3D">
        <w:rPr>
          <w:b w:val="0"/>
        </w:rPr>
        <w:t xml:space="preserve"> contains the reference supplied with the data on GEO.</w:t>
      </w:r>
      <w:bookmarkEnd w:id="321"/>
      <w:r w:rsidR="00076A3D">
        <w:rPr>
          <w:b w:val="0"/>
        </w:rPr>
        <w:t xml:space="preserve"> </w:t>
      </w:r>
    </w:p>
    <w:p w14:paraId="5262FEC6" w14:textId="47A1F65D" w:rsidR="00076A3D" w:rsidRDefault="00076A3D">
      <w:pPr>
        <w:rPr>
          <w:lang w:val="en-GB"/>
        </w:rPr>
      </w:pPr>
      <w:r>
        <w:rPr>
          <w:lang w:val="en-GB"/>
        </w:rPr>
        <w:br w:type="page"/>
      </w:r>
    </w:p>
    <w:p w14:paraId="2B7525FA" w14:textId="77777777" w:rsidR="00A65B3C" w:rsidRPr="0082680A" w:rsidRDefault="00A65B3C" w:rsidP="00A65B3C">
      <w:pPr>
        <w:rPr>
          <w:lang w:val="en-GB"/>
        </w:rPr>
      </w:pPr>
    </w:p>
    <w:p w14:paraId="3AD4CF37" w14:textId="77777777" w:rsidR="00A65B3C" w:rsidRPr="0082680A" w:rsidRDefault="00A65B3C" w:rsidP="00A65B3C">
      <w:pPr>
        <w:pStyle w:val="NoSpacing"/>
        <w:rPr>
          <w:lang w:val="en-GB"/>
        </w:rPr>
      </w:pPr>
      <w:r w:rsidRPr="0082680A">
        <w:rPr>
          <w:noProof/>
          <w:lang w:val="en-GB"/>
        </w:rPr>
        <w:drawing>
          <wp:inline distT="0" distB="0" distL="0" distR="0" wp14:anchorId="193CB7FD" wp14:editId="45A23B7F">
            <wp:extent cx="5108596" cy="12966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A_TendinopathyTable.pdf"/>
                    <pic:cNvPicPr/>
                  </pic:nvPicPr>
                  <pic:blipFill rotWithShape="1">
                    <a:blip r:embed="rId123">
                      <a:extLst>
                        <a:ext uri="{28A0092B-C50C-407E-A947-70E740481C1C}">
                          <a14:useLocalDpi xmlns:a14="http://schemas.microsoft.com/office/drawing/2010/main" val="0"/>
                        </a:ext>
                      </a:extLst>
                    </a:blip>
                    <a:srcRect b="62628"/>
                    <a:stretch/>
                  </pic:blipFill>
                  <pic:spPr bwMode="auto">
                    <a:xfrm>
                      <a:off x="0" y="0"/>
                      <a:ext cx="5146898" cy="1306372"/>
                    </a:xfrm>
                    <a:prstGeom prst="rect">
                      <a:avLst/>
                    </a:prstGeom>
                    <a:ln>
                      <a:noFill/>
                    </a:ln>
                    <a:extLst>
                      <a:ext uri="{53640926-AAD7-44D8-BBD7-CCE9431645EC}">
                        <a14:shadowObscured xmlns:a14="http://schemas.microsoft.com/office/drawing/2010/main"/>
                      </a:ext>
                    </a:extLst>
                  </pic:spPr>
                </pic:pic>
              </a:graphicData>
            </a:graphic>
          </wp:inline>
        </w:drawing>
      </w:r>
    </w:p>
    <w:p w14:paraId="111E504B" w14:textId="59B5FC06" w:rsidR="00A65B3C" w:rsidRPr="00076A3D" w:rsidRDefault="00A65B3C" w:rsidP="00A65B3C">
      <w:pPr>
        <w:pStyle w:val="Caption"/>
        <w:rPr>
          <w:b w:val="0"/>
          <w:lang w:val="en-GB"/>
        </w:rPr>
      </w:pPr>
      <w:bookmarkStart w:id="322" w:name="_Toc3225956"/>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42</w:t>
      </w:r>
      <w:r w:rsidR="00483095">
        <w:rPr>
          <w:lang w:val="en-GB"/>
        </w:rPr>
        <w:fldChar w:fldCharType="end"/>
      </w:r>
      <w:r w:rsidRPr="0082680A">
        <w:rPr>
          <w:lang w:val="en-GB"/>
        </w:rPr>
        <w:t xml:space="preserve">: </w:t>
      </w:r>
      <w:r w:rsidRPr="00076A3D">
        <w:rPr>
          <w:lang w:val="en-GB"/>
        </w:rPr>
        <w:t xml:space="preserve">Tendinopathy dataset representing a </w:t>
      </w:r>
      <w:r w:rsidR="002B6267" w:rsidRPr="00076A3D">
        <w:rPr>
          <w:lang w:val="en-GB"/>
        </w:rPr>
        <w:t>population-</w:t>
      </w:r>
      <w:r w:rsidRPr="00076A3D">
        <w:rPr>
          <w:lang w:val="en-GB"/>
        </w:rPr>
        <w:t>generic signature</w:t>
      </w:r>
      <w:r w:rsidR="00076A3D" w:rsidRPr="00076A3D">
        <w:rPr>
          <w:lang w:val="en-GB"/>
        </w:rPr>
        <w:t>.</w:t>
      </w:r>
      <w:r w:rsidR="00076A3D">
        <w:rPr>
          <w:lang w:val="en-GB"/>
        </w:rPr>
        <w:t xml:space="preserve"> </w:t>
      </w:r>
      <w:r w:rsidR="00076A3D" w:rsidRPr="006F3FC8">
        <w:rPr>
          <w:b w:val="0"/>
          <w:i/>
        </w:rPr>
        <w:t>Tissue</w:t>
      </w:r>
      <w:r w:rsidR="00076A3D">
        <w:rPr>
          <w:b w:val="0"/>
        </w:rPr>
        <w:t xml:space="preserve"> indicates the source of the biological material. </w:t>
      </w:r>
      <w:r w:rsidR="00076A3D" w:rsidRPr="006F3FC8">
        <w:rPr>
          <w:b w:val="0"/>
          <w:i/>
        </w:rPr>
        <w:t>Disease</w:t>
      </w:r>
      <w:r w:rsidR="00076A3D">
        <w:rPr>
          <w:b w:val="0"/>
        </w:rPr>
        <w:t xml:space="preserve"> indicates the medical condition patients had been diagnosed with. </w:t>
      </w:r>
      <w:r w:rsidR="00076A3D">
        <w:rPr>
          <w:b w:val="0"/>
          <w:i/>
        </w:rPr>
        <w:t>Platform</w:t>
      </w:r>
      <w:r w:rsidR="00076A3D">
        <w:rPr>
          <w:b w:val="0"/>
        </w:rPr>
        <w:t xml:space="preserve"> indicates the technical platform used to collect the expression data. Affymetrix platforms are microarray, Illumina are RNA-Seq. GEO ID is the reference provided by GEO to locate the original dataset. </w:t>
      </w:r>
      <w:r w:rsidR="00076A3D">
        <w:rPr>
          <w:b w:val="0"/>
          <w:i/>
        </w:rPr>
        <w:t>Publication</w:t>
      </w:r>
      <w:r w:rsidR="00076A3D">
        <w:rPr>
          <w:b w:val="0"/>
        </w:rPr>
        <w:t xml:space="preserve"> contains the reference supplied with the data on GEO.</w:t>
      </w:r>
      <w:bookmarkEnd w:id="322"/>
    </w:p>
    <w:p w14:paraId="52FB0285" w14:textId="77777777" w:rsidR="00A65B3C" w:rsidRPr="0082680A" w:rsidRDefault="00A65B3C" w:rsidP="00A65B3C">
      <w:pPr>
        <w:rPr>
          <w:lang w:val="en-GB"/>
        </w:rPr>
      </w:pPr>
    </w:p>
    <w:p w14:paraId="029C87C7" w14:textId="77777777" w:rsidR="00A65B3C" w:rsidRPr="0082680A" w:rsidRDefault="00A65B3C" w:rsidP="00A65B3C">
      <w:pPr>
        <w:pStyle w:val="NoSpacing"/>
        <w:rPr>
          <w:lang w:val="en-GB"/>
        </w:rPr>
      </w:pPr>
      <w:r w:rsidRPr="0082680A">
        <w:rPr>
          <w:noProof/>
          <w:lang w:val="en-GB"/>
        </w:rPr>
        <w:drawing>
          <wp:inline distT="0" distB="0" distL="0" distR="0" wp14:anchorId="2E0BEEB2" wp14:editId="1AD0F949">
            <wp:extent cx="5039360" cy="1226917"/>
            <wp:effectExtent l="0" t="0" r="254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A_RABlood.pdf"/>
                    <pic:cNvPicPr/>
                  </pic:nvPicPr>
                  <pic:blipFill rotWithShape="1">
                    <a:blip r:embed="rId124">
                      <a:extLst>
                        <a:ext uri="{28A0092B-C50C-407E-A947-70E740481C1C}">
                          <a14:useLocalDpi xmlns:a14="http://schemas.microsoft.com/office/drawing/2010/main" val="0"/>
                        </a:ext>
                      </a:extLst>
                    </a:blip>
                    <a:srcRect b="66989"/>
                    <a:stretch/>
                  </pic:blipFill>
                  <pic:spPr bwMode="auto">
                    <a:xfrm>
                      <a:off x="0" y="0"/>
                      <a:ext cx="5039360" cy="1226917"/>
                    </a:xfrm>
                    <a:prstGeom prst="rect">
                      <a:avLst/>
                    </a:prstGeom>
                    <a:ln>
                      <a:noFill/>
                    </a:ln>
                    <a:extLst>
                      <a:ext uri="{53640926-AAD7-44D8-BBD7-CCE9431645EC}">
                        <a14:shadowObscured xmlns:a14="http://schemas.microsoft.com/office/drawing/2010/main"/>
                      </a:ext>
                    </a:extLst>
                  </pic:spPr>
                </pic:pic>
              </a:graphicData>
            </a:graphic>
          </wp:inline>
        </w:drawing>
      </w:r>
    </w:p>
    <w:p w14:paraId="4A11A081" w14:textId="652462A5" w:rsidR="00A65B3C" w:rsidRPr="00076A3D" w:rsidRDefault="00A65B3C" w:rsidP="00A65B3C">
      <w:pPr>
        <w:pStyle w:val="Caption"/>
        <w:rPr>
          <w:b w:val="0"/>
          <w:lang w:val="en-GB"/>
        </w:rPr>
      </w:pPr>
      <w:bookmarkStart w:id="323" w:name="_Toc3225957"/>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43</w:t>
      </w:r>
      <w:r w:rsidR="00483095">
        <w:rPr>
          <w:lang w:val="en-GB"/>
        </w:rPr>
        <w:fldChar w:fldCharType="end"/>
      </w:r>
      <w:r w:rsidRPr="0082680A">
        <w:rPr>
          <w:lang w:val="en-GB"/>
        </w:rPr>
        <w:t xml:space="preserve">: </w:t>
      </w:r>
      <w:r w:rsidRPr="00076A3D">
        <w:rPr>
          <w:lang w:val="en-GB"/>
        </w:rPr>
        <w:t>Rheumatoid and Psoriatic arthritis datasets representing a tissue non-specific signature</w:t>
      </w:r>
      <w:r w:rsidR="00076A3D">
        <w:rPr>
          <w:lang w:val="en-GB"/>
        </w:rPr>
        <w:t xml:space="preserve">. </w:t>
      </w:r>
      <w:r w:rsidR="00076A3D" w:rsidRPr="006F3FC8">
        <w:rPr>
          <w:b w:val="0"/>
          <w:i/>
        </w:rPr>
        <w:t>Tissue</w:t>
      </w:r>
      <w:r w:rsidR="00076A3D">
        <w:rPr>
          <w:b w:val="0"/>
        </w:rPr>
        <w:t xml:space="preserve"> indicates the source of the biological material. </w:t>
      </w:r>
      <w:r w:rsidR="00076A3D" w:rsidRPr="006F3FC8">
        <w:rPr>
          <w:b w:val="0"/>
          <w:i/>
        </w:rPr>
        <w:t>Disease</w:t>
      </w:r>
      <w:r w:rsidR="00076A3D">
        <w:rPr>
          <w:b w:val="0"/>
        </w:rPr>
        <w:t xml:space="preserve"> indicates the medical condition patients had been diagnosed with. </w:t>
      </w:r>
      <w:r w:rsidR="00076A3D">
        <w:rPr>
          <w:b w:val="0"/>
          <w:i/>
        </w:rPr>
        <w:t>Platform</w:t>
      </w:r>
      <w:r w:rsidR="00076A3D">
        <w:rPr>
          <w:b w:val="0"/>
        </w:rPr>
        <w:t xml:space="preserve"> indicates the technical platform used to collect the expression data. Affymetrix platforms are microarray, Illumina are RNA-Seq. GEO ID is the reference provided by GEO to locate the original dataset. </w:t>
      </w:r>
      <w:r w:rsidR="00076A3D">
        <w:rPr>
          <w:b w:val="0"/>
          <w:i/>
        </w:rPr>
        <w:t>Publication</w:t>
      </w:r>
      <w:r w:rsidR="00076A3D">
        <w:rPr>
          <w:b w:val="0"/>
        </w:rPr>
        <w:t xml:space="preserve"> contains the reference supplied with the data on GEO.</w:t>
      </w:r>
      <w:bookmarkEnd w:id="323"/>
    </w:p>
    <w:p w14:paraId="7D02126D" w14:textId="2ACED05F" w:rsidR="00076A3D" w:rsidRDefault="00381BB6" w:rsidP="00381BB6">
      <w:pPr>
        <w:rPr>
          <w:lang w:val="en-GB"/>
        </w:rPr>
      </w:pPr>
      <w:r w:rsidRPr="0082680A">
        <w:rPr>
          <w:lang w:val="en-GB"/>
        </w:rPr>
        <w:t xml:space="preserve">  </w:t>
      </w:r>
    </w:p>
    <w:p w14:paraId="5B1C853B" w14:textId="77777777" w:rsidR="00076A3D" w:rsidRDefault="00076A3D">
      <w:pPr>
        <w:rPr>
          <w:lang w:val="en-GB"/>
        </w:rPr>
      </w:pPr>
      <w:r>
        <w:rPr>
          <w:lang w:val="en-GB"/>
        </w:rPr>
        <w:br w:type="page"/>
      </w:r>
    </w:p>
    <w:p w14:paraId="5389D875" w14:textId="77777777" w:rsidR="00381BB6" w:rsidRPr="00691215" w:rsidRDefault="00381BB6" w:rsidP="00691215">
      <w:pPr>
        <w:pStyle w:val="Heading3"/>
      </w:pPr>
      <w:bookmarkStart w:id="324" w:name="_Toc3211427"/>
      <w:r w:rsidRPr="00691215">
        <w:lastRenderedPageBreak/>
        <w:t>Curation of Arthritis benchmark gene lists</w:t>
      </w:r>
      <w:bookmarkEnd w:id="324"/>
    </w:p>
    <w:p w14:paraId="43DC6DE0" w14:textId="1AC7497F" w:rsidR="007F4999" w:rsidRPr="0082680A" w:rsidRDefault="00381BB6" w:rsidP="00CB667D">
      <w:pPr>
        <w:rPr>
          <w:lang w:val="en-GB"/>
        </w:rPr>
      </w:pPr>
      <w:r w:rsidRPr="0082680A">
        <w:rPr>
          <w:lang w:val="en-GB"/>
        </w:rPr>
        <w:t>Benchmark gene lists were generated from rheumatoid and psoriatic-associated genes, as well as GWAS hits obtained from</w:t>
      </w:r>
      <w:r w:rsidR="00F141BB" w:rsidRPr="0082680A">
        <w:rPr>
          <w:lang w:val="en-GB"/>
        </w:rPr>
        <w:t xml:space="preserve"> the</w:t>
      </w:r>
      <w:r w:rsidRPr="0082680A">
        <w:rPr>
          <w:lang w:val="en-GB"/>
        </w:rPr>
        <w:t xml:space="preserve"> GWAS Catalog. One-hundred and fourteen RA-associated genes were extracted from the “Rheumatoid Arthritis” page on the website Malacards (</w:t>
      </w:r>
      <w:hyperlink r:id="rId125" w:history="1">
        <w:r w:rsidR="00B958C5" w:rsidRPr="0082680A">
          <w:rPr>
            <w:rStyle w:val="Hyperlink"/>
            <w:lang w:val="en-GB"/>
          </w:rPr>
          <w:t>https://www.malacards.org/card/rheumatoid_arthritis</w:t>
        </w:r>
      </w:hyperlink>
      <w:r w:rsidRPr="0082680A">
        <w:rPr>
          <w:lang w:val="en-GB"/>
        </w:rPr>
        <w:t>), and 33 PA-associated genes were extracted from the “Psoriatic Arthritis” page (</w:t>
      </w:r>
      <w:hyperlink r:id="rId126" w:history="1">
        <w:r w:rsidR="00B958C5" w:rsidRPr="0082680A">
          <w:rPr>
            <w:rStyle w:val="Hyperlink"/>
            <w:lang w:val="en-GB"/>
          </w:rPr>
          <w:t>https://www.malacards.org/card/psoriatic_arthritis</w:t>
        </w:r>
      </w:hyperlink>
      <w:r w:rsidR="00D9209E" w:rsidRPr="0082680A">
        <w:rPr>
          <w:lang w:val="en-GB"/>
        </w:rPr>
        <w:t>)</w:t>
      </w:r>
      <w:r w:rsidR="00CF3181">
        <w:rPr>
          <w:lang w:val="en-GB"/>
        </w:rPr>
        <w:t xml:space="preserve">. </w:t>
      </w:r>
      <w:r w:rsidR="00F141BB" w:rsidRPr="0082680A">
        <w:rPr>
          <w:lang w:val="en-GB"/>
        </w:rPr>
        <w:t xml:space="preserve">The </w:t>
      </w:r>
      <w:r w:rsidR="00D9209E" w:rsidRPr="0082680A">
        <w:rPr>
          <w:lang w:val="en-GB"/>
        </w:rPr>
        <w:t>GWAS C</w:t>
      </w:r>
      <w:r w:rsidRPr="0082680A">
        <w:rPr>
          <w:lang w:val="en-GB"/>
        </w:rPr>
        <w:t>atalog was queried for variants associated with five conditions - rheumatoid arthritis, psoriatic arthritis, ankylosing spondylitis, juvenile idiopathic arthritis, and systemic lupus erythematosus</w:t>
      </w:r>
      <w:r w:rsidR="005B3BB4" w:rsidRPr="0082680A">
        <w:rPr>
          <w:lang w:val="en-GB"/>
        </w:rPr>
        <w:t>, though only RA and PA were used for benchmarking during the development of the autoimmune arthritis signature as these were the conditions represented by the input data</w:t>
      </w:r>
      <w:r w:rsidR="00CF3181">
        <w:rPr>
          <w:lang w:val="en-GB"/>
        </w:rPr>
        <w:t>.</w:t>
      </w:r>
      <w:r w:rsidRPr="0082680A">
        <w:rPr>
          <w:lang w:val="en-GB"/>
        </w:rPr>
        <w:t xml:space="preserve"> </w:t>
      </w:r>
    </w:p>
    <w:p w14:paraId="3EE3ABE7" w14:textId="77777777" w:rsidR="007F4999" w:rsidRPr="00691215" w:rsidRDefault="007F4999" w:rsidP="00691215">
      <w:pPr>
        <w:pStyle w:val="Heading3"/>
      </w:pPr>
      <w:bookmarkStart w:id="325" w:name="_Toc3211428"/>
      <w:r w:rsidRPr="00691215">
        <w:t>Prioritisation</w:t>
      </w:r>
      <w:bookmarkEnd w:id="325"/>
    </w:p>
    <w:p w14:paraId="3B0C2E6F" w14:textId="5BD4516A" w:rsidR="001653DA" w:rsidRDefault="007F4999" w:rsidP="00CF3181">
      <w:pPr>
        <w:rPr>
          <w:lang w:val="en-GB"/>
        </w:rPr>
      </w:pPr>
      <w:r w:rsidRPr="0082680A">
        <w:rPr>
          <w:lang w:val="en-GB"/>
        </w:rPr>
        <w:t xml:space="preserve">Instead of identifying LoF mutations in sequencing data, genes associated with SNPS from the GWAS Catalog (P-value threshold P &lt; 1e-5) were scored for genetic risk in arthritis. Genes associated with only one condition scored 4, whereas genes associated with two or more genes scored 5. Random permutation analysis was conducted as in previous chapters, however the true positives used were the GWAS hit genes. Subsequently, GWAS scores were not included in the total score. As no particular gene or protein is predominantly associated with this phenotype, a protein-interaction measure was not included. </w:t>
      </w:r>
      <w:bookmarkStart w:id="326" w:name="_gyngbusx3ruc" w:colFirst="0" w:colLast="0"/>
      <w:bookmarkEnd w:id="326"/>
      <w:r w:rsidRPr="0082680A">
        <w:rPr>
          <w:lang w:val="en-GB"/>
        </w:rPr>
        <w:br w:type="page"/>
      </w:r>
    </w:p>
    <w:p w14:paraId="7F4114DA" w14:textId="77777777" w:rsidR="00CF3181" w:rsidRDefault="00CF3181" w:rsidP="00CF3181">
      <w:pPr>
        <w:keepNext/>
        <w:jc w:val="center"/>
      </w:pPr>
      <w:r>
        <w:rPr>
          <w:noProof/>
          <w:lang w:val="en-GB"/>
        </w:rPr>
        <w:lastRenderedPageBreak/>
        <w:drawing>
          <wp:inline distT="0" distB="0" distL="0" distR="0" wp14:anchorId="27742904" wp14:editId="1494FFF6">
            <wp:extent cx="4869898" cy="7240249"/>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AA_Workflow.pdf"/>
                    <pic:cNvPicPr/>
                  </pic:nvPicPr>
                  <pic:blipFill rotWithShape="1">
                    <a:blip r:embed="rId127">
                      <a:extLst>
                        <a:ext uri="{28A0092B-C50C-407E-A947-70E740481C1C}">
                          <a14:useLocalDpi xmlns:a14="http://schemas.microsoft.com/office/drawing/2010/main" val="0"/>
                        </a:ext>
                      </a:extLst>
                    </a:blip>
                    <a:srcRect l="9074" r="6283" b="11692"/>
                    <a:stretch/>
                  </pic:blipFill>
                  <pic:spPr bwMode="auto">
                    <a:xfrm>
                      <a:off x="0" y="0"/>
                      <a:ext cx="4877122" cy="7250989"/>
                    </a:xfrm>
                    <a:prstGeom prst="rect">
                      <a:avLst/>
                    </a:prstGeom>
                    <a:ln>
                      <a:noFill/>
                    </a:ln>
                    <a:extLst>
                      <a:ext uri="{53640926-AAD7-44D8-BBD7-CCE9431645EC}">
                        <a14:shadowObscured xmlns:a14="http://schemas.microsoft.com/office/drawing/2010/main"/>
                      </a:ext>
                    </a:extLst>
                  </pic:spPr>
                </pic:pic>
              </a:graphicData>
            </a:graphic>
          </wp:inline>
        </w:drawing>
      </w:r>
    </w:p>
    <w:p w14:paraId="5C3EFC21" w14:textId="73ECD6DA" w:rsidR="00CF3181" w:rsidRPr="003277DE" w:rsidRDefault="00CF3181" w:rsidP="00CF3181">
      <w:pPr>
        <w:pStyle w:val="Caption"/>
        <w:rPr>
          <w:b w:val="0"/>
          <w:lang w:val="en-GB"/>
        </w:rPr>
      </w:pPr>
      <w:bookmarkStart w:id="327" w:name="_Toc3226011"/>
      <w:r>
        <w:t xml:space="preserve">Figure </w:t>
      </w:r>
      <w:r w:rsidR="00397D8F">
        <w:rPr>
          <w:noProof/>
        </w:rPr>
        <w:fldChar w:fldCharType="begin"/>
      </w:r>
      <w:r w:rsidR="00397D8F">
        <w:rPr>
          <w:noProof/>
        </w:rPr>
        <w:instrText xml:space="preserve"> SEQ Figure \* ARABIC </w:instrText>
      </w:r>
      <w:r w:rsidR="00397D8F">
        <w:rPr>
          <w:noProof/>
        </w:rPr>
        <w:fldChar w:fldCharType="separate"/>
      </w:r>
      <w:r w:rsidR="00066B5A">
        <w:rPr>
          <w:noProof/>
        </w:rPr>
        <w:t>15</w:t>
      </w:r>
      <w:r w:rsidR="00397D8F">
        <w:rPr>
          <w:noProof/>
        </w:rPr>
        <w:fldChar w:fldCharType="end"/>
      </w:r>
      <w:r>
        <w:t xml:space="preserve">: Workflow for autoimmune arthritis analysis. </w:t>
      </w:r>
      <w:r>
        <w:rPr>
          <w:b w:val="0"/>
        </w:rPr>
        <w:t>Changes to the methodology are indicated by the text boxes. All other methods remained as previous.</w:t>
      </w:r>
      <w:bookmarkEnd w:id="327"/>
    </w:p>
    <w:p w14:paraId="45D88895" w14:textId="77777777" w:rsidR="00CF3181" w:rsidRDefault="00CF3181">
      <w:pPr>
        <w:rPr>
          <w:b/>
          <w:iCs/>
          <w:color w:val="000000" w:themeColor="text1"/>
          <w:szCs w:val="18"/>
          <w:lang w:val="en-GB"/>
        </w:rPr>
      </w:pPr>
      <w:bookmarkStart w:id="328" w:name="_fukgouxsxt8f" w:colFirst="0" w:colLast="0"/>
      <w:bookmarkEnd w:id="328"/>
      <w:r>
        <w:rPr>
          <w:b/>
          <w:iCs/>
          <w:color w:val="000000" w:themeColor="text1"/>
          <w:szCs w:val="18"/>
        </w:rPr>
        <w:br w:type="page"/>
      </w:r>
    </w:p>
    <w:p w14:paraId="6E2ECC45" w14:textId="332C4ED1" w:rsidR="00381BB6" w:rsidRPr="00842FD0" w:rsidRDefault="00381BB6" w:rsidP="00842FD0">
      <w:pPr>
        <w:pStyle w:val="Heading2"/>
      </w:pPr>
      <w:bookmarkStart w:id="329" w:name="_Toc3211429"/>
      <w:r w:rsidRPr="00842FD0">
        <w:lastRenderedPageBreak/>
        <w:t>Results</w:t>
      </w:r>
      <w:bookmarkEnd w:id="329"/>
    </w:p>
    <w:p w14:paraId="145F70CD" w14:textId="192D6F92" w:rsidR="00381BB6" w:rsidRPr="00691215" w:rsidRDefault="00A65B3C" w:rsidP="00691215">
      <w:pPr>
        <w:pStyle w:val="Heading3"/>
      </w:pPr>
      <w:bookmarkStart w:id="330" w:name="_9lggbev4jww2" w:colFirst="0" w:colLast="0"/>
      <w:bookmarkStart w:id="331" w:name="_Toc3211430"/>
      <w:bookmarkEnd w:id="330"/>
      <w:r w:rsidRPr="00691215">
        <w:t>Quality</w:t>
      </w:r>
      <w:r w:rsidR="00381BB6" w:rsidRPr="00691215">
        <w:t xml:space="preserve"> control of datasets</w:t>
      </w:r>
      <w:bookmarkEnd w:id="331"/>
    </w:p>
    <w:p w14:paraId="2C771428" w14:textId="0EB7FD2C" w:rsidR="00381BB6" w:rsidRDefault="00381BB6" w:rsidP="00381BB6">
      <w:pPr>
        <w:rPr>
          <w:lang w:val="en-GB"/>
        </w:rPr>
      </w:pPr>
      <w:r w:rsidRPr="0082680A">
        <w:rPr>
          <w:lang w:val="en-GB"/>
        </w:rPr>
        <w:t>Quali</w:t>
      </w:r>
      <w:r w:rsidR="00AF49E2" w:rsidRPr="0082680A">
        <w:rPr>
          <w:lang w:val="en-GB"/>
        </w:rPr>
        <w:t xml:space="preserve">ty control analysis identified 2 </w:t>
      </w:r>
      <w:r w:rsidR="0009403C">
        <w:rPr>
          <w:lang w:val="en-GB"/>
        </w:rPr>
        <w:t>samples to be removed from GSE89408; GSM2371180 and GSM2370971. (Appendix Figur</w:t>
      </w:r>
      <w:r w:rsidR="000E46C0">
        <w:rPr>
          <w:lang w:val="en-GB"/>
        </w:rPr>
        <w:t>es 15-18</w:t>
      </w:r>
      <w:r w:rsidR="0009403C">
        <w:rPr>
          <w:lang w:val="en-GB"/>
        </w:rPr>
        <w:t>)</w:t>
      </w:r>
      <w:r w:rsidRPr="0082680A">
        <w:rPr>
          <w:lang w:val="en-GB"/>
        </w:rPr>
        <w:t xml:space="preserve"> </w:t>
      </w:r>
    </w:p>
    <w:p w14:paraId="43783A61" w14:textId="76647A52" w:rsidR="00DD5902" w:rsidRDefault="00DD5902" w:rsidP="00381BB6">
      <w:pPr>
        <w:rPr>
          <w:lang w:val="en-GB"/>
        </w:rPr>
      </w:pPr>
    </w:p>
    <w:p w14:paraId="07B588E3" w14:textId="7429D4F6" w:rsidR="00DD5902" w:rsidRPr="0082680A" w:rsidRDefault="00DD5902" w:rsidP="00381BB6">
      <w:pPr>
        <w:rPr>
          <w:lang w:val="en-GB"/>
        </w:rPr>
      </w:pPr>
      <w:r>
        <w:rPr>
          <w:color w:val="000000" w:themeColor="text1"/>
          <w:lang w:val="en-GB"/>
        </w:rPr>
        <w:t>Boxplots of data pre-and post-normali</w:t>
      </w:r>
      <w:r>
        <w:rPr>
          <w:color w:val="000000" w:themeColor="text1"/>
          <w:lang w:val="en-GB"/>
        </w:rPr>
        <w:t xml:space="preserve">sation </w:t>
      </w:r>
      <w:r>
        <w:rPr>
          <w:color w:val="000000" w:themeColor="text1"/>
          <w:lang w:val="en-GB"/>
        </w:rPr>
        <w:t>show</w:t>
      </w:r>
      <w:r w:rsidRPr="008D4E67">
        <w:rPr>
          <w:color w:val="000000" w:themeColor="text1"/>
          <w:lang w:val="en-GB"/>
        </w:rPr>
        <w:t xml:space="preserve"> </w:t>
      </w:r>
      <w:r>
        <w:rPr>
          <w:color w:val="000000" w:themeColor="text1"/>
          <w:lang w:val="en-GB"/>
        </w:rPr>
        <w:t>a relative</w:t>
      </w:r>
      <w:r>
        <w:rPr>
          <w:color w:val="000000" w:themeColor="text1"/>
          <w:lang w:val="en-GB"/>
        </w:rPr>
        <w:t xml:space="preserve"> consisten</w:t>
      </w:r>
      <w:r>
        <w:rPr>
          <w:color w:val="000000" w:themeColor="text1"/>
          <w:lang w:val="en-GB"/>
        </w:rPr>
        <w:t>cy in</w:t>
      </w:r>
      <w:r w:rsidRPr="008D4E67">
        <w:rPr>
          <w:color w:val="000000" w:themeColor="text1"/>
          <w:lang w:val="en-GB"/>
        </w:rPr>
        <w:t xml:space="preserve"> log2 expression </w:t>
      </w:r>
      <w:r>
        <w:rPr>
          <w:color w:val="000000" w:themeColor="text1"/>
          <w:lang w:val="en-GB"/>
        </w:rPr>
        <w:t>variance within</w:t>
      </w:r>
      <w:r w:rsidRPr="008D4E67">
        <w:rPr>
          <w:color w:val="000000" w:themeColor="text1"/>
          <w:lang w:val="en-GB"/>
        </w:rPr>
        <w:t xml:space="preserve"> </w:t>
      </w:r>
      <w:r>
        <w:rPr>
          <w:color w:val="000000" w:themeColor="text1"/>
          <w:lang w:val="en-GB"/>
        </w:rPr>
        <w:t>each</w:t>
      </w:r>
      <w:r w:rsidRPr="008D4E67">
        <w:rPr>
          <w:color w:val="000000" w:themeColor="text1"/>
          <w:lang w:val="en-GB"/>
        </w:rPr>
        <w:t xml:space="preserve"> </w:t>
      </w:r>
      <w:r>
        <w:rPr>
          <w:color w:val="000000" w:themeColor="text1"/>
          <w:lang w:val="en-GB"/>
        </w:rPr>
        <w:t>technolog</w:t>
      </w:r>
      <w:r>
        <w:rPr>
          <w:color w:val="000000" w:themeColor="text1"/>
          <w:lang w:val="en-GB"/>
        </w:rPr>
        <w:t>y</w:t>
      </w:r>
      <w:r>
        <w:rPr>
          <w:color w:val="000000" w:themeColor="text1"/>
          <w:lang w:val="en-GB"/>
        </w:rPr>
        <w:t xml:space="preserve"> before normalisation across datasets (Appendix Figure 1</w:t>
      </w:r>
      <w:r>
        <w:rPr>
          <w:color w:val="000000" w:themeColor="text1"/>
          <w:lang w:val="en-GB"/>
        </w:rPr>
        <w:t>9</w:t>
      </w:r>
      <w:r>
        <w:rPr>
          <w:color w:val="000000" w:themeColor="text1"/>
          <w:lang w:val="en-GB"/>
        </w:rPr>
        <w:t>)</w:t>
      </w:r>
      <w:r w:rsidRPr="008D4E67">
        <w:rPr>
          <w:color w:val="000000" w:themeColor="text1"/>
          <w:lang w:val="en-GB"/>
        </w:rPr>
        <w:t xml:space="preserve">. </w:t>
      </w:r>
      <w:r>
        <w:rPr>
          <w:color w:val="000000" w:themeColor="text1"/>
          <w:lang w:val="en-GB"/>
        </w:rPr>
        <w:t xml:space="preserve">Again, </w:t>
      </w:r>
      <w:r w:rsidRPr="008D4E67">
        <w:rPr>
          <w:color w:val="000000" w:themeColor="text1"/>
          <w:lang w:val="en-GB"/>
        </w:rPr>
        <w:t>RNA-Seq range is larger compared to microarray</w:t>
      </w:r>
      <w:r>
        <w:rPr>
          <w:color w:val="000000" w:themeColor="text1"/>
          <w:lang w:val="en-GB"/>
        </w:rPr>
        <w:t xml:space="preserve"> pre-normalisation</w:t>
      </w:r>
      <w:r w:rsidRPr="008D4E67">
        <w:rPr>
          <w:color w:val="000000" w:themeColor="text1"/>
          <w:lang w:val="en-GB"/>
        </w:rPr>
        <w:t xml:space="preserve">, </w:t>
      </w:r>
      <w:r>
        <w:rPr>
          <w:color w:val="000000" w:themeColor="text1"/>
          <w:lang w:val="en-GB"/>
        </w:rPr>
        <w:t>however after</w:t>
      </w:r>
      <w:r>
        <w:rPr>
          <w:lang w:val="en-GB"/>
        </w:rPr>
        <w:t xml:space="preserve"> normalisation the</w:t>
      </w:r>
      <w:r>
        <w:rPr>
          <w:lang w:val="en-GB"/>
        </w:rPr>
        <w:t xml:space="preserve"> difference in median is greatly reduced. </w:t>
      </w:r>
    </w:p>
    <w:p w14:paraId="4E5F09FB" w14:textId="3A9B2DE5" w:rsidR="00AB4F8E" w:rsidRPr="0082680A" w:rsidRDefault="00AB4F8E" w:rsidP="00F16BDC">
      <w:pPr>
        <w:rPr>
          <w:iCs/>
          <w:color w:val="000000" w:themeColor="text1"/>
          <w:sz w:val="20"/>
          <w:szCs w:val="18"/>
          <w:lang w:val="en-GB"/>
        </w:rPr>
      </w:pPr>
    </w:p>
    <w:p w14:paraId="589F0A55" w14:textId="77777777" w:rsidR="00381BB6" w:rsidRPr="00691215" w:rsidRDefault="00381BB6" w:rsidP="00691215">
      <w:pPr>
        <w:pStyle w:val="Heading3"/>
      </w:pPr>
      <w:bookmarkStart w:id="332" w:name="_t62xaxr0pbrn" w:colFirst="0" w:colLast="0"/>
      <w:bookmarkStart w:id="333" w:name="_Toc3211431"/>
      <w:bookmarkEnd w:id="332"/>
      <w:r w:rsidRPr="00691215">
        <w:t>Identification of commonly differentially expressed genes</w:t>
      </w:r>
      <w:bookmarkEnd w:id="333"/>
    </w:p>
    <w:p w14:paraId="08D1D46B" w14:textId="3CDA9BF6" w:rsidR="008E6649" w:rsidRPr="0082680A" w:rsidRDefault="00381BB6" w:rsidP="00381BB6">
      <w:pPr>
        <w:rPr>
          <w:color w:val="000000" w:themeColor="text1"/>
          <w:lang w:val="en-GB"/>
        </w:rPr>
      </w:pPr>
      <w:r w:rsidRPr="0082680A">
        <w:rPr>
          <w:lang w:val="en-GB"/>
        </w:rPr>
        <w:t xml:space="preserve">After differential expression analysis and filtering for common fold change direction, 1062 genes were found to be commonly upregulated and 824 genes commonly downregulated for the five datasets. </w:t>
      </w:r>
      <w:r w:rsidR="006E058A" w:rsidRPr="0082680A">
        <w:rPr>
          <w:color w:val="000000" w:themeColor="text1"/>
          <w:lang w:val="en-GB"/>
        </w:rPr>
        <w:t xml:space="preserve">Random permutation testing indicated that again, the numbers of upregulated, downregulated, and total gene numbers were markedly higher than expected by chance (Table </w:t>
      </w:r>
      <w:r w:rsidR="00066B5A">
        <w:rPr>
          <w:color w:val="000000" w:themeColor="text1"/>
          <w:lang w:val="en-GB"/>
        </w:rPr>
        <w:t>44</w:t>
      </w:r>
      <w:r w:rsidR="00B04B3F" w:rsidRPr="0082680A">
        <w:rPr>
          <w:color w:val="000000" w:themeColor="text1"/>
          <w:lang w:val="en-GB"/>
        </w:rPr>
        <w:t xml:space="preserve"> &amp; </w:t>
      </w:r>
      <w:r w:rsidR="00066B5A">
        <w:rPr>
          <w:color w:val="000000" w:themeColor="text1"/>
          <w:lang w:val="en-GB"/>
        </w:rPr>
        <w:t>45</w:t>
      </w:r>
      <w:r w:rsidR="006E058A" w:rsidRPr="0082680A">
        <w:rPr>
          <w:color w:val="000000" w:themeColor="text1"/>
          <w:lang w:val="en-GB"/>
        </w:rPr>
        <w:t>). A P-value could not be calculated for any of the three experiments, as the observed value did not lie within the expected distribution.</w:t>
      </w:r>
    </w:p>
    <w:p w14:paraId="3B2EA293" w14:textId="77777777" w:rsidR="008E6649" w:rsidRPr="0082680A" w:rsidRDefault="008E6649" w:rsidP="00381BB6">
      <w:pPr>
        <w:rPr>
          <w:lang w:val="en-GB"/>
        </w:rPr>
      </w:pPr>
    </w:p>
    <w:p w14:paraId="685C46A7" w14:textId="04B4C449" w:rsidR="00381BB6" w:rsidRPr="0082680A" w:rsidRDefault="00381BB6" w:rsidP="00381BB6">
      <w:pPr>
        <w:rPr>
          <w:lang w:val="en-GB"/>
        </w:rPr>
      </w:pPr>
      <w:r w:rsidRPr="0082680A">
        <w:rPr>
          <w:lang w:val="en-GB"/>
        </w:rPr>
        <w:t>A consistent fold change signature was generated for the osteoarthritis datasets, and overlapped with the arthritis signature by 1030 genes, leaving 381 upregulated genes and 475 downregulated genes. Next, the tendinopathy signature was found to overlap by 219 genes, and once the overlap was removed, 280 upregulated and 357 downregulated genes remained. For unaffected tissue, a consistent fold signature was generated from rheumatoid and PA blood. Th</w:t>
      </w:r>
      <w:r w:rsidR="0050523A" w:rsidRPr="0082680A">
        <w:rPr>
          <w:lang w:val="en-GB"/>
        </w:rPr>
        <w:t>e</w:t>
      </w:r>
      <w:r w:rsidRPr="0082680A">
        <w:rPr>
          <w:lang w:val="en-GB"/>
        </w:rPr>
        <w:t xml:space="preserve"> signature overlapped by 213 genes, leaving a common arthritic joint signature of 198 upregulated genes and 226 downregulated genes (424 overall).</w:t>
      </w:r>
    </w:p>
    <w:p w14:paraId="370F6476" w14:textId="77777777" w:rsidR="00381BB6" w:rsidRPr="0082680A" w:rsidRDefault="00381BB6" w:rsidP="00381BB6">
      <w:pPr>
        <w:rPr>
          <w:lang w:val="en-GB"/>
        </w:rPr>
      </w:pPr>
    </w:p>
    <w:p w14:paraId="0686CD5B" w14:textId="246E4580" w:rsidR="00B04B3F" w:rsidRPr="0082680A" w:rsidRDefault="00B04B3F" w:rsidP="00381BB6">
      <w:pPr>
        <w:rPr>
          <w:lang w:val="en-GB"/>
        </w:rPr>
      </w:pPr>
      <w:r w:rsidRPr="0082680A">
        <w:rPr>
          <w:lang w:val="en-GB"/>
        </w:rPr>
        <w:t xml:space="preserve">Benchmark enrichment revealed significant enrichment of both RA-related genes from Malacards, and RA risk variants from </w:t>
      </w:r>
      <w:r w:rsidR="00F141BB" w:rsidRPr="0082680A">
        <w:rPr>
          <w:lang w:val="en-GB"/>
        </w:rPr>
        <w:t xml:space="preserve">the </w:t>
      </w:r>
      <w:r w:rsidRPr="0082680A">
        <w:rPr>
          <w:lang w:val="en-GB"/>
        </w:rPr>
        <w:t xml:space="preserve">GWAS Catalog, though again, P-values were moderate (Table </w:t>
      </w:r>
      <w:r w:rsidR="00066B5A">
        <w:rPr>
          <w:lang w:val="en-GB"/>
        </w:rPr>
        <w:t>46</w:t>
      </w:r>
      <w:r w:rsidRPr="0082680A">
        <w:rPr>
          <w:lang w:val="en-GB"/>
        </w:rPr>
        <w:t xml:space="preserve">). Genes within this overlap include </w:t>
      </w:r>
      <w:r w:rsidRPr="0082680A">
        <w:rPr>
          <w:i/>
          <w:lang w:val="en-GB"/>
        </w:rPr>
        <w:t>CRP</w:t>
      </w:r>
      <w:r w:rsidRPr="0082680A">
        <w:rPr>
          <w:lang w:val="en-GB"/>
        </w:rPr>
        <w:t xml:space="preserve">, the gene coding for C-Reactive Protein, a key indicator of raised inflammatory response whose protein level is widely used to diagnose presence of infections and immune response. Interestingly, </w:t>
      </w:r>
      <w:r w:rsidRPr="0082680A">
        <w:rPr>
          <w:i/>
          <w:lang w:val="en-GB"/>
        </w:rPr>
        <w:t>CRP</w:t>
      </w:r>
      <w:r w:rsidRPr="0082680A">
        <w:rPr>
          <w:lang w:val="en-GB"/>
        </w:rPr>
        <w:t xml:space="preserve"> is downregulated across our datasets, which is perhaps counterintuitive considering its raised levels usually indicating immune response. On the other hand, autoimmune </w:t>
      </w:r>
      <w:r w:rsidRPr="0082680A">
        <w:rPr>
          <w:lang w:val="en-GB"/>
        </w:rPr>
        <w:lastRenderedPageBreak/>
        <w:t xml:space="preserve">arthritis does not follow the same mechanistic pathway as infection, and CRP is not a reliable test for rheumatological conditions; possibly because CRP is very sensitive to environmental factors such as obesity, pregnancy, the contraceptive pill, and hormone replacement therapy </w:t>
      </w:r>
      <w:r w:rsidRPr="0082680A">
        <w:rPr>
          <w:lang w:val="en-GB"/>
        </w:rPr>
        <w:fldChar w:fldCharType="begin" w:fldLock="1"/>
      </w:r>
      <w:r w:rsidR="000507BA">
        <w:rPr>
          <w:lang w:val="en-GB"/>
        </w:rPr>
        <w:instrText>ADDIN CSL_CITATION {"citationItems":[{"id":"ITEM-1","itemData":{"DOI":"10.1001/jama.282.22.2131","ISSN":"0098-7484","abstract":"ContextHuman adipose tissue expresses and releases the proinflammatory cytokine\ninterleukin 6, potentially inducing low-grade systemic inflammation in persons\nwith excess body fat.ObjectiveTo test whether overweight and obesity are associated with low-grade\nsystemic inflammation as measured by serum C-reactive protein (CRP) level.Design and SettingThe Third National Health and Nutrition Examination Survey, representative\nof the US population from 1988 to 1994.ParticipantsA total of 16,616 men and nonpregnant women aged 17 years or older.Main Outcome MeasuresElevated CRP level of 0.22 mg/dL or more and a more stringent clinically\nraised CRP level of more than 1.00 mg/dL.ResultsElevated CRP levels and clinically raised CRP levels were present in\n27.6% and 6.7% of the population, respectively. Both overweight (body mass\nindex [BMI], 25-29.9 kg/m2) and obese (BMI, ≥30 kg/m2)\npersons were more likely to have elevated CRP levels than their normal-weight\ncounterparts (BMI, &amp;lt;25 kg/m2). After adjustment for potential\nconfounders, including smoking and health status, the odds ratio (OR) for\nelevated CRP was 2.13 (95% confidence interval [CI], 1.56-2.91) for obese\nmen and 6.21 (95% CI, 4.94-7.81) for obese women. In addition, BMI was associated\nwith clinically raised CRP levels in women, with an OR of 4.76 (95% CI, 3.42-6.61)\nfor obese women. Waist-to-hip ratio was positively associated with both elevated\nand clinically raised CRP levels, independent of BMI. Restricting the analyses\nto young adults (aged 17-39 years) and excluding smokers, persons with inflammatory\ndisease, cardiovascular disease, or diabetes mellitus and estrogen users did\nnot change the main findings.ConclusionHigher BMI is associated with higher CRP concentrations, even among\nyoung adults aged 17 to 39 years. These findings suggest a state of low-grade\nsystemic inflammation in overweight and obese persons.","author":[{"dropping-particle":"","family":"Visser","given":"Marjolein","non-dropping-particle":"","parse-names":false,"suffix":""},{"dropping-particle":"","family":"Bouter","given":"Lex M.","non-dropping-particle":"","parse-names":false,"suffix":""},{"dropping-particle":"","family":"McQuillan","given":"Geraldine M.","non-dropping-particle":"","parse-names":false,"suffix":""},{"dropping-particle":"","family":"Wener","given":"Mark H.","non-dropping-particle":"","parse-names":false,"suffix":""},{"dropping-particle":"","family":"Harris","given":"Tamara B.","non-dropping-particle":"","parse-names":false,"suffix":""}],"container-title":"JAMA","id":"ITEM-1","issue":"22","issued":{"date-parts":[["1999","12","8"]]},"page":"2131","publisher":"American Medical Association","title":"Elevated C-Reactive Protein Levels in Overweight and Obese Adults","type":"article-journal","volume":"282"},"uris":["http://www.mendeley.com/documents/?uuid=a5f0237a-e82f-3a78-841d-f78743ccc0bc"]},{"id":"ITEM-2","itemData":{"DOI":"10.1097/00006250-199102000-00002","ISSN":"0029-7844","PMID":"1988876","abstract":"Maternal serum C-reactive protein (CRP) has been studied extensively as an adjunct in the diagnosis of subclinical infection among pregnant women with preterm labor or preterm rupture of membranes. However, before the utility of CRP can be studied in pregnancies with these complications, the effects of normal pregnancy and labor on maternal serum CRP levels must be established. We determined CRP levels serially from 22 weeks' gestation until delivery in healthy pregnant women without antepartum complications. Median CRP values for women not in labor ranged from 0.7-0.9 mg/dL, depending on gestational age; 95% of the values were 1.5 mg/dL or lower. No consistent change in CRP levels with gestational age was found among serially sampled women not in labor. The median CRP value for women in labor at term was 1.3 mg/dL, and 32% of values were over 1.5 mg/dL. Median CRP values in normal pregnancies appear to be higher than standardized values for nonpregnant individuals, and CRP values are further elevated in labor. Understanding the physiology and temporal course of the increase in CRP in normal pregnancy and labor may help to clarify the appropriate use of CRP in complicated pregnancies.","author":[{"dropping-particle":"","family":"Watts","given":"D H","non-dropping-particle":"","parse-names":false,"suffix":""},{"dropping-particle":"","family":"Krohn","given":"M A","non-dropping-particle":"","parse-names":false,"suffix":""},{"dropping-particle":"","family":"Wener","given":"M H","non-dropping-particle":"","parse-names":false,"suffix":""},{"dropping-particle":"","family":"Eschenbach","given":"D A","non-dropping-particle":"","parse-names":false,"suffix":""}],"container-title":"Obstetrics and gynecology","id":"ITEM-2","issue":"2","issued":{"date-parts":[["1991","2"]]},"page":"176-80","title":"C-reactive protein in normal pregnancy.","type":"article-journal","volume":"77"},"uris":["http://www.mendeley.com/documents/?uuid=3648c070-e4d9-398c-bcc8-a6eeeaee3ad4"]},{"id":"ITEM-3","itemData":{"abstract":"We examined, in young adult women, the association between current low dose oral contraceptive (OC) use and plasma levels of C-reactive protein (CRP), an acute phase reactant predictive of cardiovascular disease risk. We conducted a cross-sectional analysis of 30 healthy, non-smoking, non-obese women (18 OC users and 12 nonusers) who were subjects in a randomized diet-controlled trial of the effects of soy intake on sex hormone metabolism. The study was sited at a university outpatient general clinical research center. Fasting plasma CRP levels were measured 4 times during 2 menstrual cycles (2 mid-follicular phase and 2 mid-luteal phase) using a high-sensitivity CRP assay. Differences between OC users and nonusers were examined by 3-way analysis of variance. Multiple regression was used to examine the relationship between OC use and CRP. There were no significant differences in baseline demographic characteristics between OC users and nonusers. Plasma CRP levels (mean ± SE) were 2 times higher among OC users than among non-users (2.0 ± 0.2 versus 0.9 ± 0.3 mg/l, p &lt; 0.0001) independent of diet assignment, diet treatment order, and phase of the menstrual cycle. In a multivariate model, OC use predicted 32 percent of the variance in CRP levels (p &lt; 0.0001). As all CRP levels were within a previously established normal range, further study is indicated to establish the clinical significance of the observed elevated CRP levels in OC users.","author":[{"dropping-particle":"","family":"Dreon","given":"Darlene","non-dropping-particle":"","parse-names":false,"suffix":""},{"dropping-particle":"","family":"Slavin","given":"Joanne","non-dropping-particle":"","parse-names":false,"suffix":""},{"dropping-particle":"","family":"Phinney","given":"Stephen","non-dropping-particle":"","parse-names":false,"suffix":""}],"container-title":"Life Sciences","id":"ITEM-3","issue":"10","issued":{"date-parts":[["2003"]]},"page":"1245-1252","title":"Oral contraceptive use and increased plasma concentration of C-reactive protein","type":"article-journal","volume":"73"},"uris":["http://www.mendeley.com/documents/?uuid=45a3e2af-d04b-44a6-8239-5c9982efae4e"]},{"id":"ITEM-4","itemData":{"DOI":"10.1055/s-0037-1614600","ISSN":"0340-6245","abstract":"&lt;p&gt;Objective: To study the short-term effect of unopposed oestradiol (E2) and sequentially combined hormone replacement therapy (E2 + P) on C-reactive protein (CRP) in healthy postmenopausal women. Design: Prospective, randomised, placebo-controlled 12-week study. Sixty healthy, normotensive, non-hysterectomised postmenopausal women received either placebo (N = 16) or daily 2 mg micronised oestradiol, either unopposed (N = 16, E2 group) or sequentially combined with a progestagen on 14 days of each cycle (N = 28, E2+P group). Data were collected at baseline and at 4 and 12 weeks. Results: CRP levels increased significantly during the 12 weeks in the E2 and the E2+P groups compared to placebo. No differences were found between the E2 group and the E2+P group [E2 and E2+P group together (N = 44) versus placebo: P = 0.01; E2 versus E2+P: P = 0.75]. To give a quantitative estimate of the increase, the median change calculated from baseline in both treatment groups together was +87% (P = 0.02) at 4 weeks, and +114% (P = 0.08) at 12 weeks, as compared to the placebo group. Conclusion: In healthy postmenopausal women, short-term treatment with E2 or E2+P was associated with a rapid rise in CRP concentrations. These observations raise the possibility that the increased risk of cardiovascular events is related to an initial increase in CRP levels after starting hormone replacement therapy.&lt;/p&gt;","author":[{"dropping-particle":"","family":"Baal","given":"Marchien","non-dropping-particle":"van","parse-names":false,"suffix":""},{"dropping-particle":"","family":"Kenemans","given":"Peter","non-dropping-particle":"","parse-names":false,"suffix":""},{"dropping-particle":"","family":"Mooren","given":"Marius","non-dropping-particle":"van der","parse-names":false,"suffix":""},{"dropping-particle":"","family":"Kessel","given":"Hilda","non-dropping-particle":"","parse-names":false,"suffix":""},{"dropping-particle":"","family":"Emeis","given":"Jef","non-dropping-particle":"","parse-names":false,"suffix":""},{"dropping-particle":"","family":"Stehouwer","given":"Coen","non-dropping-particle":"","parse-names":false,"suffix":""}],"container-title":"Thrombosis and Haemostasis","id":"ITEM-4","issue":"06","issued":{"date-parts":[["1999","12","9"]]},"page":"925-928","publisher":"Schattauer GmbH","title":"Increased C-reactive Protein Levels during Short-term Hormone Replacement Therapy in Healthy Postmenopausal Women","type":"article-journal","volume":"81"},"uris":["http://www.mendeley.com/documents/?uuid=121d9b9f-5917-3e9c-af07-81a3d0d1c50d"]}],"mendeley":{"formattedCitation":"&lt;sup&gt;412–415&lt;/sup&gt;","plainTextFormattedCitation":"412–415","previouslyFormattedCitation":"&lt;sup&gt;412–415&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412–415</w:t>
      </w:r>
      <w:r w:rsidRPr="0082680A">
        <w:rPr>
          <w:lang w:val="en-GB"/>
        </w:rPr>
        <w:fldChar w:fldCharType="end"/>
      </w:r>
      <w:r w:rsidRPr="0082680A">
        <w:rPr>
          <w:lang w:val="en-GB"/>
        </w:rPr>
        <w:t xml:space="preserve">. Many other inflammation-related molecules are present in the DEG list, including interferons, and receptors for interleukins, chemokines, and </w:t>
      </w:r>
      <w:proofErr w:type="spellStart"/>
      <w:r w:rsidRPr="0082680A">
        <w:rPr>
          <w:lang w:val="en-GB"/>
        </w:rPr>
        <w:t>transferrins</w:t>
      </w:r>
      <w:proofErr w:type="spellEnd"/>
      <w:r w:rsidRPr="0082680A">
        <w:rPr>
          <w:lang w:val="en-GB"/>
        </w:rPr>
        <w:t>, most of which are upregulated, as we would expect in arthritis.</w:t>
      </w:r>
    </w:p>
    <w:p w14:paraId="73227DE6" w14:textId="77777777" w:rsidR="00B04B3F" w:rsidRPr="0082680A" w:rsidRDefault="00B04B3F" w:rsidP="00381BB6">
      <w:pPr>
        <w:rPr>
          <w:lang w:val="en-GB"/>
        </w:rPr>
      </w:pPr>
    </w:p>
    <w:p w14:paraId="2A0BDBF6" w14:textId="6FFB0C4D" w:rsidR="00BE6F50" w:rsidRPr="0082680A" w:rsidRDefault="00381BB6" w:rsidP="00381BB6">
      <w:pPr>
        <w:rPr>
          <w:lang w:val="en-GB"/>
        </w:rPr>
      </w:pPr>
      <w:r w:rsidRPr="0082680A">
        <w:rPr>
          <w:lang w:val="en-GB"/>
        </w:rPr>
        <w:t xml:space="preserve">Pathway enrichment analysis showed moderate enrichment for inflammation and immune </w:t>
      </w:r>
      <w:r w:rsidR="005F3F15" w:rsidRPr="0082680A">
        <w:rPr>
          <w:lang w:val="en-GB"/>
        </w:rPr>
        <w:t>signalling pathways</w:t>
      </w:r>
      <w:r w:rsidR="00B04B3F" w:rsidRPr="0082680A">
        <w:rPr>
          <w:lang w:val="en-GB"/>
        </w:rPr>
        <w:t xml:space="preserve"> in upregulated genes</w:t>
      </w:r>
      <w:r w:rsidRPr="0082680A">
        <w:rPr>
          <w:lang w:val="en-GB"/>
        </w:rPr>
        <w:t xml:space="preserve"> likely due to the number of chemokine and MAPK-related genes in the gene list</w:t>
      </w:r>
      <w:r w:rsidR="00502947" w:rsidRPr="0082680A">
        <w:rPr>
          <w:lang w:val="en-GB"/>
        </w:rPr>
        <w:t xml:space="preserve">. (Table </w:t>
      </w:r>
      <w:r w:rsidR="00066B5A">
        <w:rPr>
          <w:lang w:val="en-GB"/>
        </w:rPr>
        <w:t>47</w:t>
      </w:r>
      <w:r w:rsidR="00502947" w:rsidRPr="0082680A">
        <w:rPr>
          <w:lang w:val="en-GB"/>
        </w:rPr>
        <w:t xml:space="preserve">, </w:t>
      </w:r>
      <w:hyperlink r:id="rId128" w:history="1">
        <w:r w:rsidR="00502947" w:rsidRPr="0082680A">
          <w:rPr>
            <w:rStyle w:val="Hyperlink"/>
            <w:lang w:val="en-GB"/>
          </w:rPr>
          <w:t>http://amp.pharm.mssm.edu/Enrichr/enrich?dataset=8gl7c</w:t>
        </w:r>
      </w:hyperlink>
      <w:r w:rsidR="00502947" w:rsidRPr="0082680A">
        <w:rPr>
          <w:lang w:val="en-GB"/>
        </w:rPr>
        <w:t>). T</w:t>
      </w:r>
      <w:r w:rsidR="00B04B3F" w:rsidRPr="0082680A">
        <w:rPr>
          <w:lang w:val="en-GB"/>
        </w:rPr>
        <w:t>here was little significant enrichment in downregulated genes</w:t>
      </w:r>
      <w:r w:rsidRPr="0082680A">
        <w:rPr>
          <w:lang w:val="en-GB"/>
        </w:rPr>
        <w:t xml:space="preserve"> (Table</w:t>
      </w:r>
      <w:r w:rsidR="00B04B3F" w:rsidRPr="0082680A">
        <w:rPr>
          <w:lang w:val="en-GB"/>
        </w:rPr>
        <w:t xml:space="preserve"> </w:t>
      </w:r>
      <w:r w:rsidR="00066B5A">
        <w:rPr>
          <w:lang w:val="en-GB"/>
        </w:rPr>
        <w:t>48</w:t>
      </w:r>
      <w:r w:rsidR="00502947" w:rsidRPr="0082680A">
        <w:rPr>
          <w:lang w:val="en-GB"/>
        </w:rPr>
        <w:t xml:space="preserve">, </w:t>
      </w:r>
      <w:hyperlink r:id="rId129" w:history="1">
        <w:r w:rsidR="00502947" w:rsidRPr="0082680A">
          <w:rPr>
            <w:rStyle w:val="Hyperlink"/>
            <w:lang w:val="en-GB"/>
          </w:rPr>
          <w:t>http://amp.pharm.mssm.edu/Enrichr/enrich?dataset=8gl7f</w:t>
        </w:r>
      </w:hyperlink>
      <w:r w:rsidRPr="0082680A">
        <w:rPr>
          <w:lang w:val="en-GB"/>
        </w:rPr>
        <w:t>).</w:t>
      </w:r>
      <w:r w:rsidR="00502947" w:rsidRPr="0082680A">
        <w:rPr>
          <w:lang w:val="en-GB"/>
        </w:rPr>
        <w:t xml:space="preserve"> </w:t>
      </w:r>
    </w:p>
    <w:p w14:paraId="5733EDD9" w14:textId="5B25B7FF" w:rsidR="00BE6F50" w:rsidRPr="0082680A" w:rsidRDefault="00BE6F50" w:rsidP="00381BB6">
      <w:pPr>
        <w:rPr>
          <w:lang w:val="en-GB"/>
        </w:rPr>
      </w:pPr>
    </w:p>
    <w:p w14:paraId="06A4B0DF" w14:textId="77777777" w:rsidR="006810F3" w:rsidRPr="0082680A" w:rsidRDefault="00797B4A" w:rsidP="006810F3">
      <w:pPr>
        <w:pStyle w:val="NoSpacing"/>
        <w:rPr>
          <w:lang w:val="en-GB"/>
        </w:rPr>
      </w:pPr>
      <w:r w:rsidRPr="0082680A">
        <w:rPr>
          <w:noProof/>
          <w:lang w:val="en-GB"/>
        </w:rPr>
        <w:drawing>
          <wp:inline distT="0" distB="0" distL="0" distR="0" wp14:anchorId="231E37DD" wp14:editId="500CC184">
            <wp:extent cx="5038671" cy="1689904"/>
            <wp:effectExtent l="0" t="0" r="381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A_DEG_RPTProportions.pdf"/>
                    <pic:cNvPicPr/>
                  </pic:nvPicPr>
                  <pic:blipFill rotWithShape="1">
                    <a:blip r:embed="rId130">
                      <a:extLst>
                        <a:ext uri="{28A0092B-C50C-407E-A947-70E740481C1C}">
                          <a14:useLocalDpi xmlns:a14="http://schemas.microsoft.com/office/drawing/2010/main" val="0"/>
                        </a:ext>
                      </a:extLst>
                    </a:blip>
                    <a:srcRect b="54524"/>
                    <a:stretch/>
                  </pic:blipFill>
                  <pic:spPr bwMode="auto">
                    <a:xfrm>
                      <a:off x="0" y="0"/>
                      <a:ext cx="5039360" cy="1690135"/>
                    </a:xfrm>
                    <a:prstGeom prst="rect">
                      <a:avLst/>
                    </a:prstGeom>
                    <a:ln>
                      <a:noFill/>
                    </a:ln>
                    <a:extLst>
                      <a:ext uri="{53640926-AAD7-44D8-BBD7-CCE9431645EC}">
                        <a14:shadowObscured xmlns:a14="http://schemas.microsoft.com/office/drawing/2010/main"/>
                      </a:ext>
                    </a:extLst>
                  </pic:spPr>
                </pic:pic>
              </a:graphicData>
            </a:graphic>
          </wp:inline>
        </w:drawing>
      </w:r>
    </w:p>
    <w:p w14:paraId="3F204DA7" w14:textId="26889AA6" w:rsidR="00797B4A" w:rsidRPr="0082680A" w:rsidRDefault="006810F3" w:rsidP="006810F3">
      <w:pPr>
        <w:pStyle w:val="Caption"/>
        <w:rPr>
          <w:b w:val="0"/>
          <w:lang w:val="en-GB"/>
        </w:rPr>
      </w:pPr>
      <w:bookmarkStart w:id="334" w:name="_Toc3225958"/>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44</w:t>
      </w:r>
      <w:r w:rsidR="00483095">
        <w:rPr>
          <w:lang w:val="en-GB"/>
        </w:rPr>
        <w:fldChar w:fldCharType="end"/>
      </w:r>
      <w:r w:rsidRPr="0082680A">
        <w:rPr>
          <w:lang w:val="en-GB"/>
        </w:rPr>
        <w:t xml:space="preserve">: </w:t>
      </w:r>
      <w:r w:rsidR="00076A3D">
        <w:rPr>
          <w:b w:val="0"/>
          <w:lang w:val="en-GB"/>
        </w:rPr>
        <w:t>Total number of genes in each AA dataset and numbers</w:t>
      </w:r>
      <w:r w:rsidRPr="0082680A">
        <w:rPr>
          <w:b w:val="0"/>
          <w:lang w:val="en-GB"/>
        </w:rPr>
        <w:t xml:space="preserve"> of upregulated and downregulated genes used for each </w:t>
      </w:r>
      <w:r w:rsidR="0083316D" w:rsidRPr="0082680A">
        <w:rPr>
          <w:b w:val="0"/>
          <w:lang w:val="en-GB"/>
        </w:rPr>
        <w:t xml:space="preserve">autoimmune arthritis </w:t>
      </w:r>
      <w:r w:rsidRPr="0082680A">
        <w:rPr>
          <w:b w:val="0"/>
          <w:lang w:val="en-GB"/>
        </w:rPr>
        <w:t>dataset in random permutation testing</w:t>
      </w:r>
      <w:bookmarkEnd w:id="334"/>
    </w:p>
    <w:p w14:paraId="286B213D" w14:textId="30E6FB26" w:rsidR="00AF1E89" w:rsidRPr="0082680A" w:rsidRDefault="00AF1E89" w:rsidP="00AF1E89">
      <w:pPr>
        <w:rPr>
          <w:lang w:val="en-GB"/>
        </w:rPr>
      </w:pPr>
    </w:p>
    <w:p w14:paraId="2660C302" w14:textId="77777777" w:rsidR="00AF1E89" w:rsidRPr="0082680A" w:rsidRDefault="00AF1E89" w:rsidP="00AF1E89">
      <w:pPr>
        <w:rPr>
          <w:lang w:val="en-GB"/>
        </w:rPr>
      </w:pPr>
    </w:p>
    <w:p w14:paraId="65EB2362" w14:textId="77777777" w:rsidR="008B6002" w:rsidRPr="0082680A" w:rsidRDefault="00016930" w:rsidP="00BC54A8">
      <w:pPr>
        <w:pStyle w:val="NoSpacing"/>
        <w:rPr>
          <w:lang w:val="en-GB"/>
        </w:rPr>
      </w:pPr>
      <w:r w:rsidRPr="0082680A">
        <w:rPr>
          <w:noProof/>
          <w:lang w:val="en-GB"/>
        </w:rPr>
        <w:drawing>
          <wp:inline distT="0" distB="0" distL="0" distR="0" wp14:anchorId="364AD96D" wp14:editId="4C66E031">
            <wp:extent cx="4984229" cy="2268127"/>
            <wp:effectExtent l="0" t="0" r="0" b="571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A_DEGRPTTable.pdf"/>
                    <pic:cNvPicPr/>
                  </pic:nvPicPr>
                  <pic:blipFill rotWithShape="1">
                    <a:blip r:embed="rId131">
                      <a:extLst>
                        <a:ext uri="{28A0092B-C50C-407E-A947-70E740481C1C}">
                          <a14:useLocalDpi xmlns:a14="http://schemas.microsoft.com/office/drawing/2010/main" val="0"/>
                        </a:ext>
                      </a:extLst>
                    </a:blip>
                    <a:srcRect b="32997"/>
                    <a:stretch/>
                  </pic:blipFill>
                  <pic:spPr bwMode="auto">
                    <a:xfrm>
                      <a:off x="0" y="0"/>
                      <a:ext cx="5004831" cy="2277502"/>
                    </a:xfrm>
                    <a:prstGeom prst="rect">
                      <a:avLst/>
                    </a:prstGeom>
                    <a:ln>
                      <a:noFill/>
                    </a:ln>
                    <a:extLst>
                      <a:ext uri="{53640926-AAD7-44D8-BBD7-CCE9431645EC}">
                        <a14:shadowObscured xmlns:a14="http://schemas.microsoft.com/office/drawing/2010/main"/>
                      </a:ext>
                    </a:extLst>
                  </pic:spPr>
                </pic:pic>
              </a:graphicData>
            </a:graphic>
          </wp:inline>
        </w:drawing>
      </w:r>
    </w:p>
    <w:p w14:paraId="1979125D" w14:textId="31D5B880" w:rsidR="00AF1E89" w:rsidRPr="0082680A" w:rsidRDefault="008B6002" w:rsidP="008B6002">
      <w:pPr>
        <w:pStyle w:val="Caption"/>
        <w:rPr>
          <w:b w:val="0"/>
          <w:lang w:val="en-GB"/>
        </w:rPr>
      </w:pPr>
      <w:bookmarkStart w:id="335" w:name="_Toc3225959"/>
      <w:r w:rsidRPr="0082680A">
        <w:rPr>
          <w:lang w:val="en-GB"/>
        </w:rPr>
        <w:lastRenderedPageBreak/>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45</w:t>
      </w:r>
      <w:r w:rsidR="00483095">
        <w:rPr>
          <w:lang w:val="en-GB"/>
        </w:rPr>
        <w:fldChar w:fldCharType="end"/>
      </w:r>
      <w:r w:rsidRPr="0082680A">
        <w:rPr>
          <w:lang w:val="en-GB"/>
        </w:rPr>
        <w:t xml:space="preserve">: </w:t>
      </w:r>
      <w:r w:rsidRPr="0082680A">
        <w:rPr>
          <w:b w:val="0"/>
          <w:lang w:val="en-GB"/>
        </w:rPr>
        <w:t>Results of random permutation tests indicating observed and expected numbers of common genes</w:t>
      </w:r>
      <w:r w:rsidR="0083316D" w:rsidRPr="0082680A">
        <w:rPr>
          <w:b w:val="0"/>
          <w:lang w:val="en-GB"/>
        </w:rPr>
        <w:t xml:space="preserve"> for autoimmune arthritis</w:t>
      </w:r>
      <w:bookmarkEnd w:id="335"/>
    </w:p>
    <w:p w14:paraId="2850843C" w14:textId="2B719D78" w:rsidR="0088513F" w:rsidRPr="0082680A" w:rsidRDefault="00AF1E89" w:rsidP="00AF1E89">
      <w:pPr>
        <w:rPr>
          <w:iCs/>
          <w:color w:val="000000" w:themeColor="text1"/>
          <w:sz w:val="20"/>
          <w:szCs w:val="18"/>
          <w:lang w:val="en-GB"/>
        </w:rPr>
      </w:pPr>
      <w:r w:rsidRPr="0082680A">
        <w:rPr>
          <w:b/>
          <w:lang w:val="en-GB"/>
        </w:rPr>
        <w:br w:type="page"/>
      </w:r>
    </w:p>
    <w:p w14:paraId="0F308C5F" w14:textId="77777777" w:rsidR="00174CAD" w:rsidRPr="0082680A" w:rsidRDefault="00174CAD" w:rsidP="00174CAD">
      <w:pPr>
        <w:pStyle w:val="NoSpacing"/>
        <w:rPr>
          <w:lang w:val="en-GB"/>
        </w:rPr>
      </w:pPr>
      <w:r w:rsidRPr="0082680A">
        <w:rPr>
          <w:noProof/>
          <w:lang w:val="en-GB"/>
        </w:rPr>
        <w:lastRenderedPageBreak/>
        <w:drawing>
          <wp:inline distT="0" distB="0" distL="0" distR="0" wp14:anchorId="558F3C86" wp14:editId="79A4156E">
            <wp:extent cx="5039360" cy="2534285"/>
            <wp:effectExtent l="0" t="0" r="254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AA_DEG_BenchmarkEnrichment.pdf"/>
                    <pic:cNvPicPr/>
                  </pic:nvPicPr>
                  <pic:blipFill rotWithShape="1">
                    <a:blip r:embed="rId132">
                      <a:extLst>
                        <a:ext uri="{28A0092B-C50C-407E-A947-70E740481C1C}">
                          <a14:useLocalDpi xmlns:a14="http://schemas.microsoft.com/office/drawing/2010/main" val="0"/>
                        </a:ext>
                      </a:extLst>
                    </a:blip>
                    <a:srcRect b="31797"/>
                    <a:stretch/>
                  </pic:blipFill>
                  <pic:spPr bwMode="auto">
                    <a:xfrm>
                      <a:off x="0" y="0"/>
                      <a:ext cx="5039360" cy="2534285"/>
                    </a:xfrm>
                    <a:prstGeom prst="rect">
                      <a:avLst/>
                    </a:prstGeom>
                    <a:ln>
                      <a:noFill/>
                    </a:ln>
                    <a:extLst>
                      <a:ext uri="{53640926-AAD7-44D8-BBD7-CCE9431645EC}">
                        <a14:shadowObscured xmlns:a14="http://schemas.microsoft.com/office/drawing/2010/main"/>
                      </a:ext>
                    </a:extLst>
                  </pic:spPr>
                </pic:pic>
              </a:graphicData>
            </a:graphic>
          </wp:inline>
        </w:drawing>
      </w:r>
    </w:p>
    <w:p w14:paraId="05F89047" w14:textId="2A5A5B9E" w:rsidR="00174CAD" w:rsidRPr="0082680A" w:rsidRDefault="00174CAD" w:rsidP="00174CAD">
      <w:pPr>
        <w:pStyle w:val="Caption"/>
        <w:rPr>
          <w:b w:val="0"/>
          <w:lang w:val="en-GB"/>
        </w:rPr>
      </w:pPr>
      <w:bookmarkStart w:id="336" w:name="_Toc3225960"/>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46</w:t>
      </w:r>
      <w:r w:rsidR="00483095">
        <w:rPr>
          <w:lang w:val="en-GB"/>
        </w:rPr>
        <w:fldChar w:fldCharType="end"/>
      </w:r>
      <w:r w:rsidRPr="0082680A">
        <w:rPr>
          <w:lang w:val="en-GB"/>
        </w:rPr>
        <w:t xml:space="preserve">: </w:t>
      </w:r>
      <w:r w:rsidR="003B7BDF" w:rsidRPr="0082680A">
        <w:rPr>
          <w:b w:val="0"/>
          <w:lang w:val="en-GB"/>
        </w:rPr>
        <w:t xml:space="preserve">Enrichment of RA and PA Malacards and GWAS </w:t>
      </w:r>
      <w:proofErr w:type="spellStart"/>
      <w:r w:rsidR="003B7BDF" w:rsidRPr="0082680A">
        <w:rPr>
          <w:b w:val="0"/>
          <w:lang w:val="en-GB"/>
        </w:rPr>
        <w:t>catalog</w:t>
      </w:r>
      <w:proofErr w:type="spellEnd"/>
      <w:r w:rsidR="003B7BDF" w:rsidRPr="0082680A">
        <w:rPr>
          <w:b w:val="0"/>
          <w:lang w:val="en-GB"/>
        </w:rPr>
        <w:t xml:space="preserve"> entries in DEGs</w:t>
      </w:r>
      <w:bookmarkEnd w:id="336"/>
    </w:p>
    <w:p w14:paraId="6D12A32F" w14:textId="7F0B3323" w:rsidR="00174CAD" w:rsidRPr="0082680A" w:rsidRDefault="00174CAD" w:rsidP="00174CAD">
      <w:pPr>
        <w:rPr>
          <w:lang w:val="en-GB"/>
        </w:rPr>
      </w:pPr>
    </w:p>
    <w:p w14:paraId="6BB5C9A9" w14:textId="77777777" w:rsidR="00174CAD" w:rsidRPr="0082680A" w:rsidRDefault="00174CAD" w:rsidP="00174CAD">
      <w:pPr>
        <w:rPr>
          <w:lang w:val="en-GB"/>
        </w:rPr>
      </w:pPr>
    </w:p>
    <w:p w14:paraId="00438D17" w14:textId="77777777" w:rsidR="00F569DC" w:rsidRPr="0082680A" w:rsidRDefault="004A52D1" w:rsidP="00E97ECF">
      <w:pPr>
        <w:pStyle w:val="NoSpacing"/>
        <w:rPr>
          <w:lang w:val="en-GB"/>
        </w:rPr>
      </w:pPr>
      <w:r w:rsidRPr="0082680A">
        <w:rPr>
          <w:noProof/>
          <w:lang w:val="en-GB"/>
        </w:rPr>
        <w:drawing>
          <wp:inline distT="0" distB="0" distL="0" distR="0" wp14:anchorId="12FF52E4" wp14:editId="4074B90B">
            <wp:extent cx="5039360" cy="3368233"/>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A_upDEG_PathwayEnrichments.pdf"/>
                    <pic:cNvPicPr/>
                  </pic:nvPicPr>
                  <pic:blipFill rotWithShape="1">
                    <a:blip r:embed="rId133">
                      <a:extLst>
                        <a:ext uri="{28A0092B-C50C-407E-A947-70E740481C1C}">
                          <a14:useLocalDpi xmlns:a14="http://schemas.microsoft.com/office/drawing/2010/main" val="0"/>
                        </a:ext>
                      </a:extLst>
                    </a:blip>
                    <a:srcRect b="9374"/>
                    <a:stretch/>
                  </pic:blipFill>
                  <pic:spPr bwMode="auto">
                    <a:xfrm>
                      <a:off x="0" y="0"/>
                      <a:ext cx="5039360" cy="3368233"/>
                    </a:xfrm>
                    <a:prstGeom prst="rect">
                      <a:avLst/>
                    </a:prstGeom>
                    <a:ln>
                      <a:noFill/>
                    </a:ln>
                    <a:extLst>
                      <a:ext uri="{53640926-AAD7-44D8-BBD7-CCE9431645EC}">
                        <a14:shadowObscured xmlns:a14="http://schemas.microsoft.com/office/drawing/2010/main"/>
                      </a:ext>
                    </a:extLst>
                  </pic:spPr>
                </pic:pic>
              </a:graphicData>
            </a:graphic>
          </wp:inline>
        </w:drawing>
      </w:r>
    </w:p>
    <w:p w14:paraId="17799BDD" w14:textId="7D549A71" w:rsidR="00E97ECF" w:rsidRPr="0082680A" w:rsidRDefault="00F569DC" w:rsidP="00174CAD">
      <w:pPr>
        <w:pStyle w:val="Caption"/>
        <w:rPr>
          <w:b w:val="0"/>
          <w:lang w:val="en-GB"/>
        </w:rPr>
      </w:pPr>
      <w:bookmarkStart w:id="337" w:name="_Toc3225961"/>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47</w:t>
      </w:r>
      <w:r w:rsidR="00483095">
        <w:rPr>
          <w:lang w:val="en-GB"/>
        </w:rPr>
        <w:fldChar w:fldCharType="end"/>
      </w:r>
      <w:r w:rsidRPr="0082680A">
        <w:rPr>
          <w:lang w:val="en-GB"/>
        </w:rPr>
        <w:t xml:space="preserve">: </w:t>
      </w:r>
      <w:r w:rsidRPr="0082680A">
        <w:rPr>
          <w:b w:val="0"/>
          <w:lang w:val="en-GB"/>
        </w:rPr>
        <w:t xml:space="preserve">Pathway enrichment of common </w:t>
      </w:r>
      <w:r w:rsidR="0083316D" w:rsidRPr="0082680A">
        <w:rPr>
          <w:b w:val="0"/>
          <w:lang w:val="en-GB"/>
        </w:rPr>
        <w:t xml:space="preserve">autoimmune arthritis </w:t>
      </w:r>
      <w:r w:rsidRPr="0082680A">
        <w:rPr>
          <w:b w:val="0"/>
          <w:lang w:val="en-GB"/>
        </w:rPr>
        <w:t>upregulated DEGs.</w:t>
      </w:r>
      <w:r w:rsidR="00107399">
        <w:rPr>
          <w:b w:val="0"/>
          <w:lang w:val="en-GB"/>
        </w:rPr>
        <w:t xml:space="preserve"> P-Values are adjusted.</w:t>
      </w:r>
      <w:r w:rsidRPr="0082680A">
        <w:rPr>
          <w:b w:val="0"/>
          <w:lang w:val="en-GB"/>
        </w:rPr>
        <w:t xml:space="preserve"> (ns) indicates p &lt; 0.1</w:t>
      </w:r>
      <w:bookmarkEnd w:id="337"/>
    </w:p>
    <w:p w14:paraId="126A23E7" w14:textId="77777777" w:rsidR="00027037" w:rsidRPr="0082680A" w:rsidRDefault="00027037" w:rsidP="00027037">
      <w:pPr>
        <w:pStyle w:val="NoSpacing"/>
        <w:rPr>
          <w:lang w:val="en-GB"/>
        </w:rPr>
      </w:pPr>
      <w:r w:rsidRPr="0082680A">
        <w:rPr>
          <w:noProof/>
          <w:lang w:val="en-GB"/>
        </w:rPr>
        <w:lastRenderedPageBreak/>
        <w:drawing>
          <wp:inline distT="0" distB="0" distL="0" distR="0" wp14:anchorId="3CDD0E89" wp14:editId="4FFF4E5A">
            <wp:extent cx="5039360" cy="3426106"/>
            <wp:effectExtent l="0" t="0" r="2540"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A_downDEG_PathwayEnrichments.pdf"/>
                    <pic:cNvPicPr/>
                  </pic:nvPicPr>
                  <pic:blipFill rotWithShape="1">
                    <a:blip r:embed="rId134">
                      <a:extLst>
                        <a:ext uri="{28A0092B-C50C-407E-A947-70E740481C1C}">
                          <a14:useLocalDpi xmlns:a14="http://schemas.microsoft.com/office/drawing/2010/main" val="0"/>
                        </a:ext>
                      </a:extLst>
                    </a:blip>
                    <a:srcRect b="7817"/>
                    <a:stretch/>
                  </pic:blipFill>
                  <pic:spPr bwMode="auto">
                    <a:xfrm>
                      <a:off x="0" y="0"/>
                      <a:ext cx="5039360" cy="3426106"/>
                    </a:xfrm>
                    <a:prstGeom prst="rect">
                      <a:avLst/>
                    </a:prstGeom>
                    <a:ln>
                      <a:noFill/>
                    </a:ln>
                    <a:extLst>
                      <a:ext uri="{53640926-AAD7-44D8-BBD7-CCE9431645EC}">
                        <a14:shadowObscured xmlns:a14="http://schemas.microsoft.com/office/drawing/2010/main"/>
                      </a:ext>
                    </a:extLst>
                  </pic:spPr>
                </pic:pic>
              </a:graphicData>
            </a:graphic>
          </wp:inline>
        </w:drawing>
      </w:r>
    </w:p>
    <w:p w14:paraId="231206C3" w14:textId="46805E88" w:rsidR="00027037" w:rsidRPr="0082680A" w:rsidRDefault="00027037" w:rsidP="00027037">
      <w:pPr>
        <w:pStyle w:val="Caption"/>
        <w:rPr>
          <w:b w:val="0"/>
          <w:lang w:val="en-GB"/>
        </w:rPr>
      </w:pPr>
      <w:bookmarkStart w:id="338" w:name="_Toc3225962"/>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48</w:t>
      </w:r>
      <w:r w:rsidR="00483095">
        <w:rPr>
          <w:lang w:val="en-GB"/>
        </w:rPr>
        <w:fldChar w:fldCharType="end"/>
      </w:r>
      <w:r w:rsidRPr="0082680A">
        <w:rPr>
          <w:lang w:val="en-GB"/>
        </w:rPr>
        <w:t>:</w:t>
      </w:r>
      <w:r w:rsidRPr="0082680A">
        <w:rPr>
          <w:b w:val="0"/>
          <w:lang w:val="en-GB"/>
        </w:rPr>
        <w:t xml:space="preserve"> Pathway enrichment of common </w:t>
      </w:r>
      <w:r w:rsidR="0083316D" w:rsidRPr="0082680A">
        <w:rPr>
          <w:b w:val="0"/>
          <w:lang w:val="en-GB"/>
        </w:rPr>
        <w:t xml:space="preserve">autoimmune arthritis </w:t>
      </w:r>
      <w:r w:rsidRPr="0082680A">
        <w:rPr>
          <w:b w:val="0"/>
          <w:lang w:val="en-GB"/>
        </w:rPr>
        <w:t>downregulated DEGs.</w:t>
      </w:r>
      <w:r w:rsidR="00107399" w:rsidRPr="00107399">
        <w:rPr>
          <w:b w:val="0"/>
          <w:lang w:val="en-GB"/>
        </w:rPr>
        <w:t xml:space="preserve"> </w:t>
      </w:r>
      <w:r w:rsidR="00107399">
        <w:rPr>
          <w:b w:val="0"/>
          <w:lang w:val="en-GB"/>
        </w:rPr>
        <w:t>P-Values are adjusted.</w:t>
      </w:r>
      <w:r w:rsidRPr="0082680A">
        <w:rPr>
          <w:b w:val="0"/>
          <w:lang w:val="en-GB"/>
        </w:rPr>
        <w:t xml:space="preserve"> (ns) indicates p &lt; 0.1</w:t>
      </w:r>
      <w:bookmarkEnd w:id="338"/>
    </w:p>
    <w:p w14:paraId="51059374" w14:textId="5659B40E" w:rsidR="00152DCD" w:rsidRPr="0082680A" w:rsidRDefault="00027037" w:rsidP="00027037">
      <w:pPr>
        <w:rPr>
          <w:b/>
          <w:lang w:val="en-GB"/>
        </w:rPr>
      </w:pPr>
      <w:r w:rsidRPr="0082680A">
        <w:rPr>
          <w:b/>
          <w:lang w:val="en-GB"/>
        </w:rPr>
        <w:br w:type="page"/>
      </w:r>
    </w:p>
    <w:p w14:paraId="31645CE9" w14:textId="77777777" w:rsidR="00381BB6" w:rsidRPr="00691215" w:rsidRDefault="00381BB6" w:rsidP="00691215">
      <w:pPr>
        <w:pStyle w:val="Heading3"/>
      </w:pPr>
      <w:bookmarkStart w:id="339" w:name="_46bww531d5u" w:colFirst="0" w:colLast="0"/>
      <w:bookmarkStart w:id="340" w:name="_Toc3211432"/>
      <w:bookmarkEnd w:id="339"/>
      <w:r w:rsidRPr="00691215">
        <w:lastRenderedPageBreak/>
        <w:t>Generation of a protein-protein interaction network</w:t>
      </w:r>
      <w:bookmarkEnd w:id="340"/>
    </w:p>
    <w:p w14:paraId="5D74D801" w14:textId="1D0A2029" w:rsidR="009202B5" w:rsidRPr="0082680A" w:rsidRDefault="00381BB6" w:rsidP="00381BB6">
      <w:pPr>
        <w:rPr>
          <w:lang w:val="en-GB"/>
        </w:rPr>
      </w:pPr>
      <w:r w:rsidRPr="0082680A">
        <w:rPr>
          <w:lang w:val="en-GB"/>
        </w:rPr>
        <w:t>Of the 424 DEGs, 418 seeded a network of 3716 proteins and 6358 protein-protein interaction edges</w:t>
      </w:r>
      <w:r w:rsidR="000E46C0">
        <w:rPr>
          <w:lang w:val="en-GB"/>
        </w:rPr>
        <w:t xml:space="preserve">. </w:t>
      </w:r>
      <w:r w:rsidR="009202B5" w:rsidRPr="0082680A">
        <w:rPr>
          <w:lang w:val="en-GB"/>
        </w:rPr>
        <w:t>Benchmark enrichment revealed highly significant enrichment of RA and PA Malacards</w:t>
      </w:r>
      <w:r w:rsidR="00F707D1" w:rsidRPr="0082680A">
        <w:rPr>
          <w:lang w:val="en-GB"/>
        </w:rPr>
        <w:t xml:space="preserve"> identified genes</w:t>
      </w:r>
      <w:r w:rsidR="009202B5" w:rsidRPr="0082680A">
        <w:rPr>
          <w:lang w:val="en-GB"/>
        </w:rPr>
        <w:t xml:space="preserve">, as well as RA, JIA, and SLE GWAS genes (Table </w:t>
      </w:r>
      <w:r w:rsidR="00066B5A">
        <w:rPr>
          <w:lang w:val="en-GB"/>
        </w:rPr>
        <w:t>49</w:t>
      </w:r>
      <w:r w:rsidR="009202B5" w:rsidRPr="0082680A">
        <w:rPr>
          <w:lang w:val="en-GB"/>
        </w:rPr>
        <w:t xml:space="preserve">). Proteins of particular note include TNF, PTPN22, HLA-B, STAT4, CRP, and HLA-DQA1. </w:t>
      </w:r>
      <w:r w:rsidRPr="0082680A">
        <w:rPr>
          <w:lang w:val="en-GB"/>
        </w:rPr>
        <w:t>Pathway enrichment revealed strong enrichments again for the immune system, and signalling pathways (Table</w:t>
      </w:r>
      <w:r w:rsidR="00B04B3F" w:rsidRPr="0082680A">
        <w:rPr>
          <w:lang w:val="en-GB"/>
        </w:rPr>
        <w:t>s</w:t>
      </w:r>
      <w:r w:rsidRPr="0082680A">
        <w:rPr>
          <w:lang w:val="en-GB"/>
        </w:rPr>
        <w:t xml:space="preserve"> </w:t>
      </w:r>
      <w:r w:rsidR="00066B5A">
        <w:rPr>
          <w:lang w:val="en-GB"/>
        </w:rPr>
        <w:t>50</w:t>
      </w:r>
      <w:r w:rsidR="00B04B3F" w:rsidRPr="0082680A">
        <w:rPr>
          <w:lang w:val="en-GB"/>
        </w:rPr>
        <w:t xml:space="preserve"> &amp; </w:t>
      </w:r>
      <w:r w:rsidR="00066B5A">
        <w:rPr>
          <w:lang w:val="en-GB"/>
        </w:rPr>
        <w:t>51</w:t>
      </w:r>
      <w:r w:rsidR="00502947" w:rsidRPr="0082680A">
        <w:rPr>
          <w:lang w:val="en-GB"/>
        </w:rPr>
        <w:t xml:space="preserve">, </w:t>
      </w:r>
      <w:hyperlink r:id="rId135" w:history="1">
        <w:r w:rsidR="00502947" w:rsidRPr="0082680A">
          <w:rPr>
            <w:rStyle w:val="Hyperlink"/>
            <w:lang w:val="en-GB"/>
          </w:rPr>
          <w:t>http://amp.pharm.mssm.edu/Enrichr/enrich?dataset=8gl7i</w:t>
        </w:r>
      </w:hyperlink>
      <w:r w:rsidRPr="0082680A">
        <w:rPr>
          <w:lang w:val="en-GB"/>
        </w:rPr>
        <w:t>).</w:t>
      </w:r>
      <w:r w:rsidR="00502947" w:rsidRPr="0082680A">
        <w:rPr>
          <w:lang w:val="en-GB"/>
        </w:rPr>
        <w:t xml:space="preserve"> </w:t>
      </w:r>
    </w:p>
    <w:p w14:paraId="5013D405" w14:textId="77777777" w:rsidR="00BC315B" w:rsidRPr="0082680A" w:rsidRDefault="00BC315B" w:rsidP="00381BB6">
      <w:pPr>
        <w:rPr>
          <w:lang w:val="en-GB"/>
        </w:rPr>
      </w:pPr>
    </w:p>
    <w:p w14:paraId="789E8CEA" w14:textId="59A72FA8" w:rsidR="00FD5FAC" w:rsidRPr="0082680A" w:rsidRDefault="003B7BDF" w:rsidP="00FD5FAC">
      <w:pPr>
        <w:pStyle w:val="NoSpacing"/>
        <w:rPr>
          <w:lang w:val="en-GB"/>
        </w:rPr>
      </w:pPr>
      <w:r w:rsidRPr="0082680A">
        <w:rPr>
          <w:noProof/>
          <w:lang w:val="en-GB"/>
        </w:rPr>
        <w:drawing>
          <wp:inline distT="0" distB="0" distL="0" distR="0" wp14:anchorId="7DDC30A5" wp14:editId="67682A62">
            <wp:extent cx="5039360" cy="3055716"/>
            <wp:effectExtent l="0" t="0" r="2540" b="508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A_PPI_BenchmarkEnrichment.pdf"/>
                    <pic:cNvPicPr/>
                  </pic:nvPicPr>
                  <pic:blipFill rotWithShape="1">
                    <a:blip r:embed="rId136">
                      <a:extLst>
                        <a:ext uri="{28A0092B-C50C-407E-A947-70E740481C1C}">
                          <a14:useLocalDpi xmlns:a14="http://schemas.microsoft.com/office/drawing/2010/main" val="0"/>
                        </a:ext>
                      </a:extLst>
                    </a:blip>
                    <a:srcRect b="17783"/>
                    <a:stretch/>
                  </pic:blipFill>
                  <pic:spPr bwMode="auto">
                    <a:xfrm>
                      <a:off x="0" y="0"/>
                      <a:ext cx="5039360" cy="3055716"/>
                    </a:xfrm>
                    <a:prstGeom prst="rect">
                      <a:avLst/>
                    </a:prstGeom>
                    <a:ln>
                      <a:noFill/>
                    </a:ln>
                    <a:extLst>
                      <a:ext uri="{53640926-AAD7-44D8-BBD7-CCE9431645EC}">
                        <a14:shadowObscured xmlns:a14="http://schemas.microsoft.com/office/drawing/2010/main"/>
                      </a:ext>
                    </a:extLst>
                  </pic:spPr>
                </pic:pic>
              </a:graphicData>
            </a:graphic>
          </wp:inline>
        </w:drawing>
      </w:r>
    </w:p>
    <w:p w14:paraId="292B72C1" w14:textId="2FCF3EE3" w:rsidR="009202B5" w:rsidRPr="0082680A" w:rsidRDefault="00FD5FAC" w:rsidP="00FD5FAC">
      <w:pPr>
        <w:pStyle w:val="Caption"/>
        <w:rPr>
          <w:b w:val="0"/>
          <w:lang w:val="en-GB"/>
        </w:rPr>
      </w:pPr>
      <w:bookmarkStart w:id="341" w:name="_Toc3225963"/>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49</w:t>
      </w:r>
      <w:r w:rsidR="00483095">
        <w:rPr>
          <w:lang w:val="en-GB"/>
        </w:rPr>
        <w:fldChar w:fldCharType="end"/>
      </w:r>
      <w:r w:rsidRPr="0082680A">
        <w:rPr>
          <w:lang w:val="en-GB"/>
        </w:rPr>
        <w:t xml:space="preserve">: </w:t>
      </w:r>
      <w:r w:rsidRPr="0082680A">
        <w:rPr>
          <w:b w:val="0"/>
          <w:lang w:val="en-GB"/>
        </w:rPr>
        <w:t xml:space="preserve">Enrichment of RA and PA Malacards and GWAS </w:t>
      </w:r>
      <w:proofErr w:type="spellStart"/>
      <w:r w:rsidRPr="0082680A">
        <w:rPr>
          <w:b w:val="0"/>
          <w:lang w:val="en-GB"/>
        </w:rPr>
        <w:t>catalog</w:t>
      </w:r>
      <w:proofErr w:type="spellEnd"/>
      <w:r w:rsidRPr="0082680A">
        <w:rPr>
          <w:b w:val="0"/>
          <w:lang w:val="en-GB"/>
        </w:rPr>
        <w:t xml:space="preserve"> entries</w:t>
      </w:r>
      <w:r w:rsidR="003B7BDF" w:rsidRPr="0082680A">
        <w:rPr>
          <w:b w:val="0"/>
          <w:lang w:val="en-GB"/>
        </w:rPr>
        <w:t xml:space="preserve"> in PPI network</w:t>
      </w:r>
      <w:bookmarkEnd w:id="341"/>
    </w:p>
    <w:p w14:paraId="2C26AD33" w14:textId="62CF4E13" w:rsidR="00FD5FAC" w:rsidRPr="0082680A" w:rsidRDefault="00FD5FAC" w:rsidP="00FD5FAC">
      <w:pPr>
        <w:rPr>
          <w:lang w:val="en-GB"/>
        </w:rPr>
      </w:pPr>
    </w:p>
    <w:p w14:paraId="14097BA5" w14:textId="77777777" w:rsidR="00EC4B4C" w:rsidRPr="0082680A" w:rsidRDefault="00EC4B4C" w:rsidP="00EC4B4C">
      <w:pPr>
        <w:pStyle w:val="NoSpacing"/>
        <w:rPr>
          <w:lang w:val="en-GB"/>
        </w:rPr>
      </w:pPr>
      <w:r w:rsidRPr="0082680A">
        <w:rPr>
          <w:noProof/>
          <w:lang w:val="en-GB"/>
        </w:rPr>
        <w:lastRenderedPageBreak/>
        <w:drawing>
          <wp:inline distT="0" distB="0" distL="0" distR="0" wp14:anchorId="5D57DD8A" wp14:editId="62D522A7">
            <wp:extent cx="5039360" cy="3588152"/>
            <wp:effectExtent l="0" t="0" r="254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A_PPI_KWREnrichment.pdf"/>
                    <pic:cNvPicPr/>
                  </pic:nvPicPr>
                  <pic:blipFill rotWithShape="1">
                    <a:blip r:embed="rId137">
                      <a:extLst>
                        <a:ext uri="{28A0092B-C50C-407E-A947-70E740481C1C}">
                          <a14:useLocalDpi xmlns:a14="http://schemas.microsoft.com/office/drawing/2010/main" val="0"/>
                        </a:ext>
                      </a:extLst>
                    </a:blip>
                    <a:srcRect b="3458"/>
                    <a:stretch/>
                  </pic:blipFill>
                  <pic:spPr bwMode="auto">
                    <a:xfrm>
                      <a:off x="0" y="0"/>
                      <a:ext cx="5039360" cy="3588152"/>
                    </a:xfrm>
                    <a:prstGeom prst="rect">
                      <a:avLst/>
                    </a:prstGeom>
                    <a:ln>
                      <a:noFill/>
                    </a:ln>
                    <a:extLst>
                      <a:ext uri="{53640926-AAD7-44D8-BBD7-CCE9431645EC}">
                        <a14:shadowObscured xmlns:a14="http://schemas.microsoft.com/office/drawing/2010/main"/>
                      </a:ext>
                    </a:extLst>
                  </pic:spPr>
                </pic:pic>
              </a:graphicData>
            </a:graphic>
          </wp:inline>
        </w:drawing>
      </w:r>
    </w:p>
    <w:p w14:paraId="37985BB7" w14:textId="1576A306" w:rsidR="00EC4B4C" w:rsidRPr="0082680A" w:rsidRDefault="00EC4B4C" w:rsidP="00BC315B">
      <w:pPr>
        <w:pStyle w:val="Caption"/>
        <w:rPr>
          <w:b w:val="0"/>
          <w:lang w:val="en-GB"/>
        </w:rPr>
      </w:pPr>
      <w:bookmarkStart w:id="342" w:name="_Toc3225964"/>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50</w:t>
      </w:r>
      <w:r w:rsidR="00483095">
        <w:rPr>
          <w:lang w:val="en-GB"/>
        </w:rPr>
        <w:fldChar w:fldCharType="end"/>
      </w:r>
      <w:r w:rsidRPr="0082680A">
        <w:rPr>
          <w:lang w:val="en-GB"/>
        </w:rPr>
        <w:t xml:space="preserve">: </w:t>
      </w:r>
      <w:r w:rsidR="00BC315B" w:rsidRPr="0082680A">
        <w:rPr>
          <w:b w:val="0"/>
          <w:lang w:val="en-GB"/>
        </w:rPr>
        <w:t xml:space="preserve">Top 10 enriched pathways in KEGG, Wikipathways and Reactome for </w:t>
      </w:r>
      <w:r w:rsidR="0083316D" w:rsidRPr="0082680A">
        <w:rPr>
          <w:b w:val="0"/>
          <w:lang w:val="en-GB"/>
        </w:rPr>
        <w:t>the autoimmune arthritis</w:t>
      </w:r>
      <w:r w:rsidR="00BC315B" w:rsidRPr="0082680A">
        <w:rPr>
          <w:b w:val="0"/>
          <w:lang w:val="en-GB"/>
        </w:rPr>
        <w:t xml:space="preserve"> PPI network</w:t>
      </w:r>
      <w:r w:rsidR="00D8751A">
        <w:rPr>
          <w:b w:val="0"/>
          <w:lang w:val="en-GB"/>
        </w:rPr>
        <w:t>. P-Values are adjusted.</w:t>
      </w:r>
      <w:bookmarkEnd w:id="342"/>
    </w:p>
    <w:p w14:paraId="4BDCDCE8" w14:textId="77777777" w:rsidR="00BC315B" w:rsidRPr="0082680A" w:rsidRDefault="00BC315B" w:rsidP="00BC315B">
      <w:pPr>
        <w:rPr>
          <w:lang w:val="en-GB"/>
        </w:rPr>
      </w:pPr>
    </w:p>
    <w:p w14:paraId="4E4BD366" w14:textId="77777777" w:rsidR="00EC4B4C" w:rsidRPr="0082680A" w:rsidRDefault="00EC4B4C" w:rsidP="00EC4B4C">
      <w:pPr>
        <w:pStyle w:val="NoSpacing"/>
        <w:rPr>
          <w:lang w:val="en-GB"/>
        </w:rPr>
      </w:pPr>
      <w:r w:rsidRPr="0082680A">
        <w:rPr>
          <w:noProof/>
          <w:lang w:val="en-GB"/>
        </w:rPr>
        <w:drawing>
          <wp:inline distT="0" distB="0" distL="0" distR="0" wp14:anchorId="1FEAE778" wp14:editId="0D8A6F3A">
            <wp:extent cx="5039360" cy="3716655"/>
            <wp:effectExtent l="0" t="0" r="254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A_PPI_GOEnrichment.pdf"/>
                    <pic:cNvPicPr/>
                  </pic:nvPicPr>
                  <pic:blipFill>
                    <a:blip r:embed="rId138">
                      <a:extLst>
                        <a:ext uri="{28A0092B-C50C-407E-A947-70E740481C1C}">
                          <a14:useLocalDpi xmlns:a14="http://schemas.microsoft.com/office/drawing/2010/main" val="0"/>
                        </a:ext>
                      </a:extLst>
                    </a:blip>
                    <a:stretch>
                      <a:fillRect/>
                    </a:stretch>
                  </pic:blipFill>
                  <pic:spPr>
                    <a:xfrm>
                      <a:off x="0" y="0"/>
                      <a:ext cx="5039360" cy="3716655"/>
                    </a:xfrm>
                    <a:prstGeom prst="rect">
                      <a:avLst/>
                    </a:prstGeom>
                  </pic:spPr>
                </pic:pic>
              </a:graphicData>
            </a:graphic>
          </wp:inline>
        </w:drawing>
      </w:r>
    </w:p>
    <w:p w14:paraId="76B40193" w14:textId="08C2D51A" w:rsidR="00BC315B" w:rsidRPr="0082680A" w:rsidRDefault="00EC4B4C" w:rsidP="00EC4B4C">
      <w:pPr>
        <w:pStyle w:val="Caption"/>
        <w:rPr>
          <w:b w:val="0"/>
          <w:lang w:val="en-GB"/>
        </w:rPr>
      </w:pPr>
      <w:bookmarkStart w:id="343" w:name="_Toc3225965"/>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51</w:t>
      </w:r>
      <w:r w:rsidR="00483095">
        <w:rPr>
          <w:lang w:val="en-GB"/>
        </w:rPr>
        <w:fldChar w:fldCharType="end"/>
      </w:r>
      <w:r w:rsidRPr="0082680A">
        <w:rPr>
          <w:lang w:val="en-GB"/>
        </w:rPr>
        <w:t xml:space="preserve">: </w:t>
      </w:r>
      <w:r w:rsidR="002229B7" w:rsidRPr="0082680A">
        <w:rPr>
          <w:b w:val="0"/>
          <w:lang w:val="en-GB"/>
        </w:rPr>
        <w:t>Top 10 enriched GO terms in each category for the autoimmune arthritis</w:t>
      </w:r>
      <w:r w:rsidR="00BC315B" w:rsidRPr="0082680A">
        <w:rPr>
          <w:b w:val="0"/>
          <w:lang w:val="en-GB"/>
        </w:rPr>
        <w:t xml:space="preserve"> protein interaction network</w:t>
      </w:r>
      <w:r w:rsidR="00107399">
        <w:rPr>
          <w:b w:val="0"/>
          <w:lang w:val="en-GB"/>
        </w:rPr>
        <w:t>. P-Values are adjusted.</w:t>
      </w:r>
      <w:bookmarkEnd w:id="343"/>
    </w:p>
    <w:p w14:paraId="798D4FD6" w14:textId="5EBFA421" w:rsidR="00EC4B4C" w:rsidRPr="0082680A" w:rsidRDefault="00BC315B" w:rsidP="00BC315B">
      <w:pPr>
        <w:rPr>
          <w:iCs/>
          <w:color w:val="000000" w:themeColor="text1"/>
          <w:sz w:val="20"/>
          <w:szCs w:val="18"/>
          <w:lang w:val="en-GB"/>
        </w:rPr>
      </w:pPr>
      <w:r w:rsidRPr="0082680A">
        <w:rPr>
          <w:b/>
          <w:lang w:val="en-GB"/>
        </w:rPr>
        <w:br w:type="page"/>
      </w:r>
    </w:p>
    <w:p w14:paraId="13C033F3" w14:textId="77777777" w:rsidR="00381BB6" w:rsidRPr="00691215" w:rsidRDefault="00381BB6" w:rsidP="00691215">
      <w:pPr>
        <w:pStyle w:val="Heading3"/>
      </w:pPr>
      <w:bookmarkStart w:id="344" w:name="_tqv70t8ic0jh" w:colFirst="0" w:colLast="0"/>
      <w:bookmarkStart w:id="345" w:name="_Toc3211433"/>
      <w:bookmarkEnd w:id="344"/>
      <w:r w:rsidRPr="00691215">
        <w:lastRenderedPageBreak/>
        <w:t>Generation of a common coexpression module</w:t>
      </w:r>
      <w:bookmarkEnd w:id="345"/>
    </w:p>
    <w:p w14:paraId="06C7BAEA" w14:textId="39B03CB8" w:rsidR="00B409BC" w:rsidRPr="0082680A" w:rsidRDefault="00381BB6" w:rsidP="00381BB6">
      <w:pPr>
        <w:rPr>
          <w:lang w:val="en-GB"/>
        </w:rPr>
      </w:pPr>
      <w:r w:rsidRPr="0082680A">
        <w:rPr>
          <w:lang w:val="en-GB"/>
        </w:rPr>
        <w:t>Of the 3716 proteins in the PPI network, 2974 could be mapped to gene symbols in all five arthritis datasets. Coexpression matrices were calculated from these genes in each dataset</w:t>
      </w:r>
      <w:r w:rsidR="00087EED" w:rsidRPr="0082680A">
        <w:rPr>
          <w:lang w:val="en-GB"/>
        </w:rPr>
        <w:t xml:space="preserve">. </w:t>
      </w:r>
      <w:r w:rsidR="003F4A2D" w:rsidRPr="0082680A">
        <w:rPr>
          <w:lang w:val="en-GB"/>
        </w:rPr>
        <w:t>Analysis of the distribution of correlation values in each dataset revealed a non-normal distribution for the psoriatic arthritis dataset</w:t>
      </w:r>
      <w:r w:rsidR="00527641" w:rsidRPr="0082680A">
        <w:rPr>
          <w:lang w:val="en-GB"/>
        </w:rPr>
        <w:t xml:space="preserve"> (Figure </w:t>
      </w:r>
      <w:r w:rsidR="00BA69FD" w:rsidRPr="0082680A">
        <w:rPr>
          <w:lang w:val="en-GB"/>
        </w:rPr>
        <w:t>1</w:t>
      </w:r>
      <w:r w:rsidR="00066B5A">
        <w:rPr>
          <w:lang w:val="en-GB"/>
        </w:rPr>
        <w:t>6</w:t>
      </w:r>
      <w:r w:rsidR="00527641" w:rsidRPr="0082680A">
        <w:rPr>
          <w:lang w:val="en-GB"/>
        </w:rPr>
        <w:t>)</w:t>
      </w:r>
      <w:r w:rsidR="003F4A2D" w:rsidRPr="0082680A">
        <w:rPr>
          <w:lang w:val="en-GB"/>
        </w:rPr>
        <w:t xml:space="preserve">. To </w:t>
      </w:r>
      <w:r w:rsidR="00527641" w:rsidRPr="0082680A">
        <w:rPr>
          <w:lang w:val="en-GB"/>
        </w:rPr>
        <w:t>prevent loss of the only non-RA dataset, we then analysed the distribution of just the values above 0.5</w:t>
      </w:r>
      <w:r w:rsidRPr="0082680A">
        <w:rPr>
          <w:lang w:val="en-GB"/>
        </w:rPr>
        <w:t xml:space="preserve">. </w:t>
      </w:r>
      <w:r w:rsidR="00B409BC" w:rsidRPr="0082680A">
        <w:rPr>
          <w:lang w:val="en-GB"/>
        </w:rPr>
        <w:t xml:space="preserve">Here we saw that the psoriatic arthritis </w:t>
      </w:r>
      <w:r w:rsidR="00E54DB3" w:rsidRPr="0082680A">
        <w:rPr>
          <w:lang w:val="en-GB"/>
        </w:rPr>
        <w:t xml:space="preserve">dataset resembled normal distribution at these extremes, except for an abnormally high level of </w:t>
      </w:r>
      <w:r w:rsidR="00091827" w:rsidRPr="0082680A">
        <w:rPr>
          <w:lang w:val="en-GB"/>
        </w:rPr>
        <w:t>negative correlation values of -0.8 and lower</w:t>
      </w:r>
      <w:r w:rsidR="00BA69FD" w:rsidRPr="0082680A">
        <w:rPr>
          <w:lang w:val="en-GB"/>
        </w:rPr>
        <w:t xml:space="preserve"> (Figure 1</w:t>
      </w:r>
      <w:r w:rsidR="00066B5A">
        <w:rPr>
          <w:lang w:val="en-GB"/>
        </w:rPr>
        <w:t>7</w:t>
      </w:r>
      <w:r w:rsidR="00BA69FD" w:rsidRPr="0082680A">
        <w:rPr>
          <w:lang w:val="en-GB"/>
        </w:rPr>
        <w:t>)</w:t>
      </w:r>
      <w:r w:rsidR="00091827" w:rsidRPr="0082680A">
        <w:rPr>
          <w:lang w:val="en-GB"/>
        </w:rPr>
        <w:t>.</w:t>
      </w:r>
      <w:r w:rsidR="00477185" w:rsidRPr="0082680A">
        <w:rPr>
          <w:lang w:val="en-GB"/>
        </w:rPr>
        <w:t xml:space="preserve"> The dataset was retained for the following steps, followed by further assessment.</w:t>
      </w:r>
    </w:p>
    <w:p w14:paraId="1E5314A1" w14:textId="77777777" w:rsidR="00B409BC" w:rsidRPr="0082680A" w:rsidRDefault="00B409BC" w:rsidP="00381BB6">
      <w:pPr>
        <w:rPr>
          <w:lang w:val="en-GB"/>
        </w:rPr>
      </w:pPr>
    </w:p>
    <w:p w14:paraId="4F95AEF1" w14:textId="37E139D3" w:rsidR="003B5960" w:rsidRPr="0082680A" w:rsidRDefault="00381BB6" w:rsidP="00381BB6">
      <w:pPr>
        <w:rPr>
          <w:lang w:val="en-GB"/>
        </w:rPr>
      </w:pPr>
      <w:r w:rsidRPr="0082680A">
        <w:rPr>
          <w:lang w:val="en-GB"/>
        </w:rPr>
        <w:t>The coexpression value threshold was set at 0.55</w:t>
      </w:r>
      <w:r w:rsidR="00340956">
        <w:rPr>
          <w:lang w:val="en-GB"/>
        </w:rPr>
        <w:t xml:space="preserve"> to generate an appropriately sized network</w:t>
      </w:r>
      <w:r w:rsidRPr="0082680A">
        <w:rPr>
          <w:lang w:val="en-GB"/>
        </w:rPr>
        <w:t xml:space="preserve">. After threshold and coexpression direction filtering, a network was generated of 590 genes and 744 edges. The largest connected component of this network was a module of 318 genes and 520 edges. The common coexpression module was first created in controls, followed by </w:t>
      </w:r>
      <w:r w:rsidR="00CF1AEE" w:rsidRPr="0082680A">
        <w:rPr>
          <w:lang w:val="en-GB"/>
        </w:rPr>
        <w:t xml:space="preserve">OA synovial membrane </w:t>
      </w:r>
      <w:r w:rsidR="00515948" w:rsidRPr="0082680A">
        <w:rPr>
          <w:lang w:val="en-GB"/>
        </w:rPr>
        <w:t>samples,</w:t>
      </w:r>
      <w:r w:rsidR="00CF1AEE" w:rsidRPr="0082680A">
        <w:rPr>
          <w:lang w:val="en-GB"/>
        </w:rPr>
        <w:t xml:space="preserve"> and </w:t>
      </w:r>
      <w:r w:rsidRPr="0082680A">
        <w:rPr>
          <w:lang w:val="en-GB"/>
        </w:rPr>
        <w:t>b</w:t>
      </w:r>
      <w:r w:rsidR="00CF1AEE" w:rsidRPr="0082680A">
        <w:rPr>
          <w:lang w:val="en-GB"/>
        </w:rPr>
        <w:t>lood samples from RA and PA</w:t>
      </w:r>
      <w:r w:rsidRPr="0082680A">
        <w:rPr>
          <w:lang w:val="en-GB"/>
        </w:rPr>
        <w:t xml:space="preserve">. It was decided that the network would not be recreated in the tendinopathy samples, as the presence of only one dataset would generate a large number of less reliable edges. Under the same thresholds, no edges could be replicated in controls. In </w:t>
      </w:r>
      <w:r w:rsidR="00CF1AEE" w:rsidRPr="0082680A">
        <w:rPr>
          <w:lang w:val="en-GB"/>
        </w:rPr>
        <w:t>OA</w:t>
      </w:r>
      <w:r w:rsidRPr="0082680A">
        <w:rPr>
          <w:lang w:val="en-GB"/>
        </w:rPr>
        <w:t xml:space="preserve"> samples, </w:t>
      </w:r>
      <w:r w:rsidR="00CF1AEE" w:rsidRPr="0082680A">
        <w:rPr>
          <w:lang w:val="en-GB"/>
        </w:rPr>
        <w:t>36 edges were shared with OA samples. Thirty-two</w:t>
      </w:r>
      <w:r w:rsidRPr="0082680A">
        <w:rPr>
          <w:lang w:val="en-GB"/>
        </w:rPr>
        <w:t xml:space="preserve"> edges between 49 nodes </w:t>
      </w:r>
      <w:r w:rsidR="00CF1AEE" w:rsidRPr="0082680A">
        <w:rPr>
          <w:lang w:val="en-GB"/>
        </w:rPr>
        <w:t xml:space="preserve">from RA and PA blood samples </w:t>
      </w:r>
      <w:r w:rsidRPr="0082680A">
        <w:rPr>
          <w:lang w:val="en-GB"/>
        </w:rPr>
        <w:t>passed the selection criteria and overlapped with</w:t>
      </w:r>
      <w:r w:rsidR="00CF1AEE" w:rsidRPr="0082680A">
        <w:rPr>
          <w:lang w:val="en-GB"/>
        </w:rPr>
        <w:t xml:space="preserve"> the arthritis network.</w:t>
      </w:r>
      <w:r w:rsidRPr="0082680A">
        <w:rPr>
          <w:lang w:val="en-GB"/>
        </w:rPr>
        <w:t xml:space="preserve"> Removal of overlap left a common coexpression module of 271 nodes and 426 edges </w:t>
      </w:r>
      <w:r w:rsidR="00A84838" w:rsidRPr="0082680A">
        <w:rPr>
          <w:lang w:val="en-GB"/>
        </w:rPr>
        <w:t xml:space="preserve">(Table </w:t>
      </w:r>
      <w:r w:rsidR="00066B5A">
        <w:rPr>
          <w:lang w:val="en-GB"/>
        </w:rPr>
        <w:t>53</w:t>
      </w:r>
      <w:r w:rsidR="00BA69FD" w:rsidRPr="0082680A">
        <w:rPr>
          <w:lang w:val="en-GB"/>
        </w:rPr>
        <w:t xml:space="preserve"> &amp;</w:t>
      </w:r>
      <w:r w:rsidR="00A84838" w:rsidRPr="0082680A">
        <w:rPr>
          <w:lang w:val="en-GB"/>
        </w:rPr>
        <w:t xml:space="preserve"> Figure </w:t>
      </w:r>
      <w:r w:rsidR="00066B5A">
        <w:rPr>
          <w:lang w:val="en-GB"/>
        </w:rPr>
        <w:t>18</w:t>
      </w:r>
      <w:r w:rsidR="00A84838" w:rsidRPr="0082680A">
        <w:rPr>
          <w:lang w:val="en-GB"/>
        </w:rPr>
        <w:t>)</w:t>
      </w:r>
      <w:r w:rsidRPr="0082680A">
        <w:rPr>
          <w:lang w:val="en-GB"/>
        </w:rPr>
        <w:t xml:space="preserve">. </w:t>
      </w:r>
    </w:p>
    <w:p w14:paraId="38E9DE6C" w14:textId="7F06A34E" w:rsidR="00477185" w:rsidRPr="0082680A" w:rsidRDefault="00477185" w:rsidP="00381BB6">
      <w:pPr>
        <w:rPr>
          <w:lang w:val="en-GB"/>
        </w:rPr>
      </w:pPr>
    </w:p>
    <w:p w14:paraId="3CB3F1E1" w14:textId="788D39DF" w:rsidR="00477185" w:rsidRPr="0082680A" w:rsidRDefault="00A858A9" w:rsidP="00381BB6">
      <w:pPr>
        <w:rPr>
          <w:lang w:val="en-GB"/>
        </w:rPr>
      </w:pPr>
      <w:r w:rsidRPr="0082680A">
        <w:rPr>
          <w:lang w:val="en-GB"/>
        </w:rPr>
        <w:t xml:space="preserve">Despite the large number of </w:t>
      </w:r>
      <w:r w:rsidR="004D0C82" w:rsidRPr="0082680A">
        <w:rPr>
          <w:lang w:val="en-GB"/>
        </w:rPr>
        <w:t xml:space="preserve">negative correlation values in the </w:t>
      </w:r>
      <w:r w:rsidR="00632645" w:rsidRPr="0082680A">
        <w:rPr>
          <w:lang w:val="en-GB"/>
        </w:rPr>
        <w:t>psoriatic arthritis dataset, the overall number of negatively correlated edges was a small proportion of the entire network (</w:t>
      </w:r>
      <w:r w:rsidR="005634FC" w:rsidRPr="0082680A">
        <w:rPr>
          <w:lang w:val="en-GB"/>
        </w:rPr>
        <w:t>approximately 6%)</w:t>
      </w:r>
      <w:r w:rsidR="00053336" w:rsidRPr="0082680A">
        <w:rPr>
          <w:lang w:val="en-GB"/>
        </w:rPr>
        <w:t xml:space="preserve"> (Figure</w:t>
      </w:r>
      <w:r w:rsidR="00D2461B">
        <w:rPr>
          <w:lang w:val="en-GB"/>
        </w:rPr>
        <w:t>17</w:t>
      </w:r>
      <w:r w:rsidR="00053336" w:rsidRPr="0082680A">
        <w:rPr>
          <w:lang w:val="en-GB"/>
        </w:rPr>
        <w:t>)</w:t>
      </w:r>
      <w:r w:rsidR="005634FC" w:rsidRPr="0082680A">
        <w:rPr>
          <w:lang w:val="en-GB"/>
        </w:rPr>
        <w:t xml:space="preserve">. </w:t>
      </w:r>
      <w:r w:rsidR="00053336" w:rsidRPr="0082680A">
        <w:rPr>
          <w:lang w:val="en-GB"/>
        </w:rPr>
        <w:t>Consequently, the psoriatic dataset was retained.</w:t>
      </w:r>
    </w:p>
    <w:p w14:paraId="7A01E819" w14:textId="77777777" w:rsidR="003B5960" w:rsidRPr="0082680A" w:rsidRDefault="003B5960">
      <w:pPr>
        <w:rPr>
          <w:lang w:val="en-GB"/>
        </w:rPr>
      </w:pPr>
      <w:r w:rsidRPr="0082680A">
        <w:rPr>
          <w:lang w:val="en-GB"/>
        </w:rPr>
        <w:br w:type="page"/>
      </w:r>
    </w:p>
    <w:p w14:paraId="7CE63CE4" w14:textId="77777777" w:rsidR="00053336" w:rsidRPr="0082680A" w:rsidRDefault="00091626" w:rsidP="00053336">
      <w:pPr>
        <w:keepNext/>
        <w:rPr>
          <w:lang w:val="en-GB"/>
        </w:rPr>
      </w:pPr>
      <w:r w:rsidRPr="0082680A">
        <w:rPr>
          <w:noProof/>
          <w:lang w:val="en-GB"/>
        </w:rPr>
        <w:lastRenderedPageBreak/>
        <w:drawing>
          <wp:inline distT="0" distB="0" distL="0" distR="0" wp14:anchorId="3B920584" wp14:editId="5199118B">
            <wp:extent cx="5225833" cy="671945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A_ComCoexp_Histograms.pdf"/>
                    <pic:cNvPicPr/>
                  </pic:nvPicPr>
                  <pic:blipFill rotWithShape="1">
                    <a:blip r:embed="rId139">
                      <a:extLst>
                        <a:ext uri="{28A0092B-C50C-407E-A947-70E740481C1C}">
                          <a14:useLocalDpi xmlns:a14="http://schemas.microsoft.com/office/drawing/2010/main" val="0"/>
                        </a:ext>
                      </a:extLst>
                    </a:blip>
                    <a:srcRect l="6202" r="8576" b="23102"/>
                    <a:stretch/>
                  </pic:blipFill>
                  <pic:spPr bwMode="auto">
                    <a:xfrm>
                      <a:off x="0" y="0"/>
                      <a:ext cx="5241246" cy="6739274"/>
                    </a:xfrm>
                    <a:prstGeom prst="rect">
                      <a:avLst/>
                    </a:prstGeom>
                    <a:ln>
                      <a:noFill/>
                    </a:ln>
                    <a:extLst>
                      <a:ext uri="{53640926-AAD7-44D8-BBD7-CCE9431645EC}">
                        <a14:shadowObscured xmlns:a14="http://schemas.microsoft.com/office/drawing/2010/main"/>
                      </a:ext>
                    </a:extLst>
                  </pic:spPr>
                </pic:pic>
              </a:graphicData>
            </a:graphic>
          </wp:inline>
        </w:drawing>
      </w:r>
    </w:p>
    <w:p w14:paraId="22BBE483" w14:textId="675849CF" w:rsidR="00381BB6" w:rsidRPr="0082680A" w:rsidRDefault="00053336" w:rsidP="00066B5A">
      <w:pPr>
        <w:pStyle w:val="Caption"/>
        <w:rPr>
          <w:lang w:val="en-GB"/>
        </w:rPr>
      </w:pPr>
      <w:bookmarkStart w:id="346" w:name="_Toc3226012"/>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16</w:t>
      </w:r>
      <w:r w:rsidR="00666C92" w:rsidRPr="0082680A">
        <w:rPr>
          <w:noProof/>
          <w:lang w:val="en-GB"/>
        </w:rPr>
        <w:fldChar w:fldCharType="end"/>
      </w:r>
      <w:r w:rsidRPr="0082680A">
        <w:rPr>
          <w:lang w:val="en-GB"/>
        </w:rPr>
        <w:t xml:space="preserve">: </w:t>
      </w:r>
      <w:r w:rsidRPr="0082680A">
        <w:rPr>
          <w:b w:val="0"/>
          <w:lang w:val="en-GB"/>
        </w:rPr>
        <w:t xml:space="preserve">Histograms of the </w:t>
      </w:r>
      <w:r w:rsidR="00500574">
        <w:rPr>
          <w:b w:val="0"/>
          <w:lang w:val="en-GB"/>
        </w:rPr>
        <w:t>Spearman’s Rho values</w:t>
      </w:r>
      <w:r w:rsidRPr="0082680A">
        <w:rPr>
          <w:b w:val="0"/>
          <w:lang w:val="en-GB"/>
        </w:rPr>
        <w:t xml:space="preserve"> in each </w:t>
      </w:r>
      <w:r w:rsidR="00BA69FD" w:rsidRPr="0082680A">
        <w:rPr>
          <w:b w:val="0"/>
          <w:lang w:val="en-GB"/>
        </w:rPr>
        <w:t xml:space="preserve">autoimmune arthritis </w:t>
      </w:r>
      <w:r w:rsidRPr="0082680A">
        <w:rPr>
          <w:b w:val="0"/>
          <w:lang w:val="en-GB"/>
        </w:rPr>
        <w:t>dataset</w:t>
      </w:r>
      <w:bookmarkEnd w:id="346"/>
      <w:r w:rsidRPr="0082680A">
        <w:rPr>
          <w:lang w:val="en-GB"/>
        </w:rPr>
        <w:br w:type="page"/>
      </w:r>
    </w:p>
    <w:p w14:paraId="6884B91A" w14:textId="77777777" w:rsidR="00053336" w:rsidRPr="0082680A" w:rsidRDefault="00091626" w:rsidP="00053336">
      <w:pPr>
        <w:keepNext/>
        <w:rPr>
          <w:lang w:val="en-GB"/>
        </w:rPr>
      </w:pPr>
      <w:r w:rsidRPr="0082680A">
        <w:rPr>
          <w:noProof/>
          <w:lang w:val="en-GB"/>
        </w:rPr>
        <w:lastRenderedPageBreak/>
        <w:drawing>
          <wp:inline distT="0" distB="0" distL="0" distR="0" wp14:anchorId="358F8A00" wp14:editId="6EE965D1">
            <wp:extent cx="5037952" cy="6303010"/>
            <wp:effectExtent l="0" t="0" r="444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A_ComCoexp_FilteredHistograms.pdf"/>
                    <pic:cNvPicPr/>
                  </pic:nvPicPr>
                  <pic:blipFill rotWithShape="1">
                    <a:blip r:embed="rId140">
                      <a:extLst>
                        <a:ext uri="{28A0092B-C50C-407E-A947-70E740481C1C}">
                          <a14:useLocalDpi xmlns:a14="http://schemas.microsoft.com/office/drawing/2010/main" val="0"/>
                        </a:ext>
                      </a:extLst>
                    </a:blip>
                    <a:srcRect l="6712" r="9011" b="26009"/>
                    <a:stretch/>
                  </pic:blipFill>
                  <pic:spPr bwMode="auto">
                    <a:xfrm>
                      <a:off x="0" y="0"/>
                      <a:ext cx="5050001" cy="6318084"/>
                    </a:xfrm>
                    <a:prstGeom prst="rect">
                      <a:avLst/>
                    </a:prstGeom>
                    <a:ln>
                      <a:noFill/>
                    </a:ln>
                    <a:extLst>
                      <a:ext uri="{53640926-AAD7-44D8-BBD7-CCE9431645EC}">
                        <a14:shadowObscured xmlns:a14="http://schemas.microsoft.com/office/drawing/2010/main"/>
                      </a:ext>
                    </a:extLst>
                  </pic:spPr>
                </pic:pic>
              </a:graphicData>
            </a:graphic>
          </wp:inline>
        </w:drawing>
      </w:r>
    </w:p>
    <w:p w14:paraId="1FC1C601" w14:textId="7DF9AA63" w:rsidR="00053336" w:rsidRPr="0082680A" w:rsidRDefault="00053336" w:rsidP="00066B5A">
      <w:pPr>
        <w:pStyle w:val="Caption"/>
        <w:rPr>
          <w:b w:val="0"/>
          <w:lang w:val="en-GB"/>
        </w:rPr>
      </w:pPr>
      <w:bookmarkStart w:id="347" w:name="_Toc3226013"/>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17</w:t>
      </w:r>
      <w:r w:rsidR="00666C92" w:rsidRPr="0082680A">
        <w:rPr>
          <w:noProof/>
          <w:lang w:val="en-GB"/>
        </w:rPr>
        <w:fldChar w:fldCharType="end"/>
      </w:r>
      <w:r w:rsidRPr="0082680A">
        <w:rPr>
          <w:lang w:val="en-GB"/>
        </w:rPr>
        <w:t xml:space="preserve">: </w:t>
      </w:r>
      <w:r w:rsidRPr="0082680A">
        <w:rPr>
          <w:b w:val="0"/>
          <w:lang w:val="en-GB"/>
        </w:rPr>
        <w:t xml:space="preserve">Histograms of each </w:t>
      </w:r>
      <w:r w:rsidR="0083316D" w:rsidRPr="0082680A">
        <w:rPr>
          <w:b w:val="0"/>
          <w:lang w:val="en-GB"/>
        </w:rPr>
        <w:t xml:space="preserve">autoimmune arthritis </w:t>
      </w:r>
      <w:r w:rsidRPr="0082680A">
        <w:rPr>
          <w:b w:val="0"/>
          <w:lang w:val="en-GB"/>
        </w:rPr>
        <w:t>dataset for correlation above an absolute value of 0.5</w:t>
      </w:r>
      <w:r w:rsidR="00340956">
        <w:rPr>
          <w:b w:val="0"/>
          <w:lang w:val="en-GB"/>
        </w:rPr>
        <w:t>5</w:t>
      </w:r>
      <w:bookmarkEnd w:id="347"/>
      <w:r w:rsidRPr="0082680A">
        <w:rPr>
          <w:b w:val="0"/>
          <w:lang w:val="en-GB"/>
        </w:rPr>
        <w:br w:type="page"/>
      </w:r>
    </w:p>
    <w:p w14:paraId="19A79D57" w14:textId="5EFAB4E6" w:rsidR="007A6403" w:rsidRPr="0082680A" w:rsidRDefault="00340956" w:rsidP="00381BB6">
      <w:pPr>
        <w:rPr>
          <w:lang w:val="en-GB"/>
        </w:rPr>
      </w:pPr>
      <w:r w:rsidRPr="0082680A">
        <w:rPr>
          <w:noProof/>
          <w:lang w:val="en-GB"/>
        </w:rPr>
        <w:lastRenderedPageBreak/>
        <mc:AlternateContent>
          <mc:Choice Requires="wps">
            <w:drawing>
              <wp:anchor distT="0" distB="0" distL="114300" distR="114300" simplePos="0" relativeHeight="251686912" behindDoc="0" locked="0" layoutInCell="1" allowOverlap="1" wp14:anchorId="5476DBD0" wp14:editId="222D5725">
                <wp:simplePos x="0" y="0"/>
                <wp:positionH relativeFrom="column">
                  <wp:posOffset>4706496</wp:posOffset>
                </wp:positionH>
                <wp:positionV relativeFrom="paragraph">
                  <wp:posOffset>3007964</wp:posOffset>
                </wp:positionV>
                <wp:extent cx="1828800" cy="1828800"/>
                <wp:effectExtent l="0" t="0" r="0" b="0"/>
                <wp:wrapSquare wrapText="bothSides"/>
                <wp:docPr id="132" name="Text Box 132"/>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w="6350">
                          <a:noFill/>
                        </a:ln>
                      </wps:spPr>
                      <wps:txbx>
                        <w:txbxContent>
                          <w:p w14:paraId="12EEBAF6" w14:textId="60DC6B5C" w:rsidR="00C2072C" w:rsidRPr="00E673CE" w:rsidRDefault="00C2072C" w:rsidP="002229B7">
                            <w:pPr>
                              <w:pStyle w:val="Caption"/>
                            </w:pPr>
                            <w:bookmarkStart w:id="348" w:name="_Toc530741974"/>
                            <w:bookmarkStart w:id="349" w:name="_Toc531197197"/>
                            <w:bookmarkStart w:id="350" w:name="_Toc3225966"/>
                            <w:r>
                              <w:t xml:space="preserve">Table </w:t>
                            </w:r>
                            <w:fldSimple w:instr=" SEQ Table \* ARABIC ">
                              <w:r>
                                <w:rPr>
                                  <w:noProof/>
                                </w:rPr>
                                <w:t>53</w:t>
                              </w:r>
                            </w:fldSimple>
                            <w:r>
                              <w:t xml:space="preserve">: </w:t>
                            </w:r>
                            <w:r w:rsidRPr="00A618A2">
                              <w:rPr>
                                <w:b w:val="0"/>
                              </w:rPr>
                              <w:t>Members of the autoimmune arthritis common coexpression network</w:t>
                            </w:r>
                            <w:bookmarkEnd w:id="348"/>
                            <w:bookmarkEnd w:id="349"/>
                            <w:bookmarkEnd w:id="350"/>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76DBD0" id="Text Box 132" o:spid="_x0000_s1032" type="#_x0000_t202" style="position:absolute;margin-left:370.6pt;margin-top:236.85pt;width:2in;height:2in;rotation:-90;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" filled="f" stroked="f" strokeweight=".5pt">
                <v:textbox style="mso-fit-shape-to-text:t">
                  <w:txbxContent>
                    <w:p w14:paraId="12EEBAF6" w14:textId="60DC6B5C" w:rsidR="00C2072C" w:rsidRPr="00E673CE" w:rsidRDefault="00C2072C" w:rsidP="002229B7">
                      <w:pPr>
                        <w:pStyle w:val="Caption"/>
                      </w:pPr>
                      <w:bookmarkStart w:id="351" w:name="_Toc530741974"/>
                      <w:bookmarkStart w:id="352" w:name="_Toc531197197"/>
                      <w:bookmarkStart w:id="353" w:name="_Toc3225966"/>
                      <w:r>
                        <w:t xml:space="preserve">Table </w:t>
                      </w:r>
                      <w:fldSimple w:instr=" SEQ Table \* ARABIC ">
                        <w:r>
                          <w:rPr>
                            <w:noProof/>
                          </w:rPr>
                          <w:t>53</w:t>
                        </w:r>
                      </w:fldSimple>
                      <w:r>
                        <w:t xml:space="preserve">: </w:t>
                      </w:r>
                      <w:r w:rsidRPr="00A618A2">
                        <w:rPr>
                          <w:b w:val="0"/>
                        </w:rPr>
                        <w:t>Members of the autoimmune arthritis common coexpression network</w:t>
                      </w:r>
                      <w:bookmarkEnd w:id="351"/>
                      <w:bookmarkEnd w:id="352"/>
                      <w:bookmarkEnd w:id="353"/>
                    </w:p>
                  </w:txbxContent>
                </v:textbox>
                <w10:wrap type="square"/>
              </v:shape>
            </w:pict>
          </mc:Fallback>
        </mc:AlternateContent>
      </w:r>
      <w:r w:rsidR="00774535" w:rsidRPr="0082680A">
        <w:rPr>
          <w:noProof/>
          <w:lang w:val="en-GB"/>
        </w:rPr>
        <w:drawing>
          <wp:anchor distT="0" distB="0" distL="114300" distR="114300" simplePos="0" relativeHeight="251689984" behindDoc="0" locked="0" layoutInCell="1" allowOverlap="1" wp14:anchorId="24A0D844" wp14:editId="67802753">
            <wp:simplePos x="0" y="0"/>
            <wp:positionH relativeFrom="margin">
              <wp:posOffset>-1290955</wp:posOffset>
            </wp:positionH>
            <wp:positionV relativeFrom="margin">
              <wp:posOffset>1560830</wp:posOffset>
            </wp:positionV>
            <wp:extent cx="7255510" cy="4745355"/>
            <wp:effectExtent l="0" t="2223" r="0"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A_CommonCoexpressionModule_Members.pdf"/>
                    <pic:cNvPicPr/>
                  </pic:nvPicPr>
                  <pic:blipFill rotWithShape="1">
                    <a:blip r:embed="rId141">
                      <a:extLst>
                        <a:ext uri="{28A0092B-C50C-407E-A947-70E740481C1C}">
                          <a14:useLocalDpi xmlns:a14="http://schemas.microsoft.com/office/drawing/2010/main" val="0"/>
                        </a:ext>
                      </a:extLst>
                    </a:blip>
                    <a:srcRect t="1715" b="1968"/>
                    <a:stretch/>
                  </pic:blipFill>
                  <pic:spPr bwMode="auto">
                    <a:xfrm rot="16200000">
                      <a:off x="0" y="0"/>
                      <a:ext cx="7255510" cy="4745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ABFAC8" w14:textId="77777777" w:rsidR="00085B24" w:rsidRPr="0082680A" w:rsidRDefault="001817CD" w:rsidP="00844611">
      <w:pPr>
        <w:keepNext/>
        <w:ind w:left="-426"/>
        <w:jc w:val="center"/>
        <w:rPr>
          <w:lang w:val="en-GB"/>
        </w:rPr>
      </w:pPr>
      <w:r w:rsidRPr="0082680A">
        <w:rPr>
          <w:noProof/>
          <w:lang w:val="en-GB"/>
        </w:rPr>
        <w:lastRenderedPageBreak/>
        <w:drawing>
          <wp:inline distT="0" distB="0" distL="0" distR="0" wp14:anchorId="3B31F76E" wp14:editId="2DD73BCA">
            <wp:extent cx="5597855" cy="7547547"/>
            <wp:effectExtent l="0" t="0" r="317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JENRA_FINALNETWORKNUG.pdf"/>
                    <pic:cNvPicPr/>
                  </pic:nvPicPr>
                  <pic:blipFill rotWithShape="1">
                    <a:blip r:embed="rId142">
                      <a:extLst>
                        <a:ext uri="{28A0092B-C50C-407E-A947-70E740481C1C}">
                          <a14:useLocalDpi xmlns:a14="http://schemas.microsoft.com/office/drawing/2010/main" val="0"/>
                        </a:ext>
                      </a:extLst>
                    </a:blip>
                    <a:srcRect l="30202" t="329" r="30035" b="58244"/>
                    <a:stretch/>
                  </pic:blipFill>
                  <pic:spPr bwMode="auto">
                    <a:xfrm>
                      <a:off x="0" y="0"/>
                      <a:ext cx="5622946" cy="7581378"/>
                    </a:xfrm>
                    <a:prstGeom prst="rect">
                      <a:avLst/>
                    </a:prstGeom>
                    <a:ln>
                      <a:noFill/>
                    </a:ln>
                    <a:extLst>
                      <a:ext uri="{53640926-AAD7-44D8-BBD7-CCE9431645EC}">
                        <a14:shadowObscured xmlns:a14="http://schemas.microsoft.com/office/drawing/2010/main"/>
                      </a:ext>
                    </a:extLst>
                  </pic:spPr>
                </pic:pic>
              </a:graphicData>
            </a:graphic>
          </wp:inline>
        </w:drawing>
      </w:r>
    </w:p>
    <w:p w14:paraId="105911AF" w14:textId="0120CCC5" w:rsidR="006024B3" w:rsidRPr="0082680A" w:rsidRDefault="00085B24" w:rsidP="00085B24">
      <w:pPr>
        <w:pStyle w:val="Caption"/>
        <w:jc w:val="center"/>
        <w:rPr>
          <w:b w:val="0"/>
          <w:lang w:val="en-GB"/>
        </w:rPr>
      </w:pPr>
      <w:bookmarkStart w:id="354" w:name="_Toc3226014"/>
      <w:r w:rsidRPr="0082680A">
        <w:rPr>
          <w:lang w:val="en-GB"/>
        </w:rPr>
        <w:t xml:space="preserve">Figure </w:t>
      </w:r>
      <w:r w:rsidR="00666C92" w:rsidRPr="0082680A">
        <w:rPr>
          <w:noProof/>
          <w:lang w:val="en-GB"/>
        </w:rPr>
        <w:fldChar w:fldCharType="begin"/>
      </w:r>
      <w:r w:rsidR="00666C92" w:rsidRPr="0082680A">
        <w:rPr>
          <w:noProof/>
          <w:lang w:val="en-GB"/>
        </w:rPr>
        <w:instrText xml:space="preserve"> SEQ Figure \* ARABIC </w:instrText>
      </w:r>
      <w:r w:rsidR="00666C92" w:rsidRPr="0082680A">
        <w:rPr>
          <w:noProof/>
          <w:lang w:val="en-GB"/>
        </w:rPr>
        <w:fldChar w:fldCharType="separate"/>
      </w:r>
      <w:r w:rsidR="00066B5A">
        <w:rPr>
          <w:noProof/>
          <w:lang w:val="en-GB"/>
        </w:rPr>
        <w:t>18</w:t>
      </w:r>
      <w:r w:rsidR="00666C92" w:rsidRPr="0082680A">
        <w:rPr>
          <w:noProof/>
          <w:lang w:val="en-GB"/>
        </w:rPr>
        <w:fldChar w:fldCharType="end"/>
      </w:r>
      <w:r w:rsidRPr="0082680A">
        <w:rPr>
          <w:lang w:val="en-GB"/>
        </w:rPr>
        <w:t xml:space="preserve">: </w:t>
      </w:r>
      <w:r w:rsidRPr="0082680A">
        <w:rPr>
          <w:b w:val="0"/>
          <w:lang w:val="en-GB"/>
        </w:rPr>
        <w:t>The common coexpression module for autoimmune arthritis</w:t>
      </w:r>
      <w:r w:rsidR="00340956">
        <w:rPr>
          <w:b w:val="0"/>
          <w:lang w:val="en-GB"/>
        </w:rPr>
        <w:t>. Red edges denote positive correlations, blue edges negative correlations.</w:t>
      </w:r>
      <w:bookmarkEnd w:id="354"/>
    </w:p>
    <w:p w14:paraId="4F002474" w14:textId="538355AC" w:rsidR="00BA69FD" w:rsidRPr="0082680A" w:rsidRDefault="00BA69FD" w:rsidP="00BA69FD">
      <w:pPr>
        <w:rPr>
          <w:lang w:val="en-GB"/>
        </w:rPr>
      </w:pPr>
    </w:p>
    <w:p w14:paraId="2A2717A4" w14:textId="77777777" w:rsidR="00BA69FD" w:rsidRPr="0082680A" w:rsidRDefault="00BA69FD" w:rsidP="00BA69FD">
      <w:pPr>
        <w:pStyle w:val="NoSpacing"/>
        <w:rPr>
          <w:lang w:val="en-GB"/>
        </w:rPr>
      </w:pPr>
      <w:r w:rsidRPr="0082680A">
        <w:rPr>
          <w:noProof/>
          <w:lang w:val="en-GB"/>
        </w:rPr>
        <w:lastRenderedPageBreak/>
        <w:drawing>
          <wp:inline distT="0" distB="0" distL="0" distR="0" wp14:anchorId="20596788" wp14:editId="20E59B28">
            <wp:extent cx="5039360" cy="3563620"/>
            <wp:effectExtent l="0" t="0" r="2540"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A_CorMean_Histogram.pdf"/>
                    <pic:cNvPicPr/>
                  </pic:nvPicPr>
                  <pic:blipFill>
                    <a:blip r:embed="rId143">
                      <a:extLst>
                        <a:ext uri="{28A0092B-C50C-407E-A947-70E740481C1C}">
                          <a14:useLocalDpi xmlns:a14="http://schemas.microsoft.com/office/drawing/2010/main" val="0"/>
                        </a:ext>
                      </a:extLst>
                    </a:blip>
                    <a:stretch>
                      <a:fillRect/>
                    </a:stretch>
                  </pic:blipFill>
                  <pic:spPr>
                    <a:xfrm>
                      <a:off x="0" y="0"/>
                      <a:ext cx="5039360" cy="3563620"/>
                    </a:xfrm>
                    <a:prstGeom prst="rect">
                      <a:avLst/>
                    </a:prstGeom>
                  </pic:spPr>
                </pic:pic>
              </a:graphicData>
            </a:graphic>
          </wp:inline>
        </w:drawing>
      </w:r>
    </w:p>
    <w:p w14:paraId="38C2B2FD" w14:textId="4CB39D54" w:rsidR="00BA69FD" w:rsidRDefault="00BA69FD" w:rsidP="00BA69FD">
      <w:pPr>
        <w:pStyle w:val="Caption"/>
        <w:rPr>
          <w:lang w:val="en-GB"/>
        </w:rPr>
      </w:pPr>
      <w:bookmarkStart w:id="355" w:name="_Toc3226015"/>
      <w:r w:rsidRPr="0082680A">
        <w:rPr>
          <w:lang w:val="en-GB"/>
        </w:rPr>
        <w:t xml:space="preserve">Figure </w:t>
      </w:r>
      <w:r w:rsidRPr="0082680A">
        <w:rPr>
          <w:noProof/>
          <w:lang w:val="en-GB"/>
        </w:rPr>
        <w:fldChar w:fldCharType="begin"/>
      </w:r>
      <w:r w:rsidRPr="0082680A">
        <w:rPr>
          <w:noProof/>
          <w:lang w:val="en-GB"/>
        </w:rPr>
        <w:instrText xml:space="preserve"> SEQ Figure \* ARABIC </w:instrText>
      </w:r>
      <w:r w:rsidRPr="0082680A">
        <w:rPr>
          <w:noProof/>
          <w:lang w:val="en-GB"/>
        </w:rPr>
        <w:fldChar w:fldCharType="separate"/>
      </w:r>
      <w:r w:rsidR="00066B5A">
        <w:rPr>
          <w:noProof/>
          <w:lang w:val="en-GB"/>
        </w:rPr>
        <w:t>19</w:t>
      </w:r>
      <w:r w:rsidRPr="0082680A">
        <w:rPr>
          <w:noProof/>
          <w:lang w:val="en-GB"/>
        </w:rPr>
        <w:fldChar w:fldCharType="end"/>
      </w:r>
      <w:r w:rsidRPr="0082680A">
        <w:rPr>
          <w:lang w:val="en-GB"/>
        </w:rPr>
        <w:t xml:space="preserve">: </w:t>
      </w:r>
      <w:r w:rsidRPr="0082680A">
        <w:rPr>
          <w:b w:val="0"/>
          <w:lang w:val="en-GB"/>
        </w:rPr>
        <w:t xml:space="preserve">Histogram of mean </w:t>
      </w:r>
      <w:r w:rsidR="00340956">
        <w:rPr>
          <w:b w:val="0"/>
          <w:lang w:val="en-GB"/>
        </w:rPr>
        <w:t>Spearman’s Rho values</w:t>
      </w:r>
      <w:r w:rsidRPr="0082680A">
        <w:rPr>
          <w:b w:val="0"/>
          <w:lang w:val="en-GB"/>
        </w:rPr>
        <w:t xml:space="preserve"> for </w:t>
      </w:r>
      <w:r w:rsidR="0083316D" w:rsidRPr="0082680A">
        <w:rPr>
          <w:b w:val="0"/>
          <w:lang w:val="en-GB"/>
        </w:rPr>
        <w:t xml:space="preserve">autoimmune arthritis </w:t>
      </w:r>
      <w:r w:rsidRPr="0082680A">
        <w:rPr>
          <w:b w:val="0"/>
          <w:lang w:val="en-GB"/>
        </w:rPr>
        <w:t xml:space="preserve">common coexpression </w:t>
      </w:r>
      <w:r w:rsidR="0083316D" w:rsidRPr="0082680A">
        <w:rPr>
          <w:b w:val="0"/>
          <w:lang w:val="en-GB"/>
        </w:rPr>
        <w:t>module</w:t>
      </w:r>
      <w:r w:rsidRPr="0082680A">
        <w:rPr>
          <w:b w:val="0"/>
          <w:lang w:val="en-GB"/>
        </w:rPr>
        <w:t xml:space="preserve"> indicating a particularly low level of edges</w:t>
      </w:r>
      <w:bookmarkEnd w:id="355"/>
      <w:r w:rsidRPr="0082680A">
        <w:rPr>
          <w:lang w:val="en-GB"/>
        </w:rPr>
        <w:t xml:space="preserve"> </w:t>
      </w:r>
    </w:p>
    <w:p w14:paraId="0370E254" w14:textId="3CA3FAD7" w:rsidR="000C23ED" w:rsidRPr="00340956" w:rsidRDefault="00340956" w:rsidP="006024B3">
      <w:pPr>
        <w:rPr>
          <w:lang w:val="en-GB"/>
        </w:rPr>
      </w:pPr>
      <w:r>
        <w:rPr>
          <w:lang w:val="en-GB"/>
        </w:rPr>
        <w:br w:type="page"/>
      </w:r>
    </w:p>
    <w:p w14:paraId="404B664E" w14:textId="5C39F84E" w:rsidR="00D0571E" w:rsidRPr="0082680A" w:rsidRDefault="00D91572" w:rsidP="00D91572">
      <w:pPr>
        <w:rPr>
          <w:lang w:val="en-GB"/>
        </w:rPr>
      </w:pPr>
      <w:r w:rsidRPr="0082680A">
        <w:rPr>
          <w:lang w:val="en-GB"/>
        </w:rPr>
        <w:lastRenderedPageBreak/>
        <w:t xml:space="preserve">Enrichment of arthritis benchmarks revealed significant enrichment of both RA and PA Malacards gene list, indicating key genes for these conditions are present (Table </w:t>
      </w:r>
      <w:r w:rsidR="00066B5A">
        <w:rPr>
          <w:lang w:val="en-GB"/>
        </w:rPr>
        <w:t>53</w:t>
      </w:r>
      <w:r w:rsidRPr="0082680A">
        <w:rPr>
          <w:lang w:val="en-GB"/>
        </w:rPr>
        <w:t xml:space="preserve">). Enrichment analysis was conducted on RA, PA, AS, JIA and SLE GWAS Catalogs. The common coexpression module enriched highly for genes associated with SNPs in all </w:t>
      </w:r>
      <w:r w:rsidR="00BA69FD" w:rsidRPr="0082680A">
        <w:rPr>
          <w:lang w:val="en-GB"/>
        </w:rPr>
        <w:t xml:space="preserve">five autoimmune arthritis conditions tested </w:t>
      </w:r>
      <w:r w:rsidRPr="0082680A">
        <w:rPr>
          <w:lang w:val="en-GB"/>
        </w:rPr>
        <w:t xml:space="preserve">(Table </w:t>
      </w:r>
      <w:r w:rsidR="00066B5A">
        <w:rPr>
          <w:lang w:val="en-GB"/>
        </w:rPr>
        <w:t>54</w:t>
      </w:r>
      <w:r w:rsidRPr="0082680A">
        <w:rPr>
          <w:lang w:val="en-GB"/>
        </w:rPr>
        <w:t>). Genes of note include three HLA genes (</w:t>
      </w:r>
      <w:r w:rsidRPr="0082680A">
        <w:rPr>
          <w:i/>
          <w:lang w:val="en-GB"/>
        </w:rPr>
        <w:t>HLA-B, HLA-C</w:t>
      </w:r>
      <w:r w:rsidRPr="0082680A">
        <w:rPr>
          <w:lang w:val="en-GB"/>
        </w:rPr>
        <w:t xml:space="preserve">, and </w:t>
      </w:r>
      <w:r w:rsidRPr="0082680A">
        <w:rPr>
          <w:i/>
          <w:lang w:val="en-GB"/>
        </w:rPr>
        <w:t>HLA-F</w:t>
      </w:r>
      <w:r w:rsidRPr="0082680A">
        <w:rPr>
          <w:lang w:val="en-GB"/>
        </w:rPr>
        <w:t xml:space="preserve">). </w:t>
      </w:r>
      <w:r w:rsidRPr="0082680A">
        <w:rPr>
          <w:i/>
          <w:lang w:val="en-GB"/>
        </w:rPr>
        <w:t>HLA-B</w:t>
      </w:r>
      <w:r w:rsidRPr="0082680A">
        <w:rPr>
          <w:lang w:val="en-GB"/>
        </w:rPr>
        <w:t xml:space="preserve"> in particular has been strongly associated with a number of autoimmune conditions </w:t>
      </w:r>
      <w:r w:rsidRPr="0082680A">
        <w:rPr>
          <w:lang w:val="en-GB"/>
        </w:rPr>
        <w:fldChar w:fldCharType="begin" w:fldLock="1"/>
      </w:r>
      <w:r w:rsidR="000507BA">
        <w:rPr>
          <w:lang w:val="en-GB"/>
        </w:rPr>
        <w:instrText>ADDIN CSL_CITATION {"citationItems":[{"id":"ITEM-1","itemData":{"DOI":"10.2174/138920207783591690","ISSN":"1389-2029","PMID":"19412418","abstract":"The HLA region encodes several molecules that play key roles in the immune system. Strong association between the HLA region and autoimmune disease (AID) has been established for over fifty years. Association of components of the HLA class II encoded HLA-DRB1-DQA1-DQB1 haplotype has been detected with several AIDs, including rheumatoid arthritis, type 1 diabetes and Graves' disease. Molecules encoded by this region play a key role in exogenous antigen presentation to CD4+ Th cells, indicating the importance of this pathway in AID initiation and progression. Although other components of the HLA class I and III regions have also been investigated for association with AID, apart from the association of HLA-B*27 with ankylosing spondylitis, it has been difficult to determine additional susceptibility loci independent of the strong linkage disequilibrium (LD) with the HLA class II genes. Recent advances in the statistical analysis of LD and the recruitment of large AID datasets have allowed investigation of the HLA class I and III regions to be re-visited. Association of the HLA class I region, independent of known HLA class II effects, has now been detected for several AIDs, including strong association of HLA-B with type 1 diabetes and HLA-C with multiple sclerosis and Graves' disease. These results provide further evidence of a possible role for bacterial or viral infection and CD8+ T cells in AID onset. The advances being made in determining the primary associations within the HLA region and AIDs will not only increase our understanding of the mechanisms behind disease pathogenesis but may also aid in the development of novel therapeutic targets in the future.","author":[{"dropping-particle":"","family":"Gough","given":"S C L","non-dropping-particle":"","parse-names":false,"suffix":""},{"dropping-particle":"","family":"Simmonds","given":"M J","non-dropping-particle":"","parse-names":false,"suffix":""}],"container-title":"Current genomics","id":"ITEM-1","issue":"7","issued":{"date-parts":[["2007","11"]]},"page":"453-65","publisher":"Bentham Science Publishers","title":"The HLA Region and Autoimmune Disease: Associations and Mechanisms of Action.","type":"article-journal","volume":"8"},"uris":["http://www.mendeley.com/documents/?uuid=25168c99-3c2e-3286-b795-6ccf98b64867"]},{"id":"ITEM-2","itemData":{"author":[{"dropping-particle":"","family":"Cruz-Tapias","given":"Paola","non-dropping-particle":"","parse-names":false,"suffix":""},{"dropping-particle":"","family":"Castiblanco","given":"John","non-dropping-particle":"","parse-names":false,"suffix":""},{"dropping-particle":"","family":"Anaya","given":"Juan-Manuel","non-dropping-particle":"","parse-names":false,"suffix":""}],"id":"ITEM-2","issued":{"date-parts":[["2013","7","18"]]},"publisher":"El Rosario University Press","title":"HLA Association with Autoimmune Diseases","type":"article-journal"},"uris":["http://www.mendeley.com/documents/?uuid=fa5e8355-7843-38f8-a926-8938432672bd"]},{"id":"ITEM-3","itemData":{"DOI":"10.1007/s40744-018-0100-z","ISSN":"2198-6576","PMID":"29516402","abstract":"Since the discovery of HLA 60 years ago, it has contributed to the understanding of the immune system as well as of the pathogenesis of several diseases. Aside from its essential role in determining donor-recipient immune compatibility in organ transplantation, HLA genotyping is meanwhile performed routinely as part of the diagnostic work-up of certain autoimmune diseases. Considering the ability of HLA to influence thymic selection as well as peripheral anergy of T cells, its role in the pathogenesis of autoimmunity is understandable. The aim of this paper is to provide a brief overview of the role and current clinical relevance of HLA-B27 in spondyloarthritis and HLA-B51 in Behçet's disease as well as HLA-DQ2/DQ8 in celiac disease and HLA-DRB1 in rheumatoid arthritis and to discuss possible future implications.","author":[{"dropping-particle":"","family":"Bodis","given":"Gergely","non-dropping-particle":"","parse-names":false,"suffix":""},{"dropping-particle":"","family":"Toth","given":"Victoria","non-dropping-particle":"","parse-names":false,"suffix":""},{"dropping-particle":"","family":"Schwarting","given":"Andreas","non-dropping-particle":"","parse-names":false,"suffix":""}],"container-title":"Rheumatology and therapy","id":"ITEM-3","issue":"1","issued":{"date-parts":[["2018","6"]]},"page":"5-20","publisher":"Springer","title":"Role of Human Leukocyte Antigens (HLA) in Autoimmune Diseases.","type":"article-journal","volume":"5"},"uris":["http://www.mendeley.com/documents/?uuid=e9ee4165-fd61-37c2-812f-b4712ab45ebe"]}],"mendeley":{"formattedCitation":"&lt;sup&gt;416–418&lt;/sup&gt;","plainTextFormattedCitation":"416–418","previouslyFormattedCitation":"&lt;sup&gt;416–418&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416–418</w:t>
      </w:r>
      <w:r w:rsidRPr="0082680A">
        <w:rPr>
          <w:lang w:val="en-GB"/>
        </w:rPr>
        <w:fldChar w:fldCharType="end"/>
      </w:r>
      <w:r w:rsidRPr="0082680A">
        <w:rPr>
          <w:lang w:val="en-GB"/>
        </w:rPr>
        <w:t xml:space="preserve">. Disease-associated mutations in </w:t>
      </w:r>
      <w:r w:rsidRPr="0082680A">
        <w:rPr>
          <w:i/>
          <w:lang w:val="en-GB"/>
        </w:rPr>
        <w:t>STAT4</w:t>
      </w:r>
      <w:r w:rsidRPr="0082680A">
        <w:rPr>
          <w:lang w:val="en-GB"/>
        </w:rPr>
        <w:t xml:space="preserve"> have been observed in RA, PA, AS, JIA, and SLE, as well as </w:t>
      </w:r>
      <w:proofErr w:type="spellStart"/>
      <w:r w:rsidRPr="0082680A">
        <w:rPr>
          <w:lang w:val="en-GB"/>
        </w:rPr>
        <w:t>Sj</w:t>
      </w:r>
      <w:r w:rsidR="00D8751A">
        <w:rPr>
          <w:lang w:val="en-GB"/>
        </w:rPr>
        <w:t>ö</w:t>
      </w:r>
      <w:r w:rsidRPr="0082680A">
        <w:rPr>
          <w:lang w:val="en-GB"/>
        </w:rPr>
        <w:t>gren’s</w:t>
      </w:r>
      <w:proofErr w:type="spellEnd"/>
      <w:r w:rsidRPr="0082680A">
        <w:rPr>
          <w:lang w:val="en-GB"/>
        </w:rPr>
        <w:t xml:space="preserve"> syndrome and asthma </w:t>
      </w:r>
      <w:r w:rsidRPr="0082680A">
        <w:rPr>
          <w:lang w:val="en-GB"/>
        </w:rPr>
        <w:fldChar w:fldCharType="begin" w:fldLock="1"/>
      </w:r>
      <w:r w:rsidR="000507BA">
        <w:rPr>
          <w:lang w:val="en-GB"/>
        </w:rPr>
        <w:instrText>ADDIN CSL_CITATION {"citationItems":[{"id":"ITEM-1","itemData":{"DOI":"10.1016/j.jaci.2004.10.006","ISSN":"0091-6749","PMID":"15637551","abstract":"BACKGROUND Immune responses characterized by T H 2 type cells and IgE are important for the development of asthma and atopy. The transcription factors STAT6, GATA3, and STAT4 mediate the cytokine-induced development of naive CD4 + T cells into either T H 1 or T H 2 type. OBJECTIVE We studied genetic variation of the STAT6, GATA3, and STAT4 genes and examined whether single nucleotide polymorphisms (SNPs) in these loci were associated with asthma or serum high IgE levels in the Finnish asthmatic families. METHODS With denaturing high-performance liquid chromatography we screened all exons and exon-intron boundaries of the genes in 14 to 22 patients. All identified SNPs were genotyped in 120 nuclear families, and the haplotypes were analyzed by Haplotype Pattern Mining based statistical analysis. When potential association was observed, the analysis was replicated among 245 asthmatic patients and 405 population-based control subjects. RESULTS A total of 23 SNPs were identified, of which 8 were not previously listed in the SNP database. Interestingly, a haplotype analysis of GATA3 showed 3 related haplotypes that associated with different asthma and atopy related phenotypes among both the family and case-control data sets. For STAT6 and STAT4, no significant association to asthma or serum total IgE levels was observed. CONCLUSIONS We identified a panel of novel SNPs in genes coding for proteins important in the T H 1/T H 2 cell differentiation. SNPs of the GATA3 gene showed an initial association to asthma-related phenotypes. Elucidation of the importance of the identified panel of SNPs in other T H 1/T H 2 mediated diseases will be of great interest.","author":[{"dropping-particle":"","family":"Pykäläinen","given":"Maritta","non-dropping-particle":"","parse-names":false,"suffix":""},{"dropping-particle":"","family":"Kinos","given":"Riikka","non-dropping-particle":"","parse-names":false,"suffix":""},{"dropping-particle":"","family":"Valkonen","given":"Sanna","non-dropping-particle":"","parse-names":false,"suffix":""},{"dropping-particle":"","family":"Rydman","given":"Pia","non-dropping-particle":"","parse-names":false,"suffix":""},{"dropping-particle":"","family":"Kilpeläinen","given":"Maritta","non-dropping-particle":"","parse-names":false,"suffix":""},{"dropping-particle":"","family":"Laitinen","given":"Lauri A","non-dropping-particle":"","parse-names":false,"suffix":""},{"dropping-particle":"","family":"Karjalainen","given":"Jussi","non-dropping-particle":"","parse-names":false,"suffix":""},{"dropping-particle":"","family":"Nieminen","given":"Markku","non-dropping-particle":"","parse-names":false,"suffix":""},{"dropping-particle":"","family":"Hurme","given":"Mikko","non-dropping-particle":"","parse-names":false,"suffix":""},{"dropping-particle":"","family":"Kere","given":"Juha","non-dropping-particle":"","parse-names":false,"suffix":""},{"dropping-particle":"","family":"Laitinen","given":"Tarja","non-dropping-particle":"","parse-names":false,"suffix":""},{"dropping-particle":"","family":"Lahesmaa","given":"Riitta","non-dropping-particle":"","parse-names":false,"suffix":""}],"container-title":"The Journal of allergy and clinical immunology","id":"ITEM-1","issue":"1","issued":{"date-parts":[["2005","1","1"]]},"page":"80-7","publisher":"Elsevier","title":"Association analysis of common variants of STAT6, GATA3, and STAT4 to asthma and high serum IgE phenotypes.","type":"article-journal","volume":"115"},"uris":["http://www.mendeley.com/documents/?uuid=020c1b4e-270b-3525-be3a-f5c3f74ce372"]},{"id":"ITEM-2","itemData":{"DOI":"10.1056/NEJMoa073003","ISSN":"1533-4406","PMID":"17804842","abstract":"BACKGROUND Rheumatoid arthritis is a chronic inflammatory disease with a substantial genetic component. Susceptibility to disease has been linked with a region on chromosome 2q. METHODS We tested single-nucleotide polymorphisms (SNPs) in and around 13 candidate genes within the previously linked chromosome 2q region for association with rheumatoid arthritis. We then performed fine mapping of the STAT1-STAT4 region in a total of 1620 case patients with established rheumatoid arthritis and 2635 controls, all from North America. Implicated SNPs were further tested in an independent case-control series of 1529 patients with early rheumatoid arthritis and 881 controls, all from Sweden, and in a total of 1039 case patients and 1248 controls from three series of patients with systemic lupus erythematosus. RESULTS A SNP haplotype in the third intron of STAT4 was associated with susceptibility to both rheumatoid arthritis and systemic lupus erythematosus. The minor alleles of the haplotype-defining SNPs were present in 27% of chromosomes of patients with established rheumatoid arthritis, as compared with 22% of those of controls (for the SNP rs7574865, P=2.81x10(-7); odds ratio for having the risk allele in chromosomes of patients vs. those of controls, 1.32). The association was replicated in Swedish patients with recent-onset rheumatoid arthritis (P=0.02) and matched controls. The haplotype marked by rs7574865 was strongly associated with lupus, being present on 31% of chromosomes of case patients and 22% of those of controls (P=1.87x10(-9); odds ratio for having the risk allele in chromosomes of patients vs. those of controls, 1.55). Homozygosity of the risk allele, as compared with absence of the allele, was associated with a more than doubled risk for lupus and a 60% increased risk for rheumatoid arthritis. CONCLUSIONS A haplotype of STAT4 is associated with increased risk for both rheumatoid arthritis and systemic lupus erythematosus, suggesting a shared pathway for these illnesses.","author":[{"dropping-particle":"","family":"Remmers","given":"Elaine F","non-dropping-particle":"","parse-names":false,"suffix":""},{"dropping-particle":"","family":"Plenge","given":"Robert M","non-dropping-particle":"","parse-names":false,"suffix":""},{"dropping-particle":"","family":"Lee","given":"Annette T","non-dropping-particle":"","parse-names":false,"suffix":""},{"dropping-particle":"","family":"Graham","given":"Robert R","non-dropping-particle":"","parse-names":false,"suffix":""},{"dropping-particle":"","family":"Hom","given":"Geoffrey","non-dropping-particle":"","parse-names":false,"suffix":""},{"dropping-particle":"","family":"Behrens","given":"Timothy W","non-dropping-particle":"","parse-names":false,"suffix":""},{"dropping-particle":"","family":"Bakker","given":"Paul I W","non-dropping-particle":"de","parse-names":false,"suffix":""},{"dropping-particle":"","family":"Le","given":"Julie M","non-dropping-particle":"","parse-names":false,"suffix":""},{"dropping-particle":"","family":"Lee","given":"Hye-Soon","non-dropping-particle":"","parse-names":false,"suffix":""},{"dropping-particle":"","family":"Batliwalla","given":"Franak","non-dropping-particle":"","parse-names":false,"suffix":""},{"dropping-particle":"","family":"Li","given":"Wentian","non-dropping-particle":"","parse-names":false,"suffix":""},{"dropping-particle":"","family":"Masters","given":"Seth L","non-dropping-particle":"","parse-names":false,"suffix":""},{"dropping-particle":"","family":"Booty","given":"Matthew G","non-dropping-particle":"","parse-names":false,"suffix":""},{"dropping-particle":"","family":"Carulli","given":"John P","non-dropping-particle":"","parse-names":false,"suffix":""},{"dropping-particle":"","family":"Padyukov","given":"Leonid","non-dropping-particle":"","parse-names":false,"suffix":""},{"dropping-particle":"","family":"Alfredsson","given":"Lars","non-dropping-particle":"","parse-names":false,"suffix":""},{"dropping-particle":"","family":"Klareskog","given":"Lars","non-dropping-particle":"","parse-names":false,"suffix":""},{"dropping-particle":"V","family":"Chen","given":"Wei","non-dropping-particle":"","parse-names":false,"suffix":""},{"dropping-particle":"","family":"Amos","given":"Christopher I","non-dropping-particle":"","parse-names":false,"suffix":""},{"dropping-particle":"","family":"Criswell","given":"Lindsey A","non-dropping-particle":"","parse-names":false,"suffix":""},{"dropping-particle":"","family":"Seldin","given":"Michael F","non-dropping-particle":"","parse-names":false,"suffix":""},{"dropping-particle":"","family":"Kastner","given":"Daniel L","non-dropping-particle":"","parse-names":false,"suffix":""},{"dropping-particle":"","family":"Gregersen","given":"Peter K","non-dropping-particle":"","parse-names":false,"suffix":""}],"container-title":"The New England journal of medicine","id":"ITEM-2","issue":"10","issued":{"date-parts":[["2007","9","6"]]},"page":"977-86","publisher":"NIH Public Access","title":"STAT4 and the risk of rheumatoid arthritis and systemic lupus erythematosus.","type":"article-journal","volume":"357"},"uris":["http://www.mendeley.com/documents/?uuid=b16a1456-b594-3372-9bb4-d463adda5050"]},{"id":"ITEM-3","itemData":{"DOI":"10.1038/gene.2008.1","abstract":"Single nucleotide polymorphisms in the STAT4 gene have recently been shown to be associated with rheumatoid arthritis (RA) and systemic lupus erythematosus (SLE). Primary Sjö gren's sydrome (pSS) is a related autoimmune disease thought to have a pathogenesis similar to these diseases. To test the hypothesis that the variant haplotype of STAT4 seen in RA and SLE is also associated with pSS, we genotyped rs7574865, the most strongly disease-associated SNP in the variant STAT4 haplotype, in 124 Caucasian pSS subjects and compared them to 1143 Caucasian controls. The disease-associated T allele was more common in chromosomes of the pSS patients (29.6%) than in controls (22.3%), leading to a P-value for association of 0.01. These results implicate polymorphisms in the STAT4 gene in the pathogenesis of pSS.","author":[{"dropping-particle":"","family":"Korman","given":"Benjamin","non-dropping-particle":"","parse-names":false,"suffix":""},{"dropping-particle":"","family":"Korman","given":"B D","non-dropping-particle":"","parse-names":false,"suffix":""},{"dropping-particle":"","family":"Alba","given":"M I","non-dropping-particle":"","parse-names":false,"suffix":""},{"dropping-particle":"","family":"Le","given":"J M","non-dropping-particle":"","parse-names":false,"suffix":""},{"dropping-particle":"","family":"Alevizos","given":"I","non-dropping-particle":"","parse-names":false,"suffix":""},{"dropping-particle":"","family":"Smith","given":"J A","non-dropping-particle":"","parse-names":false,"suffix":""},{"dropping-particle":"","family":"Nikolov","given":"N P","non-dropping-particle":"","parse-names":false,"suffix":""},{"dropping-particle":"","family":"Kastner","given":"D L","non-dropping-particle":"","parse-names":false,"suffix":""},{"dropping-particle":"","family":"Remmers","given":"E F","non-dropping-particle":"","parse-names":false,"suffix":""},{"dropping-particle":"","family":"Illei","given":"G G","non-dropping-particle":"","parse-names":false,"suffix":""}],"container-title":"Article in Genes and immunity","id":"ITEM-3","issued":{"date-parts":[["2008"]]},"page":"267-270","title":"Variant form of STAT4 is associated with primary Sjö gren's syndrome","type":"article-journal","volume":"9"},"uris":["http://www.mendeley.com/documents/?uuid=165531a3-bcbb-3154-a0a5-288b19fe0653"]},{"id":"ITEM-4","itemData":{"DOI":"10.1002/art.24618","ISSN":"00043591","author":[{"dropping-particle":"","family":"Prahalad","given":"Sampath","non-dropping-particle":"","parse-names":false,"suffix":""},{"dropping-particle":"","family":"Hansen","given":"Sterling","non-dropping-particle":"","parse-names":false,"suffix":""},{"dropping-particle":"","family":"Whiting","given":"April","non-dropping-particle":"","parse-names":false,"suffix":""},{"dropping-particle":"","family":"Guthery","given":"Stephen L.","non-dropping-particle":"","parse-names":false,"suffix":""},{"dropping-particle":"","family":"Clifford","given":"Bronte","non-dropping-particle":"","parse-names":false,"suffix":""},{"dropping-particle":"","family":"McNally","given":"Bernadette","non-dropping-particle":"","parse-names":false,"suffix":""},{"dropping-particle":"","family":"Zeft","given":"Andrew S.","non-dropping-particle":"","parse-names":false,"suffix":""},{"dropping-particle":"","family":"Bohnsack","given":"John F.","non-dropping-particle":"","parse-names":false,"suffix":""},{"dropping-particle":"","family":"Jorde","given":"Lynn B.","non-dropping-particle":"","parse-names":false,"suffix":""}],"container-title":"Arthritis &amp; Rheumatism","id":"ITEM-4","issue":"7","issued":{"date-parts":[["2009","7","1"]]},"page":"2124-2130","publisher":"Wiley-Blackwell","title":"Variants in TNFAIP3, STAT4, and C12orf30 loci associated with multiple autoimmune diseases are also associated with juvenile idiopathic arthritis","type":"article-journal","volume":"60"},"uris":["http://www.mendeley.com/documents/?uuid=af246438-97e4-316a-abb4-d3f22b22060a"]}],"mendeley":{"formattedCitation":"&lt;sup&gt;419–422&lt;/sup&gt;","plainTextFormattedCitation":"419–422","previouslyFormattedCitation":"&lt;sup&gt;419–422&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419–422</w:t>
      </w:r>
      <w:r w:rsidRPr="0082680A">
        <w:rPr>
          <w:lang w:val="en-GB"/>
        </w:rPr>
        <w:fldChar w:fldCharType="end"/>
      </w:r>
      <w:r w:rsidRPr="0082680A">
        <w:rPr>
          <w:lang w:val="en-GB"/>
        </w:rPr>
        <w:t xml:space="preserve">. </w:t>
      </w:r>
      <w:r w:rsidRPr="0082680A">
        <w:rPr>
          <w:i/>
          <w:lang w:val="en-GB"/>
        </w:rPr>
        <w:t>CTLA4</w:t>
      </w:r>
      <w:r w:rsidRPr="0082680A">
        <w:rPr>
          <w:lang w:val="en-GB"/>
        </w:rPr>
        <w:t xml:space="preserve"> is important for the inhibition of T-Cell activation, and has been identified to possess a strong genetic association with rheumatoid arthritis </w:t>
      </w:r>
      <w:r w:rsidRPr="0082680A">
        <w:rPr>
          <w:lang w:val="en-GB"/>
        </w:rPr>
        <w:fldChar w:fldCharType="begin" w:fldLock="1"/>
      </w:r>
      <w:r w:rsidR="000507BA">
        <w:rPr>
          <w:lang w:val="en-GB"/>
        </w:rPr>
        <w:instrText>ADDIN CSL_CITATION {"citationItems":[{"id":"ITEM-1","itemData":{"DOI":"10.1111/j.1399-0039.1998.tb02947.x","ISSN":"00012815","author":[{"dropping-particle":"","family":"Seidl","given":"C.","non-dropping-particle":"","parse-names":false,"suffix":""},{"dropping-particle":"","family":"Donner","given":"H.","non-dropping-particle":"","parse-names":false,"suffix":""},{"dropping-particle":"","family":"Fischer","given":"B.","non-dropping-particle":"","parse-names":false,"suffix":""},{"dropping-particle":"","family":"Usadel","given":"K.-H.","non-dropping-particle":"","parse-names":false,"suffix":""},{"dropping-particle":"","family":"Seifried","given":"E.","non-dropping-particle":"","parse-names":false,"suffix":""},{"dropping-particle":"","family":"Kaltwasser","given":"J.P.","non-dropping-particle":"","parse-names":false,"suffix":""},{"dropping-particle":"","family":"Badenhoop","given":"K.","non-dropping-particle":"","parse-names":false,"suffix":""}],"container-title":"Tissue Antigens","id":"ITEM-1","issue":"1","issued":{"date-parts":[["1998","1","1"]]},"page":"62-66","publisher":"Wiley/Blackwell (10.1111)","title":"CTLA4 codon 17 dimorphism in patients with rheumatoid arthritis","type":"article-journal","volume":"51"},"uris":["http://www.mendeley.com/documents/?uuid=aa551d8f-e9bb-3e47-956c-f5b669eda6c6"]},{"id":"ITEM-2","itemData":{"DOI":"10.1034/j.1399-0039.1999.530311.x","ISSN":"0001-2815","author":[{"dropping-particle":"","family":"Gonzalez-Escribano","given":"M.F.","non-dropping-particle":"","parse-names":false,"suffix":""},{"dropping-particle":"","family":"Rodriguez","given":"R.","non-dropping-particle":"","parse-names":false,"suffix":""},{"dropping-particle":"","family":"Valenzuela","given":"A.","non-dropping-particle":"","parse-names":false,"suffix":""},{"dropping-particle":"","family":"Garcia","given":"A.","non-dropping-particle":"","parse-names":false,"suffix":""},{"dropping-particle":"","family":"Garcia-Lozano","given":"J. R.","non-dropping-particle":"","parse-names":false,"suffix":""},{"dropping-particle":"","family":"Nunez-Roldan","given":"A.","non-dropping-particle":"","parse-names":false,"suffix":""}],"container-title":"Tissue Antigens","id":"ITEM-2","issue":"3","issued":{"date-parts":[["1999","3","1"]]},"page":"296-300","publisher":"Wiley/Blackwell (10.1111)","title":"CTLA4 polymorphisms in Spanish patients with rheumatoid arthritis","type":"article-journal","volume":"53"},"uris":["http://www.mendeley.com/documents/?uuid=8a4ea11e-8d54-3ec2-af73-7d74c9f630ce"]},{"id":"ITEM-3","itemData":{"DOI":"10.1038/sj.ejhg.5201423","ISSN":"1018-4813","abstract":"Association of the CTLA-4 gene with rheumatoid arthritis in Chinese Han population","author":[{"dropping-particle":"","family":"Lei","given":"Cai","non-dropping-particle":"","parse-names":false,"suffix":""},{"dropping-particle":"","family":"Dongqing","given":"Zhang","non-dropping-particle":"","parse-names":false,"suffix":""},{"dropping-particle":"","family":"Yeqing","given":"Shi","non-dropping-particle":"","parse-names":false,"suffix":""},{"dropping-particle":"","family":"Oaks","given":"Martin K","non-dropping-particle":"","parse-names":false,"suffix":""},{"dropping-particle":"","family":"Lishan","given":"Chen","non-dropping-particle":"","parse-names":false,"suffix":""},{"dropping-particle":"","family":"Jianzhong","given":"Jin","non-dropping-particle":"","parse-names":false,"suffix":""},{"dropping-particle":"","family":"Jie","given":"Qian","non-dropping-particle":"","parse-names":false,"suffix":""},{"dropping-particle":"","family":"Fang","given":"Du","non-dropping-particle":"","parse-names":false,"suffix":""},{"dropping-particle":"","family":"Ningli","given":"Li","non-dropping-particle":"","parse-names":false,"suffix":""},{"dropping-particle":"","family":"Xinghai","given":"Han","non-dropping-particle":"","parse-names":false,"suffix":""},{"dropping-particle":"","family":"DaMing","given":"Ren","non-dropping-particle":"","parse-names":false,"suffix":""}],"container-title":"European Journal of Human Genetics","id":"ITEM-3","issue":"7","issued":{"date-parts":[["2005","7","20"]]},"page":"823-828","publisher":"Nature Publishing Group","title":"Association of the CTLA-4 gene with rheumatoid arthritis in Chinese Han population","type":"article-journal","volume":"13"},"uris":["http://www.mendeley.com/documents/?uuid=f13ffe0d-7d0d-3913-bcfe-cbae6e18dc97"]},{"id":"ITEM-4","itemData":{"DOI":"10.1086/498651","ISSN":"0002-9297","abstract":"Candidate-gene association studies in rheumatoid arthritis (RA) have lead to encouraging yet apparently inconsistent results. One explanation for the inconsistency is insufficient power to detect modest effects in the context of a low prior probability of a true effect. To overcome this limitation, we selected alleles with an increased probability of a disease association, on the basis of a review of the literature on RA and other autoimmune diseases, and tested them for association with RA susceptibility in a sample collection powered to detect modest genetic effects. We tested 17 alleles from 14 genes in 2,370 RA cases and 1,757 controls from the North American Rheumatoid Arthritis Consortium (NARAC) and the Swedish Epidemiological Investigation of Rheumatoid Arthritis (EIRA) collections. We found strong evidence of an association of PTPN22 with the development of anti-citrulline antibody–positive RA (odds ratio [OR] 1.49; P=.00002), using previously untested EIRA samples. We provide support for an association of CTLA4 (CT60 allele, OR 1.23; P=.001) and PADI4 (PADI4_94, OR 1.24; P=.001) with the development of RA, but only in the NARAC cohort. The CTLA4 association is stronger in patients with RA from both cohorts who are seropositive for anti-citrulline antibodies (P=.0006). Exploration of our data set with clinically relevant subsets of RA reveals that PTPN22 is associated with an earlier age at disease onset (P=.004) and that PTPN22 has a stronger effect in males than in females (P=.03). A meta-analysis failed to demonstrate an association of the remaining alleles with RA susceptibility, suggesting that the previously published associations may represent false-positive results. Given the strong statistical power to replicate a true-positive association in this study, our results provide support for PTPN22, CTLA4, and PADI4 as RA susceptibility genes and demonstrate novel associations with clinically relevant subsets of RA.","author":[{"dropping-particle":"","family":"Plenge","given":"Robert M.","non-dropping-particle":"","parse-names":false,"suffix":""},{"dropping-particle":"","family":"Padyukov","given":"Leonid","non-dropping-particle":"","parse-names":false,"suffix":""},{"dropping-particle":"","family":"Remmers","given":"Elaine F.","non-dropping-particle":"","parse-names":false,"suffix":""},{"dropping-particle":"","family":"Purcell","given":"Shaun","non-dropping-particle":"","parse-names":false,"suffix":""},{"dropping-particle":"","family":"Lee","given":"Annette T.","non-dropping-particle":"","parse-names":false,"suffix":""},{"dropping-particle":"","family":"Karlson","given":"Elizabeth W.","non-dropping-particle":"","parse-names":false,"suffix":""},{"dropping-particle":"","family":"Wolfe","given":"Frederick","non-dropping-particle":"","parse-names":false,"suffix":""},{"dropping-particle":"","family":"Kastner","given":"Daniel L.","non-dropping-particle":"","parse-names":false,"suffix":""},{"dropping-particle":"","family":"Alfredsson","given":"Lars","non-dropping-particle":"","parse-names":false,"suffix":""},{"dropping-particle":"","family":"Altshuler","given":"David","non-dropping-particle":"","parse-names":false,"suffix":""},{"dropping-particle":"","family":"Gregersen","given":"Peter K.","non-dropping-particle":"","parse-names":false,"suffix":""},{"dropping-particle":"","family":"Klareskog","given":"Lars","non-dropping-particle":"","parse-names":false,"suffix":""},{"dropping-particle":"","family":"Rioux","given":"John D.","non-dropping-particle":"","parse-names":false,"suffix":""}],"container-title":"The American Journal of Human Genetics","id":"ITEM-4","issue":"6","issued":{"date-parts":[["2005","12","1"]]},"page":"1044-1060","publisher":"Cell Press","title":"Replication of Putative Candidate-Gene Associations with Rheumatoid Arthritis in &amp;gt;4,000 Samples from North America and Sweden: Association of Susceptibility with PTPN22, CTLA4, and PADI4","type":"article-journal","volume":"77"},"uris":["http://www.mendeley.com/documents/?uuid=84e71442-5188-3b4e-a239-72f73de69948"]}],"mendeley":{"formattedCitation":"&lt;sup&gt;423–426&lt;/sup&gt;","plainTextFormattedCitation":"423–426","previouslyFormattedCitation":"&lt;sup&gt;423–426&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423–426</w:t>
      </w:r>
      <w:r w:rsidRPr="0082680A">
        <w:rPr>
          <w:lang w:val="en-GB"/>
        </w:rPr>
        <w:fldChar w:fldCharType="end"/>
      </w:r>
      <w:r w:rsidRPr="0082680A">
        <w:rPr>
          <w:lang w:val="en-GB"/>
        </w:rPr>
        <w:t xml:space="preserve">. TNF-alpha gene </w:t>
      </w:r>
      <w:r w:rsidRPr="0082680A">
        <w:rPr>
          <w:i/>
          <w:lang w:val="en-GB"/>
        </w:rPr>
        <w:t xml:space="preserve">TNFRSF1B </w:t>
      </w:r>
      <w:r w:rsidRPr="0082680A">
        <w:rPr>
          <w:lang w:val="en-GB"/>
        </w:rPr>
        <w:t xml:space="preserve">is also present within the network, and is biologically, genetically, and therapeutically linked to autoimmune arthritis </w:t>
      </w:r>
      <w:r w:rsidRPr="0082680A">
        <w:rPr>
          <w:lang w:val="en-GB"/>
        </w:rPr>
        <w:fldChar w:fldCharType="begin" w:fldLock="1"/>
      </w:r>
      <w:r w:rsidR="000507BA">
        <w:rPr>
          <w:lang w:val="en-GB"/>
        </w:rPr>
        <w:instrText>ADDIN CSL_CITATION {"citationItems":[{"id":"ITEM-1","itemData":{"DOI":"10.1186/ar552","ISSN":"1465-9913","PMID":"12110156","abstract":"Tumor necrosis factor alpha (TNF-alpha) is an inflammatory cytokine that has been implicated in a variety of rheumatic and inflammatory diseases. New understanding of the importance of TNF-alpha in the pathophysiology of rheumatoid arthritis and Crohn's disease led to the development of a new class of targeted anti-TNF therapies. Anti-TNF-alpha agents including etanercept (a fusion protein of the p75 TNF receptor and IgG1) and infliximab (a chimeric monoclonal antibody specific for TNF-alpha) have been approved for the treatment of rheumatoid arthritis. In addition, infliximab has been approved in the treatment of patients with active or fistulating Crohn's disease. A new appreciation of the importance of TNF-alpha in other rheumatic and inflammatory diseases has led to a broadening of the application of anti-TNF agents. Both etanercept and infliximab have been used in open-label and randomized studies in patients with psoriatic arthritis. Although larger randomized trials are needed to confirm early results, both these anti-TNF-alpha agents, etanercept and infliximab, have demonstrated activity in improving the signs and symptoms of psoriatic arthritis and psoriasis. Infliximab has also been shown to be effective in patients with other rheumatic diseases, including ankylosing spondylitis, and may be effective in adult-onset Still's disease, polymyositis, and Behçet's disease. Further investigations will fully elucidate the role of infliximab in these and other rheumatic diseases.","author":[{"dropping-particle":"","family":"Kalden","given":"Joachim R","non-dropping-particle":"","parse-names":false,"suffix":""}],"container-title":"Arthritis research","id":"ITEM-1","issue":"Suppl 2","issued":{"date-parts":[["2002"]]},"page":"S34-40","publisher":"BioMed Central","title":"Emerging role of anti-tumor necrosis factor therapy in rheumatic diseases.","type":"article-journal","volume":"4 Suppl 2"},"uris":["http://www.mendeley.com/documents/?uuid=7361c1aa-2255-3b3f-95b9-1212843c641d"]},{"id":"ITEM-2","itemData":{"DOI":"10.1097/FPC.0000000000000140","ISSN":"1744-6872","PMID":"25850964","abstract":"BACKGROUND Recent research suggests that genetic variants in the tumor necrosis factor receptor 2 (TNFRSF1B) gene may have an impact on susceptibility to rheumatoid arthritis (RA) and drug response. The present population-based case-control study was carried out to evaluate whether 5 tagging single-nucleotide polymorphisms (SNPs) within the TNFRSF1B gene are associated with the risk of RA and response to antitumor necrosis factor (TNF) drugs. METHODS The study population included 1412 RA patients and 1225 healthy controls. A subset of 596 anti-TNF-naive RA patients was selected to assess the association of TNFRSF1B SNPs and drug response according to the EULAR response criteria. RESULTS We found that carriers of the TNFRSF1Brs3397C allele had a significantly increased risk of developing RA (P=0.0006). Importantly, this association remained significant after correction for multiple testing. We also confirmed the lack of association of the TNFRSF1Brs1061622 SNP with the risk of RA in the single-SNP analysis (P=0.89), but also through well-powered meta-analyses (PDOM=0.67 and PREC=0.37, respectively). In addition, our study showed that carriers of the TNFRSF1Brs3397C/C, TNFRSF1Brs1061622G/G, and TNFRSF1Brs1061631A/A genotypes had an increased risk of having a worse response to anti-TNF drugs at the level of P less than 0.05 (P=0.014, 0.0085 and 0.028, respectively). We also observed that, according to a log-additive model, carriers of the TNFRSF1Brs3397C or TNFRSF1Brs1061622G alleles showed an increased risk of having worse response to anti-TNF medications (P=0.018 and 0.0059). However, the association of the TNFRSF1Brs1061622 SNP only reached marginal significance after correction for multiple testing according to a log-additive model (P=0.0059) and it was not confirmed through a meta-analysis (PDOM=0.12). CONCLUSION Our results suggest that the TNFRSF1Brs3397 variant may play a role in modulating the risk of RA, but does not provide strong evidence of an impact of TNFRSF1B variants in determining response to anti-TNF drugs.","author":[{"dropping-particle":"","family":"Canet","given":"Luz M.","non-dropping-particle":"","parse-names":false,"suffix":""},{"dropping-particle":"","family":"Filipescu","given":"Ileana","non-dropping-particle":"","parse-names":false,"suffix":""},{"dropping-particle":"","family":"Cáliz","given":"Rafael","non-dropping-particle":"","parse-names":false,"suffix":""},{"dropping-particle":"","family":"Lupiañez","given":"Carmen B.","non-dropping-particle":"","parse-names":false,"suffix":""},{"dropping-particle":"","family":"Canhão","given":"Helena","non-dropping-particle":"","parse-names":false,"suffix":""},{"dropping-particle":"","family":"Escudero","given":"Alejandro","non-dropping-particle":"","parse-names":false,"suffix":""},{"dropping-particle":"","family":"Segura-Catena","given":"Juana","non-dropping-particle":"","parse-names":false,"suffix":""},{"dropping-particle":"","family":"Soto-Pino","given":"María J.","non-dropping-particle":"","parse-names":false,"suffix":""},{"dropping-particle":"","family":"Ferrer","given":"Miguel A.","non-dropping-particle":"","parse-names":false,"suffix":""},{"dropping-particle":"","family":"García","given":"Antonio","non-dropping-particle":"","parse-names":false,"suffix":""},{"dropping-particle":"","family":"Romani","given":"Lurdes","non-dropping-particle":"","parse-names":false,"suffix":""},{"dropping-particle":"","family":"Pérez-Pampin","given":"Eva","non-dropping-particle":"","parse-names":false,"suffix":""},{"dropping-particle":"","family":"González-Utrilla","given":"Alfonso","non-dropping-particle":"","parse-names":false,"suffix":""},{"dropping-particle":"","family":"López Nevot","given":"Miguel A.","non-dropping-particle":"","parse-names":false,"suffix":""},{"dropping-particle":"","family":"Collantes","given":"Eduardo","non-dropping-particle":"","parse-names":false,"suffix":""},{"dropping-particle":"","family":"Fonseca","given":"João E.","non-dropping-particle":"","parse-names":false,"suffix":""},{"dropping-particle":"","family":"Sainz","given":"Juan","non-dropping-particle":"","parse-names":false,"suffix":""}],"container-title":"Pharmacogenetics and Genomics","id":"ITEM-2","issue":"7","issued":{"date-parts":[["2015","7"]]},"page":"323-333","title":"Genetic variants within the TNFRSF1B gene and susceptibility to rheumatoid arthritis and response to anti-TNF drugs","type":"article-journal","volume":"25"},"uris":["http://www.mendeley.com/documents/?uuid=53208c10-8e04-3c28-b6ab-20f6dc1bbd92"]},{"id":"ITEM-3","itemData":{"DOI":"10.1097/MD.0000000000011677","ISSN":"1536-5964","PMID":"30075559","abstract":"The successful therapeutic use of anti-TNF biological agents in patients with ankylosing spondylitis (AS) indicates that tumor necrosis factor-α (TNF-α) and tumor necrosis factor receptor (TNFR) genes are involved in the pathogenesis of AS. TNF-α exerts its biological activity by binding to its cell surface receptors (p55 TNF-α receptor [TNFRI, encoded by the Tumor Necrosis Factor Receptor Superfamily Member 1A (TNFRSF1A)] and p75 receptor [TNFRII, encoded by the Tumor Necrosis Factor Receptor Superfamily Member 1B (TNFRSF1B)]. TNFRSF1A and TNFRSF1B may be related to AS, but the relevant studies are still limited. Therefore, we aim to explore the association between TNFRSF1A and TNFRSF1B polymorphisms and susceptibility and short- and long-term response to anti-TNF treatment in human leukocyte antigen-B27 (HLA-B27)-positive Chinese Han patients with AS.A total of 215 HLA-B27-positive patients with AS and 216 HLA-B27-positive matched controls were enrolled and genotyped for rs767455, rs2234649, and rs1061622. A subset of 50 AS patients was also studied for the association of these polymorphisms with the short- and long-term response to etanercept assessed by Assessment in Ankylosing Spondylitis 20 (ASAS20) and Assessment in Ankylosing Spondylitis 40 (ASAS40).Our data showed that rs767455 was associated with the susceptibility of AS, G allele of rs767455 exhibited an association with the risk of developing AS (OR = 1.63 (1.04-2.55), P = .032). Rs1061622 polymorphism was associated with total back pain and chest expansion. Only rs1061622 was significantly associated with long-term efficacy of etanercept: the TG genotype of rs1061622 worsened ASAS20 and ASAS40 responses at 12 months (P = .021 and .041, respectively).The results suggest that TNFRSF1A and TNFRSF1B polymorphisms were associated with susceptibility, severity, and the long-term therapeutic efficacy of etanercept of patients with AS.","author":[{"dropping-particle":"","family":"Xing-Rong","given":"Wang","non-dropping-particle":"","parse-names":false,"suffix":""},{"dropping-particle":"","family":"Sheng-Qian","given":"Xu","non-dropping-particle":"","parse-names":false,"suffix":""},{"dropping-particle":"","family":"Wen","given":"Liu","non-dropping-particle":"","parse-names":false,"suffix":""},{"dropping-particle":"","family":"Shan","given":"Qi","non-dropping-particle":"","parse-names":false,"suffix":""},{"dropping-particle":"","family":"Fa-Ming","given":"Pan","non-dropping-particle":"","parse-names":false,"suffix":""},{"dropping-particle":"","family":"Jian-Hua","given":"Xu","non-dropping-particle":"","parse-names":false,"suffix":""}],"container-title":"Medicine","id":"ITEM-3","issue":"31","issued":{"date-parts":[["2018","8"]]},"page":"e11677","publisher":"Wolters Kluwer Health","title":"Role of TNFRSF1A and TNFRSF1B polymorphisms in susceptibility, severity, and therapeutic efficacy of etanercept in human leukocyte antigen-B27-positive Chinese Han patients with ankylosing spondylitis.","type":"article-journal","volume":"97"},"uris":["http://www.mendeley.com/documents/?uuid=47aff444-1773-3b81-a6e9-9d37fc3ee709"]},{"id":"ITEM-4","itemData":{"abstract":"Juvenile idiopathic arthritis (JIA) is the most frequent rheumatic disease in children and could lead to severe disability. The aim of this study was to determine the role of gene polymorphisms in predicting the clinical response of anti-TNF therapy in JIA patients. 68 patients with JIA and 20 healthy controls (HC) were included in the study, and patients with JIA received anti-TNF treatment for 24 weeks. Genomic DNA was extracted from peripheral blood of the subjects and five potentially functional SNPs were selected for genotyping (TNF-308 (rs1800629), TNF-238 (rs361525), TNFRSF1B (rs1061622), TRAF1/C5 (rs3761847), and PTPN22 (rs2488457)) by PCR methods. No significant genotype frequency differences of TNF-308 (rs1800629), TNF-238 (rs361525), TNFRSF1B (rs1061622), TRAF1/C5 (rs3761847), and PTPN22 (rs2488457) were found between JIA patients and HC. Genotype of TNF-308 GG (rs1800629) and TNFRSF1B TT (rs1061622) were observed to be increased in responders group compared with non-responders group (P=0.034, P=0.048, respectively). Furthermore, univariable logistic regression revealed that TNF-308 A allele (rs1800629) and TNFRSF1B G allele (rs1061622) were risk factors for clinical response (OR: 0.328, 95% CI: 0.117-0.914, P=0.033; OR: 0.387, 95% CI: 0.142-1.055, P=0.063, respectively). However, only TNF-308 A allele (rs1800629) was independent risks for clinical response by multivariable logistic regression (OR: 0.354, 95% CI: 0.142-0.885, P=0.026), while TNFRSF1B G allele (rs1061622) might be potential risks (OR: 0.418, 95% CI: 0.155-1.130, P=0.086). TNF-308 (rs1800629) and TNFRSF1B (rs1061622) variants were potential bio-markers of clinical response in JIA patients treated by anti-TNF drugs.","author":[{"dropping-particle":"","family":"Hong","given":"Yan","non-dropping-particle":"","parse-names":false,"suffix":""},{"dropping-particle":"","family":"Wang","given":"Ruiquan","non-dropping-particle":"","parse-names":false,"suffix":""}],"container-title":"Int J Clin Exp Pathol","id":"ITEM-4","issue":"11","issued":{"date-parts":[["2016"]]},"number-of-pages":"11936-11943","title":"The potential of TNF and TNFRSF1B gene polymorphism in predicting the clinical response of anti-TNF therapy in patients with juvenile idiopathic arthritis","type":"report","volume":"9"},"uris":["http://www.mendeley.com/documents/?uuid=7f9a73eb-0ea1-3128-ac9e-15acaeca9fdd"]}],"mendeley":{"formattedCitation":"&lt;sup&gt;427–430&lt;/sup&gt;","plainTextFormattedCitation":"427–430","previouslyFormattedCitation":"&lt;sup&gt;427–430&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427–430</w:t>
      </w:r>
      <w:r w:rsidRPr="0082680A">
        <w:rPr>
          <w:lang w:val="en-GB"/>
        </w:rPr>
        <w:fldChar w:fldCharType="end"/>
      </w:r>
      <w:r w:rsidRPr="0082680A">
        <w:rPr>
          <w:lang w:val="en-GB"/>
        </w:rPr>
        <w:t xml:space="preserve">. </w:t>
      </w:r>
    </w:p>
    <w:p w14:paraId="299AE6F1" w14:textId="77777777" w:rsidR="00BA69FD" w:rsidRPr="0082680A" w:rsidRDefault="00BA69FD" w:rsidP="00BA69FD">
      <w:pPr>
        <w:pStyle w:val="NoSpacing"/>
        <w:rPr>
          <w:lang w:val="en-GB"/>
        </w:rPr>
      </w:pPr>
      <w:r w:rsidRPr="0082680A">
        <w:rPr>
          <w:noProof/>
          <w:lang w:val="en-GB"/>
        </w:rPr>
        <w:drawing>
          <wp:inline distT="0" distB="0" distL="0" distR="0" wp14:anchorId="18368134" wp14:editId="3DA35D47">
            <wp:extent cx="5021493" cy="162643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A_Nug_Malacardsenrich.pdf"/>
                    <pic:cNvPicPr/>
                  </pic:nvPicPr>
                  <pic:blipFill rotWithShape="1">
                    <a:blip r:embed="rId144">
                      <a:extLst>
                        <a:ext uri="{28A0092B-C50C-407E-A947-70E740481C1C}">
                          <a14:useLocalDpi xmlns:a14="http://schemas.microsoft.com/office/drawing/2010/main" val="0"/>
                        </a:ext>
                      </a:extLst>
                    </a:blip>
                    <a:srcRect b="52310"/>
                    <a:stretch/>
                  </pic:blipFill>
                  <pic:spPr bwMode="auto">
                    <a:xfrm>
                      <a:off x="0" y="0"/>
                      <a:ext cx="5036117" cy="1631170"/>
                    </a:xfrm>
                    <a:prstGeom prst="rect">
                      <a:avLst/>
                    </a:prstGeom>
                    <a:ln>
                      <a:noFill/>
                    </a:ln>
                    <a:extLst>
                      <a:ext uri="{53640926-AAD7-44D8-BBD7-CCE9431645EC}">
                        <a14:shadowObscured xmlns:a14="http://schemas.microsoft.com/office/drawing/2010/main"/>
                      </a:ext>
                    </a:extLst>
                  </pic:spPr>
                </pic:pic>
              </a:graphicData>
            </a:graphic>
          </wp:inline>
        </w:drawing>
      </w:r>
    </w:p>
    <w:p w14:paraId="28F94BD2" w14:textId="241C049A" w:rsidR="00BA69FD" w:rsidRPr="0082680A" w:rsidRDefault="00BA69FD" w:rsidP="00BA69FD">
      <w:pPr>
        <w:pStyle w:val="Caption"/>
        <w:rPr>
          <w:b w:val="0"/>
          <w:lang w:val="en-GB"/>
        </w:rPr>
      </w:pPr>
      <w:bookmarkStart w:id="356" w:name="_Toc3225967"/>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53</w:t>
      </w:r>
      <w:r w:rsidR="00483095">
        <w:rPr>
          <w:lang w:val="en-GB"/>
        </w:rPr>
        <w:fldChar w:fldCharType="end"/>
      </w:r>
      <w:r w:rsidRPr="0082680A">
        <w:rPr>
          <w:lang w:val="en-GB"/>
        </w:rPr>
        <w:t xml:space="preserve">: </w:t>
      </w:r>
      <w:r w:rsidRPr="0082680A">
        <w:rPr>
          <w:b w:val="0"/>
          <w:lang w:val="en-GB"/>
        </w:rPr>
        <w:t xml:space="preserve">Enrichment of </w:t>
      </w:r>
      <w:r w:rsidR="00340956">
        <w:rPr>
          <w:b w:val="0"/>
          <w:lang w:val="en-GB"/>
        </w:rPr>
        <w:t xml:space="preserve">rheumatoid and psoriatic arthritis </w:t>
      </w:r>
      <w:r w:rsidRPr="0082680A">
        <w:rPr>
          <w:b w:val="0"/>
          <w:lang w:val="en-GB"/>
        </w:rPr>
        <w:t>Malacards genes in the autoimmune arthritis common coexpression network</w:t>
      </w:r>
      <w:bookmarkEnd w:id="356"/>
    </w:p>
    <w:p w14:paraId="3684896F" w14:textId="77777777" w:rsidR="00BA69FD" w:rsidRPr="0082680A" w:rsidRDefault="00BA69FD" w:rsidP="00BA69FD">
      <w:pPr>
        <w:rPr>
          <w:lang w:val="en-GB"/>
        </w:rPr>
      </w:pPr>
    </w:p>
    <w:p w14:paraId="72B8B549" w14:textId="77777777" w:rsidR="007746BE" w:rsidRPr="0082680A" w:rsidRDefault="00E258C5" w:rsidP="007746BE">
      <w:pPr>
        <w:pStyle w:val="NoSpacing"/>
        <w:keepNext/>
        <w:rPr>
          <w:lang w:val="en-GB"/>
        </w:rPr>
      </w:pPr>
      <w:r w:rsidRPr="0082680A">
        <w:rPr>
          <w:noProof/>
          <w:lang w:val="en-GB"/>
        </w:rPr>
        <w:drawing>
          <wp:inline distT="0" distB="0" distL="0" distR="0" wp14:anchorId="206D22D9" wp14:editId="79C07778">
            <wp:extent cx="5056061" cy="2945567"/>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A_CCM_GWASEnrichment.pdf"/>
                    <pic:cNvPicPr/>
                  </pic:nvPicPr>
                  <pic:blipFill rotWithShape="1">
                    <a:blip r:embed="rId145">
                      <a:extLst>
                        <a:ext uri="{28A0092B-C50C-407E-A947-70E740481C1C}">
                          <a14:useLocalDpi xmlns:a14="http://schemas.microsoft.com/office/drawing/2010/main" val="0"/>
                        </a:ext>
                      </a:extLst>
                    </a:blip>
                    <a:srcRect b="14221"/>
                    <a:stretch/>
                  </pic:blipFill>
                  <pic:spPr bwMode="auto">
                    <a:xfrm>
                      <a:off x="0" y="0"/>
                      <a:ext cx="5072683" cy="2955250"/>
                    </a:xfrm>
                    <a:prstGeom prst="rect">
                      <a:avLst/>
                    </a:prstGeom>
                    <a:ln>
                      <a:noFill/>
                    </a:ln>
                    <a:extLst>
                      <a:ext uri="{53640926-AAD7-44D8-BBD7-CCE9431645EC}">
                        <a14:shadowObscured xmlns:a14="http://schemas.microsoft.com/office/drawing/2010/main"/>
                      </a:ext>
                    </a:extLst>
                  </pic:spPr>
                </pic:pic>
              </a:graphicData>
            </a:graphic>
          </wp:inline>
        </w:drawing>
      </w:r>
    </w:p>
    <w:p w14:paraId="56700C01" w14:textId="1F008DF9" w:rsidR="00BA69FD" w:rsidRPr="00D8751A" w:rsidRDefault="007746BE" w:rsidP="00D8751A">
      <w:pPr>
        <w:pStyle w:val="Caption"/>
        <w:rPr>
          <w:b w:val="0"/>
          <w:lang w:val="en-GB"/>
        </w:rPr>
      </w:pPr>
      <w:bookmarkStart w:id="357" w:name="_Toc3225968"/>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54</w:t>
      </w:r>
      <w:r w:rsidR="00483095">
        <w:rPr>
          <w:lang w:val="en-GB"/>
        </w:rPr>
        <w:fldChar w:fldCharType="end"/>
      </w:r>
      <w:r w:rsidRPr="0082680A">
        <w:rPr>
          <w:lang w:val="en-GB"/>
        </w:rPr>
        <w:t xml:space="preserve">: </w:t>
      </w:r>
      <w:r w:rsidRPr="0082680A">
        <w:rPr>
          <w:b w:val="0"/>
          <w:lang w:val="en-GB"/>
        </w:rPr>
        <w:t>Enrichment of GWAS hits for five autoimmune arthritis conditions</w:t>
      </w:r>
      <w:r w:rsidR="00D8751A">
        <w:rPr>
          <w:b w:val="0"/>
          <w:lang w:val="en-GB"/>
        </w:rPr>
        <w:t>. RA = rheumatoid arthritis, PA = psoriatic arthritis, JIA = juvenile idiopathic arthritis, SLE = systemic lupus erythematosus, AS = ankylosing spondylitis.</w:t>
      </w:r>
      <w:bookmarkEnd w:id="357"/>
    </w:p>
    <w:p w14:paraId="6432CA51" w14:textId="0B9359CD" w:rsidR="00BA69FD" w:rsidRPr="0082680A" w:rsidRDefault="00BA69FD" w:rsidP="00BA69FD">
      <w:pPr>
        <w:rPr>
          <w:lang w:val="en-GB"/>
        </w:rPr>
      </w:pPr>
      <w:r w:rsidRPr="0082680A">
        <w:rPr>
          <w:lang w:val="en-GB"/>
        </w:rPr>
        <w:lastRenderedPageBreak/>
        <w:t xml:space="preserve">Functional enrichment of the coexpression module revealed strong representation of signalling pathways expected for inflammatory arthritis, such as NF-kappaB, chemokine, toll-like, T-Cell, and TNF (Tables </w:t>
      </w:r>
      <w:r w:rsidR="00066B5A">
        <w:rPr>
          <w:lang w:val="en-GB"/>
        </w:rPr>
        <w:t>55</w:t>
      </w:r>
      <w:r w:rsidRPr="0082680A">
        <w:rPr>
          <w:lang w:val="en-GB"/>
        </w:rPr>
        <w:t xml:space="preserve"> &amp; </w:t>
      </w:r>
      <w:r w:rsidR="00066B5A">
        <w:rPr>
          <w:lang w:val="en-GB"/>
        </w:rPr>
        <w:t>56</w:t>
      </w:r>
      <w:r w:rsidR="00502947" w:rsidRPr="0082680A">
        <w:rPr>
          <w:lang w:val="en-GB"/>
        </w:rPr>
        <w:t xml:space="preserve">). </w:t>
      </w:r>
      <w:r w:rsidRPr="0082680A">
        <w:rPr>
          <w:color w:val="000000" w:themeColor="text1"/>
          <w:lang w:val="en-GB"/>
        </w:rPr>
        <w:t>Additionally, the network enriched highly for arthritis-specific KEGG pathways such as “Rheumatoid Arthritis” and “Osteoclast differentiation” (</w:t>
      </w:r>
      <w:hyperlink r:id="rId146" w:history="1">
        <w:r w:rsidR="00502947" w:rsidRPr="0082680A">
          <w:rPr>
            <w:rStyle w:val="Hyperlink"/>
            <w:lang w:val="en-GB"/>
          </w:rPr>
          <w:t>http://amp.pharm.mssm.edu/Enrichr/enrich?dataset=8gl6c</w:t>
        </w:r>
      </w:hyperlink>
      <w:r w:rsidR="00502947" w:rsidRPr="0082680A">
        <w:rPr>
          <w:lang w:val="en-GB"/>
        </w:rPr>
        <w:t>).</w:t>
      </w:r>
      <w:r w:rsidR="00502947" w:rsidRPr="0082680A">
        <w:rPr>
          <w:color w:val="FF0000"/>
          <w:lang w:val="en-GB"/>
        </w:rPr>
        <w:t xml:space="preserve"> </w:t>
      </w:r>
      <w:r w:rsidRPr="0082680A">
        <w:rPr>
          <w:lang w:val="en-GB"/>
        </w:rPr>
        <w:t>Interestingly, for the enriched pathways shared between the common coexpression module and the common DEG list, the common coexpression module enriches markedly higher. For example, in the DEG list, the KEGG pathway NF-kappa B signaling pathway has a P-value of 5.45e</w:t>
      </w:r>
      <w:r w:rsidR="00502947" w:rsidRPr="0082680A">
        <w:rPr>
          <w:lang w:val="en-GB"/>
        </w:rPr>
        <w:t>-6</w:t>
      </w:r>
      <w:r w:rsidRPr="0082680A">
        <w:rPr>
          <w:lang w:val="en-GB"/>
        </w:rPr>
        <w:t xml:space="preserve">, whereas for the common coexpression module this same pathway enriched with a P-value of 3.7e-19, despite being approximately 40% smaller than the DEG list, suggesting the </w:t>
      </w:r>
      <w:r w:rsidR="00502947" w:rsidRPr="0082680A">
        <w:rPr>
          <w:lang w:val="en-GB"/>
        </w:rPr>
        <w:t xml:space="preserve">protein interaction and </w:t>
      </w:r>
      <w:r w:rsidRPr="0082680A">
        <w:rPr>
          <w:lang w:val="en-GB"/>
        </w:rPr>
        <w:t xml:space="preserve">coexpression </w:t>
      </w:r>
      <w:r w:rsidR="00502947" w:rsidRPr="0082680A">
        <w:rPr>
          <w:lang w:val="en-GB"/>
        </w:rPr>
        <w:t>steps are</w:t>
      </w:r>
      <w:r w:rsidRPr="0082680A">
        <w:rPr>
          <w:lang w:val="en-GB"/>
        </w:rPr>
        <w:t xml:space="preserve"> successfully </w:t>
      </w:r>
      <w:r w:rsidR="00502947" w:rsidRPr="0082680A">
        <w:rPr>
          <w:lang w:val="en-GB"/>
        </w:rPr>
        <w:t xml:space="preserve">adding related and </w:t>
      </w:r>
      <w:r w:rsidRPr="0082680A">
        <w:rPr>
          <w:lang w:val="en-GB"/>
        </w:rPr>
        <w:t xml:space="preserve">removing </w:t>
      </w:r>
      <w:r w:rsidR="00502947" w:rsidRPr="0082680A">
        <w:rPr>
          <w:lang w:val="en-GB"/>
        </w:rPr>
        <w:t xml:space="preserve">unrelated </w:t>
      </w:r>
      <w:r w:rsidRPr="0082680A">
        <w:rPr>
          <w:lang w:val="en-GB"/>
        </w:rPr>
        <w:t>genes.</w:t>
      </w:r>
    </w:p>
    <w:p w14:paraId="4B966879" w14:textId="77777777" w:rsidR="00BA69FD" w:rsidRPr="0082680A" w:rsidRDefault="00BA69FD" w:rsidP="00BA69FD">
      <w:pPr>
        <w:rPr>
          <w:lang w:val="en-GB"/>
        </w:rPr>
      </w:pPr>
    </w:p>
    <w:p w14:paraId="334AB7CA" w14:textId="77777777" w:rsidR="002229B7" w:rsidRPr="0082680A" w:rsidRDefault="002229B7" w:rsidP="002229B7">
      <w:pPr>
        <w:pStyle w:val="NoSpacing"/>
        <w:rPr>
          <w:lang w:val="en-GB"/>
        </w:rPr>
      </w:pPr>
      <w:r w:rsidRPr="0082680A">
        <w:rPr>
          <w:noProof/>
          <w:lang w:val="en-GB"/>
        </w:rPr>
        <w:drawing>
          <wp:inline distT="0" distB="0" distL="0" distR="0" wp14:anchorId="1DAD6395" wp14:editId="62A13473">
            <wp:extent cx="4970583" cy="299803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A_CCM_KWREnrichment.pdf"/>
                    <pic:cNvPicPr/>
                  </pic:nvPicPr>
                  <pic:blipFill rotWithShape="1">
                    <a:blip r:embed="rId147">
                      <a:extLst>
                        <a:ext uri="{28A0092B-C50C-407E-A947-70E740481C1C}">
                          <a14:useLocalDpi xmlns:a14="http://schemas.microsoft.com/office/drawing/2010/main" val="0"/>
                        </a:ext>
                      </a:extLst>
                    </a:blip>
                    <a:srcRect b="11192"/>
                    <a:stretch/>
                  </pic:blipFill>
                  <pic:spPr bwMode="auto">
                    <a:xfrm>
                      <a:off x="0" y="0"/>
                      <a:ext cx="4989566" cy="3009481"/>
                    </a:xfrm>
                    <a:prstGeom prst="rect">
                      <a:avLst/>
                    </a:prstGeom>
                    <a:ln>
                      <a:noFill/>
                    </a:ln>
                    <a:extLst>
                      <a:ext uri="{53640926-AAD7-44D8-BBD7-CCE9431645EC}">
                        <a14:shadowObscured xmlns:a14="http://schemas.microsoft.com/office/drawing/2010/main"/>
                      </a:ext>
                    </a:extLst>
                  </pic:spPr>
                </pic:pic>
              </a:graphicData>
            </a:graphic>
          </wp:inline>
        </w:drawing>
      </w:r>
    </w:p>
    <w:p w14:paraId="1F843593" w14:textId="6B4AE763" w:rsidR="002229B7" w:rsidRPr="0082680A" w:rsidRDefault="002229B7" w:rsidP="002229B7">
      <w:pPr>
        <w:pStyle w:val="Caption"/>
        <w:rPr>
          <w:b w:val="0"/>
          <w:lang w:val="en-GB"/>
        </w:rPr>
      </w:pPr>
      <w:bookmarkStart w:id="358" w:name="_Toc3225969"/>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55</w:t>
      </w:r>
      <w:r w:rsidR="00483095">
        <w:rPr>
          <w:lang w:val="en-GB"/>
        </w:rPr>
        <w:fldChar w:fldCharType="end"/>
      </w:r>
      <w:r w:rsidRPr="0082680A">
        <w:rPr>
          <w:lang w:val="en-GB"/>
        </w:rPr>
        <w:t xml:space="preserve">: </w:t>
      </w:r>
      <w:r w:rsidRPr="0082680A">
        <w:rPr>
          <w:b w:val="0"/>
          <w:lang w:val="en-GB"/>
        </w:rPr>
        <w:t>Top 10 enriched pathways in KEGG, Wikipathways, and Reactome databases for the autoimmune arthritis common coexpression module</w:t>
      </w:r>
      <w:r w:rsidR="00D8751A">
        <w:rPr>
          <w:b w:val="0"/>
          <w:lang w:val="en-GB"/>
        </w:rPr>
        <w:t>. P-Values are adjusted.</w:t>
      </w:r>
      <w:bookmarkEnd w:id="358"/>
    </w:p>
    <w:p w14:paraId="6FED2BC8" w14:textId="77777777" w:rsidR="002229B7" w:rsidRPr="0082680A" w:rsidRDefault="002229B7" w:rsidP="002229B7">
      <w:pPr>
        <w:rPr>
          <w:lang w:val="en-GB"/>
        </w:rPr>
      </w:pPr>
    </w:p>
    <w:p w14:paraId="6314BF75" w14:textId="77777777" w:rsidR="002229B7" w:rsidRPr="0082680A" w:rsidRDefault="002229B7" w:rsidP="002229B7">
      <w:pPr>
        <w:pStyle w:val="Caption"/>
        <w:keepNext/>
        <w:rPr>
          <w:lang w:val="en-GB"/>
        </w:rPr>
      </w:pPr>
      <w:r w:rsidRPr="0082680A">
        <w:rPr>
          <w:noProof/>
          <w:lang w:val="en-GB"/>
        </w:rPr>
        <w:lastRenderedPageBreak/>
        <w:drawing>
          <wp:inline distT="0" distB="0" distL="0" distR="0" wp14:anchorId="5CFEBB9D" wp14:editId="6349282A">
            <wp:extent cx="5001907" cy="3185410"/>
            <wp:effectExtent l="0" t="0" r="1905"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AA_CCM_GOEnrichment.pdf"/>
                    <pic:cNvPicPr/>
                  </pic:nvPicPr>
                  <pic:blipFill rotWithShape="1">
                    <a:blip r:embed="rId148">
                      <a:extLst>
                        <a:ext uri="{28A0092B-C50C-407E-A947-70E740481C1C}">
                          <a14:useLocalDpi xmlns:a14="http://schemas.microsoft.com/office/drawing/2010/main" val="0"/>
                        </a:ext>
                      </a:extLst>
                    </a:blip>
                    <a:srcRect b="6232"/>
                    <a:stretch/>
                  </pic:blipFill>
                  <pic:spPr bwMode="auto">
                    <a:xfrm>
                      <a:off x="0" y="0"/>
                      <a:ext cx="5010307" cy="3190759"/>
                    </a:xfrm>
                    <a:prstGeom prst="rect">
                      <a:avLst/>
                    </a:prstGeom>
                    <a:ln>
                      <a:noFill/>
                    </a:ln>
                    <a:extLst>
                      <a:ext uri="{53640926-AAD7-44D8-BBD7-CCE9431645EC}">
                        <a14:shadowObscured xmlns:a14="http://schemas.microsoft.com/office/drawing/2010/main"/>
                      </a:ext>
                    </a:extLst>
                  </pic:spPr>
                </pic:pic>
              </a:graphicData>
            </a:graphic>
          </wp:inline>
        </w:drawing>
      </w:r>
    </w:p>
    <w:p w14:paraId="39C1C628" w14:textId="5B172A49" w:rsidR="002229B7" w:rsidRPr="0082680A" w:rsidRDefault="002229B7" w:rsidP="002229B7">
      <w:pPr>
        <w:pStyle w:val="Caption"/>
        <w:rPr>
          <w:lang w:val="en-GB"/>
        </w:rPr>
      </w:pPr>
      <w:bookmarkStart w:id="359" w:name="_Toc3225970"/>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56</w:t>
      </w:r>
      <w:r w:rsidR="00483095">
        <w:rPr>
          <w:lang w:val="en-GB"/>
        </w:rPr>
        <w:fldChar w:fldCharType="end"/>
      </w:r>
      <w:r w:rsidRPr="0082680A">
        <w:rPr>
          <w:lang w:val="en-GB"/>
        </w:rPr>
        <w:t>:</w:t>
      </w:r>
      <w:r w:rsidRPr="0082680A">
        <w:rPr>
          <w:b w:val="0"/>
          <w:lang w:val="en-GB"/>
        </w:rPr>
        <w:t xml:space="preserve"> Top 10 enriched GO terms in each category for the autoimmune arthritis common coexpression module</w:t>
      </w:r>
      <w:r w:rsidR="00107399">
        <w:rPr>
          <w:b w:val="0"/>
          <w:lang w:val="en-GB"/>
        </w:rPr>
        <w:t>. P-Values are adjusted.</w:t>
      </w:r>
      <w:bookmarkEnd w:id="359"/>
    </w:p>
    <w:p w14:paraId="6584D339" w14:textId="46A62CEE" w:rsidR="00D91572" w:rsidRPr="0082680A" w:rsidRDefault="002229B7" w:rsidP="00381BB6">
      <w:pPr>
        <w:rPr>
          <w:lang w:val="en-GB"/>
        </w:rPr>
      </w:pPr>
      <w:r w:rsidRPr="0082680A">
        <w:rPr>
          <w:lang w:val="en-GB"/>
        </w:rPr>
        <w:br w:type="page"/>
      </w:r>
    </w:p>
    <w:p w14:paraId="646DD6F2" w14:textId="2F28B2A3" w:rsidR="00381BB6" w:rsidRPr="00691215" w:rsidRDefault="00381BB6" w:rsidP="00691215">
      <w:pPr>
        <w:pStyle w:val="Heading3"/>
      </w:pPr>
      <w:bookmarkStart w:id="360" w:name="_a3q8bp32mw1l" w:colFirst="0" w:colLast="0"/>
      <w:bookmarkStart w:id="361" w:name="_Toc3211434"/>
      <w:bookmarkEnd w:id="360"/>
      <w:r w:rsidRPr="00691215">
        <w:lastRenderedPageBreak/>
        <w:t>Prioritisation of in vitro candidates</w:t>
      </w:r>
      <w:bookmarkEnd w:id="361"/>
    </w:p>
    <w:p w14:paraId="29B77576" w14:textId="79B89ADD" w:rsidR="00481017" w:rsidRPr="0082680A" w:rsidRDefault="006C3C65" w:rsidP="00481017">
      <w:pPr>
        <w:rPr>
          <w:lang w:val="en-GB"/>
        </w:rPr>
      </w:pPr>
      <w:r w:rsidRPr="0082680A">
        <w:rPr>
          <w:lang w:val="en-GB"/>
        </w:rPr>
        <w:t>Six</w:t>
      </w:r>
      <w:r w:rsidR="00481017" w:rsidRPr="0082680A">
        <w:rPr>
          <w:lang w:val="en-GB"/>
        </w:rPr>
        <w:t xml:space="preserve"> sources of information</w:t>
      </w:r>
      <w:r w:rsidRPr="0082680A">
        <w:rPr>
          <w:lang w:val="en-GB"/>
        </w:rPr>
        <w:t xml:space="preserve"> were used to prioritise the 271</w:t>
      </w:r>
      <w:r w:rsidR="00481017" w:rsidRPr="0082680A">
        <w:rPr>
          <w:lang w:val="en-GB"/>
        </w:rPr>
        <w:t xml:space="preserve"> genes of the </w:t>
      </w:r>
      <w:r w:rsidRPr="0082680A">
        <w:rPr>
          <w:lang w:val="en-GB"/>
        </w:rPr>
        <w:t xml:space="preserve">autoimmune arthritis </w:t>
      </w:r>
      <w:r w:rsidR="00481017" w:rsidRPr="0082680A">
        <w:rPr>
          <w:lang w:val="en-GB"/>
        </w:rPr>
        <w:t xml:space="preserve">subnetwork. </w:t>
      </w:r>
      <w:r w:rsidR="00C954D2" w:rsidRPr="0082680A">
        <w:rPr>
          <w:lang w:val="en-GB"/>
        </w:rPr>
        <w:t xml:space="preserve">As the module enriched for GWAS hits in various autoimmune conditions, genetic scoring was conducting using this information rather than identifying predicted LoF mutations from whole genome or exome sequencing data. </w:t>
      </w:r>
      <w:r w:rsidR="00481017" w:rsidRPr="0082680A">
        <w:rPr>
          <w:lang w:val="en-GB"/>
        </w:rPr>
        <w:t xml:space="preserve">Scoring was conducted as described in </w:t>
      </w:r>
      <w:r w:rsidRPr="0082680A">
        <w:rPr>
          <w:lang w:val="en-GB"/>
        </w:rPr>
        <w:t>Chapter 2</w:t>
      </w:r>
      <w:r w:rsidR="00481017" w:rsidRPr="0082680A">
        <w:rPr>
          <w:lang w:val="en-GB"/>
        </w:rPr>
        <w:t xml:space="preserve">. </w:t>
      </w:r>
    </w:p>
    <w:p w14:paraId="7E2202BC" w14:textId="77777777" w:rsidR="00481017" w:rsidRPr="0082680A" w:rsidRDefault="00481017" w:rsidP="00481017">
      <w:pPr>
        <w:rPr>
          <w:lang w:val="en-GB"/>
        </w:rPr>
      </w:pPr>
    </w:p>
    <w:p w14:paraId="4D8D19CB" w14:textId="7CEC3E31" w:rsidR="002229B7" w:rsidRPr="0082680A" w:rsidRDefault="00190948" w:rsidP="00481017">
      <w:pPr>
        <w:rPr>
          <w:lang w:val="en-GB"/>
        </w:rPr>
      </w:pPr>
      <w:r w:rsidRPr="0082680A">
        <w:rPr>
          <w:lang w:val="en-GB"/>
        </w:rPr>
        <w:t>Thirty</w:t>
      </w:r>
      <w:r w:rsidR="00CB7D94" w:rsidRPr="0082680A">
        <w:rPr>
          <w:lang w:val="en-GB"/>
        </w:rPr>
        <w:t>-two</w:t>
      </w:r>
      <w:r w:rsidRPr="0082680A">
        <w:rPr>
          <w:lang w:val="en-GB"/>
        </w:rPr>
        <w:t xml:space="preserve"> genes in the network were identified </w:t>
      </w:r>
      <w:r w:rsidR="003C7E16" w:rsidRPr="0082680A">
        <w:rPr>
          <w:lang w:val="en-GB"/>
        </w:rPr>
        <w:t>as GWA genes for at least one of five autoimmune arthritis-related conditions</w:t>
      </w:r>
      <w:r w:rsidR="00481017" w:rsidRPr="0082680A">
        <w:rPr>
          <w:lang w:val="en-GB"/>
        </w:rPr>
        <w:t xml:space="preserve">. </w:t>
      </w:r>
      <w:r w:rsidR="00CB7D94" w:rsidRPr="0082680A">
        <w:rPr>
          <w:lang w:val="en-GB"/>
        </w:rPr>
        <w:t>Random permutation testing indicated that the mean score for these genes</w:t>
      </w:r>
      <w:r w:rsidR="00155D8D" w:rsidRPr="0082680A">
        <w:rPr>
          <w:lang w:val="en-GB"/>
        </w:rPr>
        <w:t xml:space="preserve"> after removal of the score for being a GWA gene</w:t>
      </w:r>
      <w:r w:rsidR="00D8751A">
        <w:rPr>
          <w:lang w:val="en-GB"/>
        </w:rPr>
        <w:t xml:space="preserve"> (10.03)</w:t>
      </w:r>
      <w:r w:rsidR="00CB7D94" w:rsidRPr="0082680A">
        <w:rPr>
          <w:lang w:val="en-GB"/>
        </w:rPr>
        <w:t xml:space="preserve"> was </w:t>
      </w:r>
      <w:r w:rsidR="00155D8D" w:rsidRPr="0082680A">
        <w:rPr>
          <w:lang w:val="en-GB"/>
        </w:rPr>
        <w:t>significantly</w:t>
      </w:r>
      <w:r w:rsidR="00CB7D94" w:rsidRPr="0082680A">
        <w:rPr>
          <w:lang w:val="en-GB"/>
        </w:rPr>
        <w:t xml:space="preserve"> higher than expected by chance</w:t>
      </w:r>
      <w:r w:rsidR="00D8751A">
        <w:rPr>
          <w:lang w:val="en-GB"/>
        </w:rPr>
        <w:t xml:space="preserve"> (expected mean </w:t>
      </w:r>
      <w:r w:rsidR="00736646">
        <w:rPr>
          <w:lang w:val="en-GB"/>
        </w:rPr>
        <w:t xml:space="preserve">score = 6.1, expected mean range = </w:t>
      </w:r>
      <w:proofErr w:type="gramStart"/>
      <w:r w:rsidR="00736646">
        <w:rPr>
          <w:lang w:val="en-GB"/>
        </w:rPr>
        <w:t>3.66 :</w:t>
      </w:r>
      <w:proofErr w:type="gramEnd"/>
      <w:r w:rsidR="00736646">
        <w:rPr>
          <w:lang w:val="en-GB"/>
        </w:rPr>
        <w:t xml:space="preserve"> 8.97)</w:t>
      </w:r>
      <w:r w:rsidR="00CB7D94" w:rsidRPr="0082680A">
        <w:rPr>
          <w:lang w:val="en-GB"/>
        </w:rPr>
        <w:t xml:space="preserve">, indicating the </w:t>
      </w:r>
      <w:r w:rsidR="00155D8D" w:rsidRPr="0082680A">
        <w:rPr>
          <w:lang w:val="en-GB"/>
        </w:rPr>
        <w:t xml:space="preserve">prioritisation </w:t>
      </w:r>
      <w:r w:rsidR="001D2F5F" w:rsidRPr="0082680A">
        <w:rPr>
          <w:lang w:val="en-GB"/>
        </w:rPr>
        <w:t>methodology is ranking known arthritis-associated genes significantly higher than expected by chance</w:t>
      </w:r>
      <w:r w:rsidR="00481DEE" w:rsidRPr="0082680A">
        <w:rPr>
          <w:lang w:val="en-GB"/>
        </w:rPr>
        <w:t>. The actual mean score did not lie within the distribution, so a P-value could not be calculated.</w:t>
      </w:r>
    </w:p>
    <w:p w14:paraId="1F08DF21" w14:textId="360BF3AA" w:rsidR="007E2D8C" w:rsidRPr="0082680A" w:rsidRDefault="007E2D8C" w:rsidP="00481017">
      <w:pPr>
        <w:rPr>
          <w:b/>
          <w:iCs/>
          <w:color w:val="000000" w:themeColor="text1"/>
          <w:sz w:val="20"/>
          <w:szCs w:val="18"/>
          <w:lang w:val="en-GB"/>
        </w:rPr>
      </w:pPr>
    </w:p>
    <w:p w14:paraId="0652A0F1" w14:textId="08B9F590" w:rsidR="007A34DB" w:rsidRPr="0082680A" w:rsidRDefault="00F96C43" w:rsidP="00481017">
      <w:pPr>
        <w:rPr>
          <w:color w:val="FF0000"/>
          <w:lang w:val="en-GB"/>
        </w:rPr>
      </w:pPr>
      <w:r w:rsidRPr="0082680A">
        <w:rPr>
          <w:lang w:val="en-GB"/>
        </w:rPr>
        <w:t xml:space="preserve">The most interconnected gene in the network was </w:t>
      </w:r>
      <w:r w:rsidRPr="0082680A">
        <w:rPr>
          <w:i/>
          <w:lang w:val="en-GB"/>
        </w:rPr>
        <w:t>STAT</w:t>
      </w:r>
      <w:r w:rsidR="00A50C5B" w:rsidRPr="0082680A">
        <w:rPr>
          <w:i/>
          <w:lang w:val="en-GB"/>
        </w:rPr>
        <w:t xml:space="preserve">4, </w:t>
      </w:r>
      <w:r w:rsidR="00A50C5B" w:rsidRPr="0082680A">
        <w:rPr>
          <w:lang w:val="en-GB"/>
        </w:rPr>
        <w:t>with</w:t>
      </w:r>
      <w:r w:rsidRPr="0082680A">
        <w:rPr>
          <w:lang w:val="en-GB"/>
        </w:rPr>
        <w:t xml:space="preserve"> a lo</w:t>
      </w:r>
      <w:r w:rsidR="00481017" w:rsidRPr="0082680A">
        <w:rPr>
          <w:lang w:val="en-GB"/>
        </w:rPr>
        <w:t xml:space="preserve">bby index </w:t>
      </w:r>
      <w:r w:rsidRPr="0082680A">
        <w:rPr>
          <w:lang w:val="en-GB"/>
        </w:rPr>
        <w:t>of 8</w:t>
      </w:r>
      <w:r w:rsidR="00F72B9D" w:rsidRPr="0082680A">
        <w:rPr>
          <w:lang w:val="en-GB"/>
        </w:rPr>
        <w:t xml:space="preserve">, and therefore the only gene to </w:t>
      </w:r>
      <w:r w:rsidR="001F7D4A" w:rsidRPr="0082680A">
        <w:rPr>
          <w:lang w:val="en-GB"/>
        </w:rPr>
        <w:t>be assigned the highest</w:t>
      </w:r>
      <w:r w:rsidR="00F72B9D" w:rsidRPr="0082680A">
        <w:rPr>
          <w:lang w:val="en-GB"/>
        </w:rPr>
        <w:t xml:space="preserve"> score of 5</w:t>
      </w:r>
      <w:r w:rsidR="009007CB" w:rsidRPr="0082680A">
        <w:rPr>
          <w:lang w:val="en-GB"/>
        </w:rPr>
        <w:t xml:space="preserve"> (Appendix</w:t>
      </w:r>
      <w:r w:rsidR="00155E8B" w:rsidRPr="0082680A">
        <w:rPr>
          <w:lang w:val="en-GB"/>
        </w:rPr>
        <w:t xml:space="preserve"> Table 1</w:t>
      </w:r>
      <w:r w:rsidR="000E46C0">
        <w:rPr>
          <w:lang w:val="en-GB"/>
        </w:rPr>
        <w:t>2</w:t>
      </w:r>
      <w:r w:rsidR="00481017" w:rsidRPr="0082680A">
        <w:rPr>
          <w:lang w:val="en-GB"/>
        </w:rPr>
        <w:t xml:space="preserve">). </w:t>
      </w:r>
      <w:r w:rsidR="006E0C85" w:rsidRPr="0082680A">
        <w:rPr>
          <w:lang w:val="en-GB"/>
        </w:rPr>
        <w:t>Fifty</w:t>
      </w:r>
      <w:r w:rsidR="00481017" w:rsidRPr="0082680A">
        <w:rPr>
          <w:lang w:val="en-GB"/>
        </w:rPr>
        <w:t xml:space="preserve"> genes were found to be significant GeneXplain master regulators, </w:t>
      </w:r>
      <w:r w:rsidR="00AD3939" w:rsidRPr="0082680A">
        <w:rPr>
          <w:lang w:val="en-GB"/>
        </w:rPr>
        <w:t>3 of which</w:t>
      </w:r>
      <w:r w:rsidR="00481017" w:rsidRPr="0082680A">
        <w:rPr>
          <w:lang w:val="en-GB"/>
        </w:rPr>
        <w:t xml:space="preserve"> </w:t>
      </w:r>
      <w:r w:rsidR="00AD3939" w:rsidRPr="0082680A">
        <w:rPr>
          <w:lang w:val="en-GB"/>
        </w:rPr>
        <w:t>were in the Top 1</w:t>
      </w:r>
      <w:r w:rsidR="00481017" w:rsidRPr="0082680A">
        <w:rPr>
          <w:lang w:val="en-GB"/>
        </w:rPr>
        <w:t>0 (</w:t>
      </w:r>
      <w:r w:rsidR="009007CB" w:rsidRPr="0082680A">
        <w:rPr>
          <w:lang w:val="en-GB"/>
        </w:rPr>
        <w:t>Appendix</w:t>
      </w:r>
      <w:r w:rsidR="00155E8B" w:rsidRPr="0082680A">
        <w:rPr>
          <w:lang w:val="en-GB"/>
        </w:rPr>
        <w:t xml:space="preserve"> Table 1</w:t>
      </w:r>
      <w:r w:rsidR="000E46C0">
        <w:rPr>
          <w:lang w:val="en-GB"/>
        </w:rPr>
        <w:t>3</w:t>
      </w:r>
      <w:r w:rsidR="00481017" w:rsidRPr="0082680A">
        <w:rPr>
          <w:lang w:val="en-GB"/>
        </w:rPr>
        <w:t xml:space="preserve">). </w:t>
      </w:r>
      <w:r w:rsidR="00122332" w:rsidRPr="0082680A">
        <w:rPr>
          <w:lang w:val="en-GB"/>
        </w:rPr>
        <w:t>According to IPA, 44</w:t>
      </w:r>
      <w:r w:rsidR="00481017" w:rsidRPr="0082680A">
        <w:rPr>
          <w:lang w:val="en-GB"/>
        </w:rPr>
        <w:t xml:space="preserve"> genes were found to </w:t>
      </w:r>
      <w:r w:rsidR="00122332" w:rsidRPr="0082680A">
        <w:rPr>
          <w:lang w:val="en-GB"/>
        </w:rPr>
        <w:t>be regulators of</w:t>
      </w:r>
      <w:r w:rsidR="00481017" w:rsidRPr="0082680A">
        <w:rPr>
          <w:lang w:val="en-GB"/>
        </w:rPr>
        <w:t xml:space="preserve"> another module member, </w:t>
      </w:r>
      <w:r w:rsidR="005E3552" w:rsidRPr="0082680A">
        <w:rPr>
          <w:lang w:val="en-GB"/>
        </w:rPr>
        <w:t xml:space="preserve">the top scorers being </w:t>
      </w:r>
      <w:r w:rsidR="005E3552" w:rsidRPr="0082680A">
        <w:rPr>
          <w:i/>
          <w:lang w:val="en-GB"/>
        </w:rPr>
        <w:t xml:space="preserve">IRF1 </w:t>
      </w:r>
      <w:r w:rsidR="005E3552" w:rsidRPr="0082680A">
        <w:rPr>
          <w:lang w:val="en-GB"/>
        </w:rPr>
        <w:t xml:space="preserve">and </w:t>
      </w:r>
      <w:r w:rsidR="005E3552" w:rsidRPr="0082680A">
        <w:rPr>
          <w:i/>
          <w:lang w:val="en-GB"/>
        </w:rPr>
        <w:t>STAT4</w:t>
      </w:r>
      <w:r w:rsidR="005E3552" w:rsidRPr="0082680A">
        <w:rPr>
          <w:lang w:val="en-GB"/>
        </w:rPr>
        <w:t xml:space="preserve"> which </w:t>
      </w:r>
      <w:r w:rsidR="00E05AEF" w:rsidRPr="0082680A">
        <w:rPr>
          <w:lang w:val="en-GB"/>
        </w:rPr>
        <w:t xml:space="preserve">each regulate </w:t>
      </w:r>
      <w:r w:rsidR="00974CF2" w:rsidRPr="0082680A">
        <w:rPr>
          <w:lang w:val="en-GB"/>
        </w:rPr>
        <w:t>20 and 17 other module members, respectively (</w:t>
      </w:r>
      <w:r w:rsidR="009007CB" w:rsidRPr="0082680A">
        <w:rPr>
          <w:lang w:val="en-GB"/>
        </w:rPr>
        <w:t>Appendix</w:t>
      </w:r>
      <w:r w:rsidR="00155E8B" w:rsidRPr="0082680A">
        <w:rPr>
          <w:lang w:val="en-GB"/>
        </w:rPr>
        <w:t xml:space="preserve"> Tables 1</w:t>
      </w:r>
      <w:r w:rsidR="000E46C0">
        <w:rPr>
          <w:lang w:val="en-GB"/>
        </w:rPr>
        <w:t>4</w:t>
      </w:r>
      <w:r w:rsidR="00155E8B" w:rsidRPr="0082680A">
        <w:rPr>
          <w:lang w:val="en-GB"/>
        </w:rPr>
        <w:t xml:space="preserve"> &amp; </w:t>
      </w:r>
      <w:r w:rsidR="000E46C0">
        <w:rPr>
          <w:lang w:val="en-GB"/>
        </w:rPr>
        <w:t>15</w:t>
      </w:r>
      <w:r w:rsidR="00974CF2" w:rsidRPr="0082680A">
        <w:rPr>
          <w:lang w:val="en-GB"/>
        </w:rPr>
        <w:t>).</w:t>
      </w:r>
      <w:r w:rsidR="00155E8B" w:rsidRPr="0082680A">
        <w:rPr>
          <w:lang w:val="en-GB"/>
        </w:rPr>
        <w:t xml:space="preserve"> Three genes already associated with autoimmune conditions, </w:t>
      </w:r>
      <w:r w:rsidR="00155E8B" w:rsidRPr="0082680A">
        <w:rPr>
          <w:i/>
          <w:lang w:val="en-GB"/>
        </w:rPr>
        <w:t>HLA-B</w:t>
      </w:r>
      <w:r w:rsidR="00155E8B" w:rsidRPr="0082680A">
        <w:rPr>
          <w:lang w:val="en-GB"/>
        </w:rPr>
        <w:t xml:space="preserve">, </w:t>
      </w:r>
      <w:r w:rsidR="00155E8B" w:rsidRPr="0082680A">
        <w:rPr>
          <w:i/>
          <w:lang w:val="en-GB"/>
        </w:rPr>
        <w:t xml:space="preserve">HLA-C, </w:t>
      </w:r>
      <w:r w:rsidR="00155E8B" w:rsidRPr="0082680A">
        <w:rPr>
          <w:lang w:val="en-GB"/>
        </w:rPr>
        <w:t xml:space="preserve">and </w:t>
      </w:r>
      <w:r w:rsidR="00155E8B" w:rsidRPr="0082680A">
        <w:rPr>
          <w:i/>
          <w:lang w:val="en-GB"/>
        </w:rPr>
        <w:t>FCGR2A</w:t>
      </w:r>
      <w:r w:rsidR="00155E8B" w:rsidRPr="0082680A">
        <w:rPr>
          <w:lang w:val="en-GB"/>
        </w:rPr>
        <w:t xml:space="preserve">, were ranked within the top 10 in Endeavour score (Appendix Table </w:t>
      </w:r>
      <w:r w:rsidR="000E46C0">
        <w:rPr>
          <w:lang w:val="en-GB"/>
        </w:rPr>
        <w:t>16</w:t>
      </w:r>
      <w:r w:rsidR="00155E8B" w:rsidRPr="0082680A">
        <w:rPr>
          <w:lang w:val="en-GB"/>
        </w:rPr>
        <w:t>).</w:t>
      </w:r>
      <w:r w:rsidR="00974CF2" w:rsidRPr="0082680A">
        <w:rPr>
          <w:lang w:val="en-GB"/>
        </w:rPr>
        <w:t xml:space="preserve"> Forty-eight genes</w:t>
      </w:r>
      <w:r w:rsidR="00481017" w:rsidRPr="0082680A">
        <w:rPr>
          <w:lang w:val="en-GB"/>
        </w:rPr>
        <w:t xml:space="preserve"> were commonly differentially expressed. </w:t>
      </w:r>
    </w:p>
    <w:p w14:paraId="24573AA1" w14:textId="557BDEAB" w:rsidR="00254698" w:rsidRPr="0082680A" w:rsidRDefault="00254698" w:rsidP="00481017">
      <w:pPr>
        <w:rPr>
          <w:lang w:val="en-GB"/>
        </w:rPr>
      </w:pPr>
    </w:p>
    <w:p w14:paraId="1D72276C" w14:textId="5544A356" w:rsidR="007746BE" w:rsidRPr="0082680A" w:rsidRDefault="007746BE" w:rsidP="002229B7">
      <w:pPr>
        <w:pStyle w:val="Caption"/>
        <w:rPr>
          <w:b w:val="0"/>
          <w:lang w:val="en-GB"/>
        </w:rPr>
      </w:pPr>
    </w:p>
    <w:p w14:paraId="7E606752" w14:textId="0AE6161B" w:rsidR="00254698" w:rsidRPr="0082680A" w:rsidRDefault="007746BE" w:rsidP="007746BE">
      <w:pPr>
        <w:rPr>
          <w:iCs/>
          <w:color w:val="000000" w:themeColor="text1"/>
          <w:sz w:val="20"/>
          <w:szCs w:val="18"/>
          <w:lang w:val="en-GB"/>
        </w:rPr>
      </w:pPr>
      <w:r w:rsidRPr="0082680A">
        <w:rPr>
          <w:b/>
          <w:lang w:val="en-GB"/>
        </w:rPr>
        <w:br w:type="page"/>
      </w:r>
    </w:p>
    <w:p w14:paraId="05AB08C5" w14:textId="37864E55" w:rsidR="00030D44" w:rsidRPr="00691215" w:rsidRDefault="00030D44" w:rsidP="00691215">
      <w:pPr>
        <w:pStyle w:val="Heading3"/>
      </w:pPr>
      <w:bookmarkStart w:id="362" w:name="_Toc3211435"/>
      <w:r w:rsidRPr="00691215">
        <w:lastRenderedPageBreak/>
        <w:t>Top Candidate Analysis</w:t>
      </w:r>
      <w:bookmarkEnd w:id="362"/>
    </w:p>
    <w:p w14:paraId="7281E595" w14:textId="0F68FC2D" w:rsidR="002A2128" w:rsidRPr="0082680A" w:rsidRDefault="008726F8" w:rsidP="00057CB0">
      <w:pPr>
        <w:rPr>
          <w:lang w:val="en-GB"/>
        </w:rPr>
      </w:pPr>
      <w:r w:rsidRPr="0082680A">
        <w:rPr>
          <w:lang w:val="en-GB"/>
        </w:rPr>
        <w:t>Th</w:t>
      </w:r>
      <w:r w:rsidR="00DC1DE4" w:rsidRPr="0082680A">
        <w:rPr>
          <w:lang w:val="en-GB"/>
        </w:rPr>
        <w:t xml:space="preserve">e top </w:t>
      </w:r>
      <w:r w:rsidR="00ED48B0" w:rsidRPr="0082680A">
        <w:rPr>
          <w:lang w:val="en-GB"/>
        </w:rPr>
        <w:t>8</w:t>
      </w:r>
      <w:r w:rsidR="00DC1DE4" w:rsidRPr="0082680A">
        <w:rPr>
          <w:lang w:val="en-GB"/>
        </w:rPr>
        <w:t xml:space="preserve"> ranked genes,</w:t>
      </w:r>
      <w:r w:rsidR="007318C9" w:rsidRPr="0082680A">
        <w:rPr>
          <w:lang w:val="en-GB"/>
        </w:rPr>
        <w:t xml:space="preserve"> </w:t>
      </w:r>
      <w:r w:rsidR="00C51C0F" w:rsidRPr="0082680A">
        <w:rPr>
          <w:lang w:val="en-GB"/>
        </w:rPr>
        <w:t>which</w:t>
      </w:r>
      <w:r w:rsidR="00ED48B0" w:rsidRPr="0082680A">
        <w:rPr>
          <w:lang w:val="en-GB"/>
        </w:rPr>
        <w:t xml:space="preserve"> achieved a score of 19</w:t>
      </w:r>
      <w:r w:rsidR="00DC1DE4" w:rsidRPr="0082680A">
        <w:rPr>
          <w:lang w:val="en-GB"/>
        </w:rPr>
        <w:t xml:space="preserve"> or above</w:t>
      </w:r>
      <w:r w:rsidRPr="0082680A">
        <w:rPr>
          <w:lang w:val="en-GB"/>
        </w:rPr>
        <w:t xml:space="preserve">, were evaluated for their relationship to </w:t>
      </w:r>
      <w:r w:rsidR="00FD3822" w:rsidRPr="0082680A">
        <w:rPr>
          <w:lang w:val="en-GB"/>
        </w:rPr>
        <w:t>autoimmune arthritis</w:t>
      </w:r>
      <w:r w:rsidRPr="0082680A">
        <w:rPr>
          <w:lang w:val="en-GB"/>
        </w:rPr>
        <w:t xml:space="preserve"> </w:t>
      </w:r>
      <w:r w:rsidR="00BF43D7" w:rsidRPr="0082680A">
        <w:rPr>
          <w:lang w:val="en-GB"/>
        </w:rPr>
        <w:t xml:space="preserve">(Table </w:t>
      </w:r>
      <w:r w:rsidR="00066B5A">
        <w:rPr>
          <w:lang w:val="en-GB"/>
        </w:rPr>
        <w:t>57</w:t>
      </w:r>
      <w:r w:rsidR="00BF43D7" w:rsidRPr="0082680A">
        <w:rPr>
          <w:lang w:val="en-GB"/>
        </w:rPr>
        <w:t>)</w:t>
      </w:r>
      <w:r w:rsidR="00DC1DE4" w:rsidRPr="0082680A">
        <w:rPr>
          <w:lang w:val="en-GB"/>
        </w:rPr>
        <w:t xml:space="preserve">. </w:t>
      </w:r>
    </w:p>
    <w:p w14:paraId="2E2DB7F8" w14:textId="2AF77EEF" w:rsidR="00502947" w:rsidRPr="0082680A" w:rsidRDefault="00502947" w:rsidP="00057CB0">
      <w:pPr>
        <w:rPr>
          <w:lang w:val="en-GB"/>
        </w:rPr>
      </w:pPr>
    </w:p>
    <w:p w14:paraId="2A2EA987" w14:textId="77777777" w:rsidR="00502947" w:rsidRPr="0082680A" w:rsidRDefault="00502947" w:rsidP="00502947">
      <w:pPr>
        <w:pStyle w:val="NoSpacing"/>
        <w:keepNext/>
        <w:rPr>
          <w:lang w:val="en-GB"/>
        </w:rPr>
      </w:pPr>
      <w:r w:rsidRPr="0082680A">
        <w:rPr>
          <w:noProof/>
          <w:lang w:val="en-GB"/>
        </w:rPr>
        <w:drawing>
          <wp:inline distT="0" distB="0" distL="0" distR="0" wp14:anchorId="05D7F8B2" wp14:editId="4C9DC29D">
            <wp:extent cx="5074186" cy="2119746"/>
            <wp:effectExtent l="0" t="0" r="635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A_PrioritisationScoreTable.pdf"/>
                    <pic:cNvPicPr/>
                  </pic:nvPicPr>
                  <pic:blipFill rotWithShape="1">
                    <a:blip r:embed="rId149">
                      <a:extLst>
                        <a:ext uri="{28A0092B-C50C-407E-A947-70E740481C1C}">
                          <a14:useLocalDpi xmlns:a14="http://schemas.microsoft.com/office/drawing/2010/main" val="0"/>
                        </a:ext>
                      </a:extLst>
                    </a:blip>
                    <a:srcRect t="1607" b="41749"/>
                    <a:stretch/>
                  </pic:blipFill>
                  <pic:spPr bwMode="auto">
                    <a:xfrm>
                      <a:off x="0" y="0"/>
                      <a:ext cx="5085728" cy="2124568"/>
                    </a:xfrm>
                    <a:prstGeom prst="rect">
                      <a:avLst/>
                    </a:prstGeom>
                    <a:ln>
                      <a:noFill/>
                    </a:ln>
                    <a:extLst>
                      <a:ext uri="{53640926-AAD7-44D8-BBD7-CCE9431645EC}">
                        <a14:shadowObscured xmlns:a14="http://schemas.microsoft.com/office/drawing/2010/main"/>
                      </a:ext>
                    </a:extLst>
                  </pic:spPr>
                </pic:pic>
              </a:graphicData>
            </a:graphic>
          </wp:inline>
        </w:drawing>
      </w:r>
    </w:p>
    <w:p w14:paraId="5B2A6E57" w14:textId="7C5BEDDE" w:rsidR="00502947" w:rsidRPr="0082680A" w:rsidRDefault="00502947" w:rsidP="00502947">
      <w:pPr>
        <w:pStyle w:val="Caption"/>
        <w:rPr>
          <w:lang w:val="en-GB"/>
        </w:rPr>
      </w:pPr>
      <w:bookmarkStart w:id="363" w:name="_Toc3225971"/>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57</w:t>
      </w:r>
      <w:r w:rsidR="00483095">
        <w:rPr>
          <w:lang w:val="en-GB"/>
        </w:rPr>
        <w:fldChar w:fldCharType="end"/>
      </w:r>
      <w:r w:rsidRPr="0082680A">
        <w:rPr>
          <w:lang w:val="en-GB"/>
        </w:rPr>
        <w:t>:</w:t>
      </w:r>
      <w:r w:rsidRPr="0082680A">
        <w:rPr>
          <w:b w:val="0"/>
          <w:lang w:val="en-GB"/>
        </w:rPr>
        <w:t xml:space="preserve"> Prioritisation results for </w:t>
      </w:r>
      <w:r w:rsidR="0083316D" w:rsidRPr="0082680A">
        <w:rPr>
          <w:b w:val="0"/>
          <w:lang w:val="en-GB"/>
        </w:rPr>
        <w:t xml:space="preserve">autoimmune arthritis </w:t>
      </w:r>
      <w:r w:rsidRPr="0082680A">
        <w:rPr>
          <w:b w:val="0"/>
          <w:lang w:val="en-GB"/>
        </w:rPr>
        <w:t>network members scoring 1</w:t>
      </w:r>
      <w:r w:rsidR="00FD3822" w:rsidRPr="0082680A">
        <w:rPr>
          <w:b w:val="0"/>
          <w:lang w:val="en-GB"/>
        </w:rPr>
        <w:t>9</w:t>
      </w:r>
      <w:r w:rsidRPr="0082680A">
        <w:rPr>
          <w:b w:val="0"/>
          <w:lang w:val="en-GB"/>
        </w:rPr>
        <w:t xml:space="preserve"> or more</w:t>
      </w:r>
      <w:bookmarkEnd w:id="363"/>
    </w:p>
    <w:p w14:paraId="5CA054A1" w14:textId="1C57B6A7" w:rsidR="002A2128" w:rsidRPr="0082680A" w:rsidRDefault="002A2128" w:rsidP="00057CB0">
      <w:pPr>
        <w:rPr>
          <w:lang w:val="en-GB"/>
        </w:rPr>
      </w:pPr>
    </w:p>
    <w:p w14:paraId="6C06EAB9" w14:textId="77777777" w:rsidR="00502947" w:rsidRPr="0082680A" w:rsidRDefault="00502947" w:rsidP="00057CB0">
      <w:pPr>
        <w:rPr>
          <w:lang w:val="en-GB"/>
        </w:rPr>
      </w:pPr>
    </w:p>
    <w:p w14:paraId="3677D7E4" w14:textId="63F425F3" w:rsidR="00057CB0" w:rsidRPr="0082680A" w:rsidRDefault="005C0341" w:rsidP="00057CB0">
      <w:pPr>
        <w:rPr>
          <w:color w:val="000000" w:themeColor="text1"/>
          <w:lang w:val="en-GB"/>
        </w:rPr>
      </w:pPr>
      <w:r w:rsidRPr="0082680A">
        <w:rPr>
          <w:lang w:val="en-GB"/>
        </w:rPr>
        <w:t>With a score of 23</w:t>
      </w:r>
      <w:r w:rsidR="00273D1C" w:rsidRPr="0082680A">
        <w:rPr>
          <w:lang w:val="en-GB"/>
        </w:rPr>
        <w:t>,</w:t>
      </w:r>
      <w:r w:rsidRPr="0082680A">
        <w:rPr>
          <w:lang w:val="en-GB"/>
        </w:rPr>
        <w:t xml:space="preserve"> </w:t>
      </w:r>
      <w:r w:rsidR="00502947" w:rsidRPr="0082680A">
        <w:rPr>
          <w:i/>
          <w:lang w:val="en-GB"/>
        </w:rPr>
        <w:t xml:space="preserve">TRAF1 </w:t>
      </w:r>
      <w:r w:rsidR="002A2128" w:rsidRPr="0082680A">
        <w:rPr>
          <w:lang w:val="en-GB"/>
        </w:rPr>
        <w:t xml:space="preserve">and </w:t>
      </w:r>
      <w:r w:rsidR="00502947" w:rsidRPr="0082680A">
        <w:rPr>
          <w:i/>
          <w:lang w:val="en-GB"/>
        </w:rPr>
        <w:t>CD40</w:t>
      </w:r>
      <w:r w:rsidR="002A2128" w:rsidRPr="0082680A">
        <w:rPr>
          <w:i/>
          <w:lang w:val="en-GB"/>
        </w:rPr>
        <w:t xml:space="preserve"> </w:t>
      </w:r>
      <w:r w:rsidR="002A2128" w:rsidRPr="0082680A">
        <w:rPr>
          <w:lang w:val="en-GB"/>
        </w:rPr>
        <w:t xml:space="preserve">were the top scoring genes in the network. </w:t>
      </w:r>
      <w:r w:rsidR="002A2128" w:rsidRPr="0082680A">
        <w:rPr>
          <w:i/>
          <w:lang w:val="en-GB"/>
        </w:rPr>
        <w:t xml:space="preserve">CD40 </w:t>
      </w:r>
      <w:r w:rsidR="002A2128" w:rsidRPr="0082680A">
        <w:rPr>
          <w:lang w:val="en-GB"/>
        </w:rPr>
        <w:t xml:space="preserve">codes for a receptor which sits on the surface of antigen-detecting cells, such as T- and B-Cells, and regulates a number of immune and inflammation pathways. </w:t>
      </w:r>
      <w:r w:rsidR="002A2128" w:rsidRPr="0082680A">
        <w:rPr>
          <w:i/>
          <w:lang w:val="en-GB"/>
        </w:rPr>
        <w:t>CD40</w:t>
      </w:r>
      <w:r w:rsidR="002A2128" w:rsidRPr="0082680A">
        <w:rPr>
          <w:lang w:val="en-GB"/>
        </w:rPr>
        <w:t xml:space="preserve"> was shown to contain GWA hits for both RA and SLE</w:t>
      </w:r>
      <w:r w:rsidR="001502C1" w:rsidRPr="0082680A">
        <w:rPr>
          <w:lang w:val="en-GB"/>
        </w:rPr>
        <w:t xml:space="preserve"> (Table </w:t>
      </w:r>
      <w:r w:rsidR="00066B5A">
        <w:rPr>
          <w:lang w:val="en-GB"/>
        </w:rPr>
        <w:t>58</w:t>
      </w:r>
      <w:r w:rsidR="001502C1" w:rsidRPr="0082680A">
        <w:rPr>
          <w:lang w:val="en-GB"/>
        </w:rPr>
        <w:t>)</w:t>
      </w:r>
      <w:r w:rsidR="006E058A" w:rsidRPr="0082680A">
        <w:rPr>
          <w:lang w:val="en-GB"/>
        </w:rPr>
        <w:t>, scored highly for both GeneXplain and Endeavour predictions, and was also commonly</w:t>
      </w:r>
      <w:r w:rsidR="004112CD" w:rsidRPr="0082680A">
        <w:rPr>
          <w:lang w:val="en-GB"/>
        </w:rPr>
        <w:t xml:space="preserve"> upr</w:t>
      </w:r>
      <w:r w:rsidR="00915766" w:rsidRPr="0082680A">
        <w:rPr>
          <w:lang w:val="en-GB"/>
        </w:rPr>
        <w:t>egulated in all 5 input dataset</w:t>
      </w:r>
      <w:r w:rsidR="008726F8" w:rsidRPr="0082680A">
        <w:rPr>
          <w:lang w:val="en-GB"/>
        </w:rPr>
        <w:t>s</w:t>
      </w:r>
      <w:r w:rsidR="00915766" w:rsidRPr="0082680A">
        <w:rPr>
          <w:lang w:val="en-GB"/>
        </w:rPr>
        <w:t xml:space="preserve">, as would </w:t>
      </w:r>
      <w:r w:rsidR="00C51C0F" w:rsidRPr="0082680A">
        <w:rPr>
          <w:lang w:val="en-GB"/>
        </w:rPr>
        <w:t xml:space="preserve">be </w:t>
      </w:r>
      <w:r w:rsidR="00915766" w:rsidRPr="0082680A">
        <w:rPr>
          <w:lang w:val="en-GB"/>
        </w:rPr>
        <w:t>expect</w:t>
      </w:r>
      <w:r w:rsidR="00C51C0F" w:rsidRPr="0082680A">
        <w:rPr>
          <w:lang w:val="en-GB"/>
        </w:rPr>
        <w:t>ed</w:t>
      </w:r>
      <w:r w:rsidR="00915766" w:rsidRPr="0082680A">
        <w:rPr>
          <w:lang w:val="en-GB"/>
        </w:rPr>
        <w:t xml:space="preserve"> in a </w:t>
      </w:r>
      <w:r w:rsidR="00C51C0F" w:rsidRPr="0082680A">
        <w:rPr>
          <w:lang w:val="en-GB"/>
        </w:rPr>
        <w:t>tissue</w:t>
      </w:r>
      <w:r w:rsidR="0067332E" w:rsidRPr="0082680A">
        <w:rPr>
          <w:lang w:val="en-GB"/>
        </w:rPr>
        <w:t xml:space="preserve"> which is actively inflamed</w:t>
      </w:r>
      <w:r w:rsidR="00915766" w:rsidRPr="0082680A">
        <w:rPr>
          <w:lang w:val="en-GB"/>
        </w:rPr>
        <w:t>.</w:t>
      </w:r>
      <w:r w:rsidR="003E774A" w:rsidRPr="0082680A">
        <w:rPr>
          <w:lang w:val="en-GB"/>
        </w:rPr>
        <w:t xml:space="preserve"> </w:t>
      </w:r>
      <w:r w:rsidR="00FE6422" w:rsidRPr="0082680A">
        <w:rPr>
          <w:lang w:val="en-GB"/>
        </w:rPr>
        <w:t xml:space="preserve">Increased expression of </w:t>
      </w:r>
      <w:r w:rsidR="003E774A" w:rsidRPr="0082680A">
        <w:rPr>
          <w:lang w:val="en-GB"/>
        </w:rPr>
        <w:t xml:space="preserve">CD40 </w:t>
      </w:r>
      <w:r w:rsidR="00FE6422" w:rsidRPr="0082680A">
        <w:rPr>
          <w:lang w:val="en-GB"/>
        </w:rPr>
        <w:t xml:space="preserve">on T-Cells has been shown to be reliable indicator of </w:t>
      </w:r>
      <w:r w:rsidR="00F74C1B" w:rsidRPr="0082680A">
        <w:rPr>
          <w:lang w:val="en-GB"/>
        </w:rPr>
        <w:t>active rheumatoid arthritis</w:t>
      </w:r>
      <w:r w:rsidR="00560682" w:rsidRPr="0082680A">
        <w:rPr>
          <w:lang w:val="en-GB"/>
        </w:rPr>
        <w:t xml:space="preserve"> </w:t>
      </w:r>
      <w:r w:rsidR="00EA4F2C" w:rsidRPr="0082680A">
        <w:rPr>
          <w:lang w:val="en-GB"/>
        </w:rPr>
        <w:fldChar w:fldCharType="begin" w:fldLock="1"/>
      </w:r>
      <w:r w:rsidR="000507BA">
        <w:rPr>
          <w:lang w:val="en-GB"/>
        </w:rPr>
        <w:instrText>ADDIN CSL_CITATION {"citationItems":[{"id":"ITEM-1","itemData":{"DOI":"10.1136/ARD.59.3.190","ISSN":"0003-4967","PMID":"10700427","abstract":"OBJECTIVES The interaction between the activation induced surface glycoprotein CD40L (ligand) (CD154) on CD4+ T cells and its receptor CD40, which is expressed on various cell types, plays a crucial part in numerous cell mediated and humoral immune reactions that may be of pathogenetic importance in rheumatoid arthritis (RA). To further evaluate the pathogenetic role of CD40L in RA, expression of CD40L and various other T cell activation antigens as well as costimulatory molecules was investigated on CD4+ T cells in RA by flow cytometry. METHODS Two colour flow cytometry was used to determine the percentage of CD4+ T cells expressing CD40L, CD69, CD25, HLA-DR, CD39, CD27 and CD28 in peripheral blood (PB) of 62 RA patients in comparison to 20 healthy controls (HC). Disease activity was assessed by clinical, laboratory and radiological examination. Status of clinical remission of RA was evaluated according to the ACR preliminary criteria for complete clinical remission of RA. RESULTS CD40L was expressed on &gt; 10% of CD4+ T cells in 29% of RA patients thus defining a CD40L(high+) patient group. Disease activity as estimated by C reactive protein, rheumatoid factor and status of clinical remission of disease (p = 0.049) was higher in this subgroup than in the RA CD40L(low+) group. Expression of CD69, CD25, and HLA-DR was significantly increased in both RA patient groups in comparison with HC. However, the percentage of CD39+ CD4+ T cells was increased only in the RA CD40L(high+) subgroup (versus HC p = 0.019, versus RA CD40L(low+) p = 0.044). Furthermore, expression of CD40L and CD39 on CD4+ T cells correlated positively as estimated by Spearman rank correlation (p&lt;0.001). The percentage of CD4+ T cells lacking the costimulatory molecules CD27 (p = 0.002) and CD28 (p = 0.026) was increased in RA CD40L(low+) patients in comparison with HC. CONCLUSIONS These data suggest that increased expression of CD40L on CD4+ T cells in RA indicates prolonged and increased activation of CD4+ T lymphocytes and is associated with active disease and possibly an unfavourable prognosis. Whether this phenotypically defined RA CD40L(high+) subgroup will preferentially respond to an anti-CD40L antibody treatment remains to be elucidated.","author":[{"dropping-particle":"","family":"Berner","given":"B","non-dropping-particle":"","parse-names":false,"suffix":""},{"dropping-particle":"","family":"Wolf","given":"G","non-dropping-particle":"","parse-names":false,"suffix":""},{"dropping-particle":"","family":"Hummel","given":"K M","non-dropping-particle":"","parse-names":false,"suffix":""},{"dropping-particle":"","family":"Müller","given":"G A","non-dropping-particle":"","parse-names":false,"suffix":""},{"dropping-particle":"","family":"Reuss-Borst","given":"M A","non-dropping-particle":"","parse-names":false,"suffix":""}],"container-title":"Annals of the rheumatic diseases","id":"ITEM-1","issue":"3","issued":{"date-parts":[["2000","3","1"]]},"page":"190-5","publisher":"BMJ Publishing Group Ltd","title":"Increased expression of CD40 ligand (CD154) on CD4+ T cells as a marker of disease activity in rheumatoid arthritis.","type":"article-journal","volume":"59"},"uris":["http://www.mendeley.com/documents/?uuid=c5e68231-6088-39e2-85a2-cedbae429a32"]}],"mendeley":{"formattedCitation":"&lt;sup&gt;431&lt;/sup&gt;","plainTextFormattedCitation":"431","previouslyFormattedCitation":"&lt;sup&gt;431&lt;/sup&gt;"},"properties":{"noteIndex":0},"schema":"https://github.com/citation-style-language/schema/raw/master/csl-citation.json"}</w:instrText>
      </w:r>
      <w:r w:rsidR="00EA4F2C" w:rsidRPr="0082680A">
        <w:rPr>
          <w:lang w:val="en-GB"/>
        </w:rPr>
        <w:fldChar w:fldCharType="separate"/>
      </w:r>
      <w:r w:rsidR="00426B19" w:rsidRPr="00426B19">
        <w:rPr>
          <w:noProof/>
          <w:vertAlign w:val="superscript"/>
          <w:lang w:val="en-GB"/>
        </w:rPr>
        <w:t>431</w:t>
      </w:r>
      <w:r w:rsidR="00EA4F2C" w:rsidRPr="0082680A">
        <w:rPr>
          <w:lang w:val="en-GB"/>
        </w:rPr>
        <w:fldChar w:fldCharType="end"/>
      </w:r>
      <w:r w:rsidR="00EA4F2C" w:rsidRPr="0082680A">
        <w:rPr>
          <w:lang w:val="en-GB"/>
        </w:rPr>
        <w:t xml:space="preserve">. </w:t>
      </w:r>
      <w:r w:rsidR="00190AC4" w:rsidRPr="0082680A">
        <w:rPr>
          <w:i/>
          <w:color w:val="000000" w:themeColor="text1"/>
          <w:lang w:val="en-GB"/>
        </w:rPr>
        <w:t>TRAF1</w:t>
      </w:r>
      <w:r w:rsidR="00871818" w:rsidRPr="0082680A">
        <w:rPr>
          <w:color w:val="000000" w:themeColor="text1"/>
          <w:lang w:val="en-GB"/>
        </w:rPr>
        <w:t xml:space="preserve">, or TNF Receptor Associated Factor 1, </w:t>
      </w:r>
      <w:r w:rsidR="00C04E69" w:rsidRPr="0082680A">
        <w:rPr>
          <w:color w:val="000000" w:themeColor="text1"/>
          <w:lang w:val="en-GB"/>
        </w:rPr>
        <w:t>is a</w:t>
      </w:r>
      <w:r w:rsidR="008D0BD0" w:rsidRPr="0082680A">
        <w:rPr>
          <w:color w:val="000000" w:themeColor="text1"/>
          <w:lang w:val="en-GB"/>
        </w:rPr>
        <w:t xml:space="preserve"> signalling adaptor </w:t>
      </w:r>
      <w:r w:rsidR="002318B2" w:rsidRPr="0082680A">
        <w:rPr>
          <w:color w:val="000000" w:themeColor="text1"/>
          <w:lang w:val="en-GB"/>
        </w:rPr>
        <w:t>known t</w:t>
      </w:r>
      <w:r w:rsidR="00762B94" w:rsidRPr="0082680A">
        <w:rPr>
          <w:color w:val="000000" w:themeColor="text1"/>
          <w:lang w:val="en-GB"/>
        </w:rPr>
        <w:t xml:space="preserve">o regulate </w:t>
      </w:r>
      <w:r w:rsidR="00D04C71" w:rsidRPr="0082680A">
        <w:rPr>
          <w:color w:val="000000" w:themeColor="text1"/>
          <w:lang w:val="en-GB"/>
        </w:rPr>
        <w:t xml:space="preserve">TNF, </w:t>
      </w:r>
      <w:r w:rsidR="00762B94" w:rsidRPr="0082680A">
        <w:rPr>
          <w:color w:val="000000" w:themeColor="text1"/>
          <w:lang w:val="en-GB"/>
        </w:rPr>
        <w:t xml:space="preserve">NF-kappaB </w:t>
      </w:r>
      <w:r w:rsidR="00A240D9" w:rsidRPr="0082680A">
        <w:rPr>
          <w:color w:val="000000" w:themeColor="text1"/>
          <w:lang w:val="en-GB"/>
        </w:rPr>
        <w:t xml:space="preserve">and JNK </w:t>
      </w:r>
      <w:r w:rsidR="00D04C71" w:rsidRPr="0082680A">
        <w:rPr>
          <w:color w:val="000000" w:themeColor="text1"/>
          <w:lang w:val="en-GB"/>
        </w:rPr>
        <w:t>pathways</w:t>
      </w:r>
      <w:r w:rsidR="00762B94" w:rsidRPr="0082680A">
        <w:rPr>
          <w:color w:val="000000" w:themeColor="text1"/>
          <w:lang w:val="en-GB"/>
        </w:rPr>
        <w:t xml:space="preserve">, </w:t>
      </w:r>
      <w:r w:rsidR="00A240D9" w:rsidRPr="0082680A">
        <w:rPr>
          <w:color w:val="000000" w:themeColor="text1"/>
          <w:lang w:val="en-GB"/>
        </w:rPr>
        <w:t xml:space="preserve">as well as </w:t>
      </w:r>
      <w:r w:rsidR="00550257" w:rsidRPr="0082680A">
        <w:rPr>
          <w:color w:val="000000" w:themeColor="text1"/>
          <w:lang w:val="en-GB"/>
        </w:rPr>
        <w:t xml:space="preserve">T-Cell apoptosis </w:t>
      </w:r>
      <w:r w:rsidR="00D33117" w:rsidRPr="0082680A">
        <w:rPr>
          <w:color w:val="000000" w:themeColor="text1"/>
          <w:lang w:val="en-GB"/>
        </w:rPr>
        <w:fldChar w:fldCharType="begin" w:fldLock="1"/>
      </w:r>
      <w:r w:rsidR="000507BA">
        <w:rPr>
          <w:color w:val="000000" w:themeColor="text1"/>
          <w:lang w:val="en-GB"/>
        </w:rPr>
        <w:instrText>ADDIN CSL_CITATION {"citationItems":[{"id":"ITEM-1","itemData":{"DOI":"10.1016/S1074-7613(01)00207-2","ISSN":"1074-7613","abstract":"TNF receptor-associated factor 1 (TRAF1) is a unique TRAF protein because it lacks a RING finger domain and is predominantly expressed in activated lymphocytes. To elucidate the function of TRAF1, we generated TRAF1-deficient mice. TRAF1−/− mice are viable and have normal lymphocyte development. TRAF1−/− T cells exhibit stronger than wild-type (WT) T cell proliferation to anti-CD3 mAb, which persisted in the presence of IL-2 or anti-CD28 antibodies. Activated TRAF1−/− T cells, but not TRAF1+/+ T cells, responded to TNF by proliferation and activation of the NF-κB and AP-1 signaling pathways. This TNF effect was mediated by TNFR2 (p75) but not by TNFR1 (p55). Furthermore, skin from TRAF1−/− mice was hypersensitive to TNF-induced necrosis. These findings suggest that TRAF1 is a negative regulator of TNF signaling.","author":[{"dropping-particle":"","family":"Tsitsikov","given":"Erdyni N","non-dropping-particle":"","parse-names":false,"suffix":""},{"dropping-particle":"","family":"Laouini","given":"Dhafer","non-dropping-particle":"","parse-names":false,"suffix":""},{"dropping-particle":"","family":"Dunn","given":"Ian F","non-dropping-particle":"","parse-names":false,"suffix":""},{"dropping-particle":"","family":"Sannikova","given":"Tatyana Y","non-dropping-particle":"","parse-names":false,"suffix":""},{"dropping-particle":"","family":"Davidson","given":"Laurie","non-dropping-particle":"","parse-names":false,"suffix":""},{"dropping-particle":"","family":"Alt","given":"Frederick W","non-dropping-particle":"","parse-names":false,"suffix":""},{"dropping-particle":"","family":"Geha","given":"Raif S","non-dropping-particle":"","parse-names":false,"suffix":""}],"container-title":"Immunity","id":"ITEM-1","issue":"4","issued":{"date-parts":[["2001","10","1"]]},"page":"647-657","publisher":"Cell Press","title":"TRAF1 Is a Negative Regulator of TNF Signaling: Enhanced TNF Signaling in TRAF1-Deficient Mice","type":"article-journal","volume":"15"},"uris":["http://www.mendeley.com/documents/?uuid=81c3e469-2b25-3eee-aea7-4520e78a9064"]},{"id":"ITEM-2","itemData":{"DOI":"10.1016/S0014-5793(99)01356-3","ISSN":"00145793","author":[{"dropping-particle":"","family":"Carpentier","given":"Isabelle","non-dropping-particle":"","parse-names":false,"suffix":""},{"dropping-particle":"","family":"Beyaert","given":"Rudi","non-dropping-particle":"","parse-names":false,"suffix":""}],"container-title":"FEBS Letters","id":"ITEM-2","issue":"2","issued":{"date-parts":[["1999","10","29"]]},"page":"246-250","publisher":"Wiley-Blackwell","title":"TRAF1 is a TNF inducible regulator of NF-κB activation","type":"article-journal","volume":"460"},"uris":["http://www.mendeley.com/documents/?uuid=f56ff8bd-2617-3d17-8a74-e92e90756fc8"]},{"id":"ITEM-3","itemData":{"DOI":"10.1074/JBC.274.27.19368","ISSN":"0021-9258","PMID":"10383449","abstract":"To understand how the TNF receptor-associated factor 1 (TRAF1) is transcriptionally regulated, in vitro DNA binding assays, promoter-reporter gene assays, and RNase protection assays were performed with the human TRAF1 gene. Binding of NF-kappaB to three of five putative binding sites within the human TRAF1 promoter was found in electrophoretic mobility shift assay studies, and analysis of TRAF1 gene promoter luciferase constructs confirmed the functional importance of these elements. Moreover, triggering of TNF-R1, CD40, and the interleukin-1 receptor resulted in transcription of the TRAF1 gene, whereas receptors that are not activators or only poor activators of NF-kappaB in HeLa cells failed to show a significant TRAF1 induction. Because it has been shown that members of the TRAF family are involved in activation of NF-kappaB and the c-Jun N-terminal kinase (JNK) by the interleukin-1 receptor and members of the TNF receptor superfamily, a role of TRAF1 in receptor cross-talk and/or feedback regulation of activated receptor signaling complexes can be suggested. In fact, we found that TNF-induced activation of JNK is prolonged in transfectants overexpressing TRAF1, whereas overexpression of a deletion mutant of TRAF1 in which the N-terminal part had been replaced by the green fluorescent protein interfered with TNF-induced activation of NF-kappaB and JNK.","author":[{"dropping-particle":"","family":"Schwenzer","given":"R","non-dropping-particle":"","parse-names":false,"suffix":""},{"dropping-particle":"","family":"Siemienski","given":"K","non-dropping-particle":"","parse-names":false,"suffix":""},{"dropping-particle":"","family":"Liptay","given":"S","non-dropping-particle":"","parse-names":false,"suffix":""},{"dropping-particle":"","family":"Schubert","given":"G","non-dropping-particle":"","parse-names":false,"suffix":""},{"dropping-particle":"","family":"Peters","given":"N","non-dropping-particle":"","parse-names":false,"suffix":""},{"dropping-particle":"","family":"Scheurich","given":"P","non-dropping-particle":"","parse-names":false,"suffix":""},{"dropping-particle":"","family":"Schmid","given":"R M","non-dropping-particle":"","parse-names":false,"suffix":""},{"dropping-particle":"","family":"Wajant","given":"H","non-dropping-particle":"","parse-names":false,"suffix":""}],"container-title":"The Journal of biological chemistry","id":"ITEM-3","issue":"27","issued":{"date-parts":[["1999","7","2"]]},"page":"19368-74","publisher":"American Society for Biochemistry and Molecular Biology","title":"The human tumor necrosis factor (TNF) receptor-associated factor 1 gene (TRAF1) is up-regulated by cytokines of the TNF ligand family and modulates TNF-induced activation of NF-kappaB and c-Jun N-terminal kinase.","type":"article-journal","volume":"274"},"uris":["http://www.mendeley.com/documents/?uuid=c48ac245-ce97-3bef-a94d-20867787c7c6"]},{"id":"ITEM-4","itemData":{"DOI":"10.1084/JEM.185.10.1777","ISSN":"0022-1007","PMID":"9151703","abstract":"Tumor necrosis factor receptor (TNFR)-associated factor 2 (TRAF2) and TRAF1 were found as components of the TNFR2 signaling complex, which exerts multiple biological effects on cells such as cell proliferation, cytokine production, and cell death. In the TNFR2-mediated signaling pathways, TRAF2 works as a mediator for activation signals such as NF-kappaB, but the role of TRAF1 has not been previously determined. Here we show in transgenic mice that TRAF1 overexpression inhibits antigen-induced apoptosis of CD8(+) T lymphocytes. Our results demonstrate a biological role for TRAF1 as a regulator of apoptotic signals and also support the hypothesis that the combination of TRAF proteins in a given cell type determines distinct biological effects triggered by members of the TNF receptor superfamily.","author":[{"dropping-particle":"","family":"Speiser","given":"D E","non-dropping-particle":"","parse-names":false,"suffix":""},{"dropping-particle":"","family":"Lee","given":"S Y","non-dropping-particle":"","parse-names":false,"suffix":""},{"dropping-particle":"","family":"Wong","given":"B","non-dropping-particle":"","parse-names":false,"suffix":""},{"dropping-particle":"","family":"Arron","given":"J","non-dropping-particle":"","parse-names":false,"suffix":""},{"dropping-particle":"","family":"Santana","given":"A","non-dropping-particle":"","parse-names":false,"suffix":""},{"dropping-particle":"","family":"Kong","given":"Y Y","non-dropping-particle":"","parse-names":false,"suffix":""},{"dropping-particle":"","family":"Ohashi","given":"P S","non-dropping-particle":"","parse-names":false,"suffix":""},{"dropping-particle":"","family":"Choi","given":"Y","non-dropping-particle":"","parse-names":false,"suffix":""}],"container-title":"The Journal of experimental medicine","id":"ITEM-4","issue":"10","issued":{"date-parts":[["1997","5","19"]]},"page":"1777-83","publisher":"Rockefeller University Press","title":"A regulatory role for TRAF1 in antigen-induced apoptosis of T cells.","type":"article-journal","volume":"185"},"uris":["http://www.mendeley.com/documents/?uuid=3d18f5ff-516e-3db5-96cf-f9f33c67919c"]}],"mendeley":{"formattedCitation":"&lt;sup&gt;432–435&lt;/sup&gt;","plainTextFormattedCitation":"432–435","previouslyFormattedCitation":"&lt;sup&gt;432–435&lt;/sup&gt;"},"properties":{"noteIndex":0},"schema":"https://github.com/citation-style-language/schema/raw/master/csl-citation.json"}</w:instrText>
      </w:r>
      <w:r w:rsidR="00D33117" w:rsidRPr="0082680A">
        <w:rPr>
          <w:color w:val="000000" w:themeColor="text1"/>
          <w:lang w:val="en-GB"/>
        </w:rPr>
        <w:fldChar w:fldCharType="separate"/>
      </w:r>
      <w:r w:rsidR="00426B19" w:rsidRPr="00426B19">
        <w:rPr>
          <w:noProof/>
          <w:color w:val="000000" w:themeColor="text1"/>
          <w:vertAlign w:val="superscript"/>
          <w:lang w:val="en-GB"/>
        </w:rPr>
        <w:t>432–435</w:t>
      </w:r>
      <w:r w:rsidR="00D33117" w:rsidRPr="0082680A">
        <w:rPr>
          <w:color w:val="000000" w:themeColor="text1"/>
          <w:lang w:val="en-GB"/>
        </w:rPr>
        <w:fldChar w:fldCharType="end"/>
      </w:r>
      <w:r w:rsidR="00D33117" w:rsidRPr="0082680A">
        <w:rPr>
          <w:color w:val="000000" w:themeColor="text1"/>
          <w:lang w:val="en-GB"/>
        </w:rPr>
        <w:t xml:space="preserve">. </w:t>
      </w:r>
      <w:r w:rsidR="00C14B76" w:rsidRPr="0082680A">
        <w:rPr>
          <w:color w:val="000000" w:themeColor="text1"/>
          <w:lang w:val="en-GB"/>
        </w:rPr>
        <w:t>GWA studies have found a significant association between</w:t>
      </w:r>
      <w:r w:rsidR="00CA5AD0" w:rsidRPr="0082680A">
        <w:rPr>
          <w:color w:val="000000" w:themeColor="text1"/>
          <w:lang w:val="en-GB"/>
        </w:rPr>
        <w:t xml:space="preserve"> </w:t>
      </w:r>
      <w:r w:rsidR="00CA5AD0" w:rsidRPr="0082680A">
        <w:rPr>
          <w:i/>
          <w:color w:val="000000" w:themeColor="text1"/>
          <w:lang w:val="en-GB"/>
        </w:rPr>
        <w:t>TRAF1</w:t>
      </w:r>
      <w:r w:rsidR="00CA5AD0" w:rsidRPr="0082680A">
        <w:rPr>
          <w:color w:val="000000" w:themeColor="text1"/>
          <w:lang w:val="en-GB"/>
        </w:rPr>
        <w:t xml:space="preserve"> and </w:t>
      </w:r>
      <w:r w:rsidR="008B0B33" w:rsidRPr="0082680A">
        <w:rPr>
          <w:color w:val="000000" w:themeColor="text1"/>
          <w:lang w:val="en-GB"/>
        </w:rPr>
        <w:t>rheumatoid arthritis</w:t>
      </w:r>
      <w:r w:rsidR="00436B33" w:rsidRPr="0082680A">
        <w:rPr>
          <w:color w:val="000000" w:themeColor="text1"/>
          <w:lang w:val="en-GB"/>
        </w:rPr>
        <w:t xml:space="preserve"> </w:t>
      </w:r>
      <w:r w:rsidR="00436B33" w:rsidRPr="0082680A">
        <w:rPr>
          <w:color w:val="000000" w:themeColor="text1"/>
          <w:lang w:val="en-GB"/>
        </w:rPr>
        <w:fldChar w:fldCharType="begin" w:fldLock="1"/>
      </w:r>
      <w:r w:rsidR="000507BA">
        <w:rPr>
          <w:color w:val="000000" w:themeColor="text1"/>
          <w:lang w:val="en-GB"/>
        </w:rPr>
        <w:instrText>ADDIN CSL_CITATION {"citationItems":[{"id":"ITEM-1","itemData":{"DOI":"10.1056/NEJMoa073491","ISSN":"0028-4793","PMID":"17804836","abstract":"BACKGROUND Rheumatoid arthritis has a complex mode of inheritance. Although HLA-DRB1 and PTPN22 are well-established susceptibility loci, other genes that confer a modest level of risk have been identified recently. We carried out a genomewide association analysis to identify additional genetic loci associated with an increased risk of rheumatoid arthritis. METHODS We genotyped 317,503 single-nucleotide polymorphisms (SNPs) in a combined case-control study of 1522 case subjects with rheumatoid arthritis and 1850 matched control subjects. The patients were seropositive for autoantibodies against cyclic citrullinated peptide (CCP). We obtained samples from two data sets, the North American Rheumatoid Arthritis Consortium (NARAC) and the Swedish Epidemiological Investigation of Rheumatoid Arthritis (EIRA). Results from NARAC and EIRA for 297,086 SNPs that passed quality-control filters were combined with the use of Cochran-Mantel-Haenszel stratified analysis. SNPs showing a significant association with disease (P&lt;1x10(-8)) were genotyped in an independent set of case subjects with anti-CCP-positive rheumatoid arthritis (485 from NARAC and 512 from EIRA) and in control subjects (1282 from NARAC and 495 from EIRA). RESULTS We observed associations between disease and variants in the major-histocompatibility-complex locus, in PTPN22, and in a SNP (rs3761847) on chromosome 9 for all samples tested, the latter with an odds ratio of 1.32 (95% confidence interval, 1.23 to 1.42; P=4x10(-14)). The SNP is in linkage disequilibrium with two genes relevant to chronic inflammation: TRAF1 (encoding tumor necrosis factor receptor-associated factor 1) and C5 (encoding complement component 5). CONCLUSIONS A common genetic variant at the TRAF1-C5 locus on chromosome 9 is associated with an increased risk of anti-CCP-positive rheumatoid arthritis.","author":[{"dropping-particle":"","family":"Plenge","given":"Robert M.","non-dropping-particle":"","parse-names":false,"suffix":""},{"dropping-particle":"","family":"Seielstad","given":"Mark","non-dropping-particle":"","parse-names":false,"suffix":""},{"dropping-particle":"","family":"Padyukov","given":"Leonid","non-dropping-particle":"","parse-names":false,"suffix":""},{"dropping-particle":"","family":"Lee","given":"Annette T.","non-dropping-particle":"","parse-names":false,"suffix":""},{"dropping-particle":"","family":"Remmers","given":"Elaine F.","non-dropping-particle":"","parse-names":false,"suffix":""},{"dropping-particle":"","family":"Ding","given":"Bo","non-dropping-particle":"","parse-names":false,"suffix":""},{"dropping-particle":"","family":"Liew","given":"Anthony","non-dropping-particle":"","parse-names":false,"suffix":""},{"dropping-particle":"","family":"Khalili","given":"Houman","non-dropping-particle":"","parse-names":false,"suffix":""},{"dropping-particle":"","family":"Chandrasekaran","given":"Alamelu","non-dropping-particle":"","parse-names":false,"suffix":""},{"dropping-particle":"","family":"Davies","given":"Leela R.L.","non-dropping-particle":"","parse-names":false,"suffix":""},{"dropping-particle":"","family":"Li","given":"Wentian","non-dropping-particle":"","parse-names":false,"suffix":""},{"dropping-particle":"","family":"Tan","given":"Adrian K.S.","non-dropping-particle":"","parse-names":false,"suffix":""},{"dropping-particle":"","family":"Bonnard","given":"Carine","non-dropping-particle":"","parse-names":false,"suffix":""},{"dropping-particle":"","family":"Ong","given":"Rick T.H.","non-dropping-particle":"","parse-names":false,"suffix":""},{"dropping-particle":"","family":"Thalamuthu","given":"Anbupalam","non-dropping-particle":"","parse-names":false,"suffix":""},{"dropping-particle":"","family":"Pettersson","given":"Sven","non-dropping-particle":"","parse-names":false,"suffix":""},{"dropping-particle":"","family":"Liu","given":"Chunyu","non-dropping-particle":"","parse-names":false,"suffix":""},{"dropping-particle":"","family":"Tian","given":"Chao","non-dropping-particle":"","parse-names":false,"suffix":""},{"dropping-particle":"V.","family":"Chen","given":"Wei","non-dropping-particle":"","parse-names":false,"suffix":""},{"dropping-particle":"","family":"Carulli","given":"John P.","non-dropping-particle":"","parse-names":false,"suffix":""},{"dropping-particle":"","family":"Beckman","given":"Evan M.","non-dropping-particle":"","parse-names":false,"suffix":""},{"dropping-particle":"","family":"Altshuler","given":"David","non-dropping-particle":"","parse-names":false,"suffix":""},{"dropping-particle":"","family":"Alfredsson","given":"Lars","non-dropping-particle":"","parse-names":false,"suffix":""},{"dropping-particle":"","family":"Criswell","given":"Lindsey A.","non-dropping-particle":"","parse-names":false,"suffix":""},{"dropping-particle":"","family":"Amos","given":"Christopher I.","non-dropping-particle":"","parse-names":false,"suffix":""},{"dropping-particle":"","family":"Seldin","given":"Michael F.","non-dropping-particle":"","parse-names":false,"suffix":""},{"dropping-particle":"","family":"Kastner","given":"Daniel L.","non-dropping-particle":"","parse-names":false,"suffix":""},{"dropping-particle":"","family":"Klareskog","given":"Lars","non-dropping-particle":"","parse-names":false,"suffix":""},{"dropping-particle":"","family":"Gregersen","given":"Peter K.","non-dropping-particle":"","parse-names":false,"suffix":""}],"container-title":"New England Journal of Medicine","id":"ITEM-1","issue":"12","issued":{"date-parts":[["2007","9","20"]]},"page":"1199-1209","title":"&lt;i&gt;TRAF1–C5&lt;/i&gt; as a Risk Locus for Rheumatoid Arthritis — A Genomewide Study","type":"article-journal","volume":"357"},"uris":["http://www.mendeley.com/documents/?uuid=b5f691c6-6807-3046-8c42-08a2db5d5eee"]},{"id":"ITEM-2","itemData":{"DOI":"10.1007/s11033-013-2864-0","ISSN":"0301-4851","PMID":"24234752","abstract":"Rheumatoid arthritis (RA) is a common chronic inflammatory autoimmune disease. Single nucleotide polymorphisms of tumor necrosis factor-receptor associated factor 1/complement component 5 (TRAF1/C5) gene are suspected to be associated with the risk of RA. This meta-analysis was performed to study the relationship between the polymorphism rs10818488 in TRAF1/C5 gene with RA. We retrieved the relevant articles from PubMed, EMBASE and the China National Knowledge Infrastructure databases. Odd ratios were calculated to assess the association between TRAF1/C5 rs10818488 polymorphism and RA risk. Meta-analyses were performed on the total data set and separately for the major ethnic groups and RF and ACAP status. All analyses were performed using the Stata software. Eight articles were included in the present analysis. Meta-analysis showed a weak association between TRAF1/C5 rs10818488 polymorphism and RA in all subjects (OR = 1.13, 95 % CI = 1.01–1.27, P heterogeneity &lt; 0.001). Stratified analyses indicated that the TRAF1/C5 rs10818488 A allele was significantly associated with RA in Caucasians (OR = 1.29, 95 %CI = 1.14–1.47, P heterogeneity = 0.026), Asians (OR = 0.92, 95 %CI = 0.86–0.99, P heterogeneity = 0.378) and Africans (OR = 1.56, 95 %CI = 1.23–1.98, P heterogeneity = 0.876), also significantly in positive ACPA and positive RF patients versus controls (ORs were 1.20 and 1.25, 95 %CIs were 1.08–1.33 and 1.14–1.37, P values for heterogeneity were 0.215 and 0.133, respectively). Genetic polymorphism rs10818488 in TRAF1/C5 gene might be associated with RA susceptibility.","author":[{"dropping-particle":"","family":"Zhang","given":"Xingang","non-dropping-particle":"","parse-names":false,"suffix":""},{"dropping-particle":"","family":"Li","given":"Wei","non-dropping-particle":"","parse-names":false,"suffix":""},{"dropping-particle":"","family":"Zhang","given":"Xinpeng","non-dropping-particle":"","parse-names":false,"suffix":""},{"dropping-particle":"","family":"Zhang","given":"Xiaoli","non-dropping-particle":"","parse-names":false,"suffix":""},{"dropping-particle":"","family":"Jiang","given":"Li","non-dropping-particle":"","parse-names":false,"suffix":""},{"dropping-particle":"","family":"Guo","given":"Yun","non-dropping-particle":"","parse-names":false,"suffix":""},{"dropping-particle":"","family":"Wang","given":"Xiaofei","non-dropping-particle":"","parse-names":false,"suffix":""}],"container-title":"Molecular Biology Reports","id":"ITEM-2","issue":"1","issued":{"date-parts":[["2014","1","15"]]},"page":"317-324","title":"Association between polymorphism in TRAF1/C5 gene and risk of rheumatoid arthritis: a meta-analysis","type":"article-journal","volume":"41"},"uris":["http://www.mendeley.com/documents/?uuid=53364ec0-9b7c-31e1-9933-ddec2768f825"]}],"mendeley":{"formattedCitation":"&lt;sup&gt;436,437&lt;/sup&gt;","plainTextFormattedCitation":"436,437","previouslyFormattedCitation":"&lt;sup&gt;436,437&lt;/sup&gt;"},"properties":{"noteIndex":0},"schema":"https://github.com/citation-style-language/schema/raw/master/csl-citation.json"}</w:instrText>
      </w:r>
      <w:r w:rsidR="00436B33" w:rsidRPr="0082680A">
        <w:rPr>
          <w:color w:val="000000" w:themeColor="text1"/>
          <w:lang w:val="en-GB"/>
        </w:rPr>
        <w:fldChar w:fldCharType="separate"/>
      </w:r>
      <w:r w:rsidR="00426B19" w:rsidRPr="00426B19">
        <w:rPr>
          <w:noProof/>
          <w:color w:val="000000" w:themeColor="text1"/>
          <w:vertAlign w:val="superscript"/>
          <w:lang w:val="en-GB"/>
        </w:rPr>
        <w:t>436,437</w:t>
      </w:r>
      <w:r w:rsidR="00436B33" w:rsidRPr="0082680A">
        <w:rPr>
          <w:color w:val="000000" w:themeColor="text1"/>
          <w:lang w:val="en-GB"/>
        </w:rPr>
        <w:fldChar w:fldCharType="end"/>
      </w:r>
      <w:r w:rsidR="00CC4064" w:rsidRPr="0082680A">
        <w:rPr>
          <w:color w:val="000000" w:themeColor="text1"/>
          <w:lang w:val="en-GB"/>
        </w:rPr>
        <w:t xml:space="preserve"> (Table</w:t>
      </w:r>
      <w:r w:rsidR="00523C90" w:rsidRPr="0082680A">
        <w:rPr>
          <w:color w:val="000000" w:themeColor="text1"/>
          <w:lang w:val="en-GB"/>
        </w:rPr>
        <w:t xml:space="preserve"> </w:t>
      </w:r>
      <w:r w:rsidR="00066B5A">
        <w:rPr>
          <w:color w:val="000000" w:themeColor="text1"/>
          <w:lang w:val="en-GB"/>
        </w:rPr>
        <w:t>59</w:t>
      </w:r>
      <w:r w:rsidR="00523C90" w:rsidRPr="0082680A">
        <w:rPr>
          <w:color w:val="000000" w:themeColor="text1"/>
          <w:lang w:val="en-GB"/>
        </w:rPr>
        <w:t>)</w:t>
      </w:r>
      <w:r w:rsidR="00436B33" w:rsidRPr="0082680A">
        <w:rPr>
          <w:color w:val="000000" w:themeColor="text1"/>
          <w:lang w:val="en-GB"/>
        </w:rPr>
        <w:t>. Our analysis indicates</w:t>
      </w:r>
      <w:r w:rsidR="002672F6" w:rsidRPr="0082680A">
        <w:rPr>
          <w:color w:val="000000" w:themeColor="text1"/>
          <w:lang w:val="en-GB"/>
        </w:rPr>
        <w:t xml:space="preserve"> </w:t>
      </w:r>
      <w:r w:rsidR="002672F6" w:rsidRPr="0082680A">
        <w:rPr>
          <w:i/>
          <w:color w:val="000000" w:themeColor="text1"/>
          <w:lang w:val="en-GB"/>
        </w:rPr>
        <w:t>TRAF1</w:t>
      </w:r>
      <w:r w:rsidR="002672F6" w:rsidRPr="0082680A">
        <w:rPr>
          <w:color w:val="000000" w:themeColor="text1"/>
          <w:lang w:val="en-GB"/>
        </w:rPr>
        <w:t xml:space="preserve"> has a relatively high connectivity within the module, and ranks very highly in GeneXplain and Endeavour analysis, </w:t>
      </w:r>
      <w:r w:rsidR="00FD0AC4" w:rsidRPr="0082680A">
        <w:rPr>
          <w:color w:val="000000" w:themeColor="text1"/>
          <w:lang w:val="en-GB"/>
        </w:rPr>
        <w:t>and is also commonly upregulated across input datasets</w:t>
      </w:r>
      <w:r w:rsidR="007039E9" w:rsidRPr="0082680A">
        <w:rPr>
          <w:color w:val="000000" w:themeColor="text1"/>
          <w:lang w:val="en-GB"/>
        </w:rPr>
        <w:t xml:space="preserve">. </w:t>
      </w:r>
      <w:r w:rsidR="002653A6" w:rsidRPr="0082680A">
        <w:rPr>
          <w:color w:val="000000" w:themeColor="text1"/>
          <w:lang w:val="en-GB"/>
        </w:rPr>
        <w:t>Interestingly</w:t>
      </w:r>
      <w:r w:rsidR="00A15655" w:rsidRPr="0082680A">
        <w:rPr>
          <w:color w:val="000000" w:themeColor="text1"/>
          <w:lang w:val="en-GB"/>
        </w:rPr>
        <w:t>,</w:t>
      </w:r>
      <w:r w:rsidR="002653A6" w:rsidRPr="0082680A">
        <w:rPr>
          <w:color w:val="000000" w:themeColor="text1"/>
          <w:lang w:val="en-GB"/>
        </w:rPr>
        <w:t xml:space="preserve"> TRAF1 has been shown to regulate </w:t>
      </w:r>
      <w:r w:rsidR="00A15655" w:rsidRPr="0082680A">
        <w:rPr>
          <w:color w:val="000000" w:themeColor="text1"/>
          <w:lang w:val="en-GB"/>
        </w:rPr>
        <w:t>CD</w:t>
      </w:r>
      <w:r w:rsidR="005C102D" w:rsidRPr="0082680A">
        <w:rPr>
          <w:color w:val="000000" w:themeColor="text1"/>
          <w:lang w:val="en-GB"/>
        </w:rPr>
        <w:t>40-induced NF-kappaB activation</w:t>
      </w:r>
      <w:r w:rsidR="00F6148A" w:rsidRPr="0082680A">
        <w:rPr>
          <w:color w:val="000000" w:themeColor="text1"/>
          <w:lang w:val="en-GB"/>
        </w:rPr>
        <w:t>, perhaps explaining why these two genes are commonly upregulated</w:t>
      </w:r>
      <w:r w:rsidR="005C102D" w:rsidRPr="0082680A">
        <w:rPr>
          <w:color w:val="000000" w:themeColor="text1"/>
          <w:lang w:val="en-GB"/>
        </w:rPr>
        <w:t xml:space="preserve"> </w:t>
      </w:r>
      <w:r w:rsidR="000A1E9A" w:rsidRPr="0082680A">
        <w:rPr>
          <w:color w:val="000000" w:themeColor="text1"/>
          <w:lang w:val="en-GB"/>
        </w:rPr>
        <w:fldChar w:fldCharType="begin" w:fldLock="1"/>
      </w:r>
      <w:r w:rsidR="000507BA">
        <w:rPr>
          <w:color w:val="000000" w:themeColor="text1"/>
          <w:lang w:val="en-GB"/>
        </w:rPr>
        <w:instrText>ADDIN CSL_CITATION {"citationItems":[{"id":"ITEM-1","itemData":{"DOI":"10.1074/jbc.M310969200","ISSN":"0021-9258","PMID":"14557256","abstract":"To investigate CD40 signaling complex formation in living cells, we used green fluorescent protein (GFP)-tagged CD40 signaling intermediates and confocal life imaging. The majority of cytoplasmic TRAF2-GFP and, to a lesser extent, TRAF3-GFP, but not TRAF1-GFP or TRAF4-GFP, translocated into CD40 signaling complexes within a few minutes after CD40 triggering with the CD40 ligand. The inhibitor of apoptosis proteins cIAP1 and cIAP2 were also recruited by TRAF2 to sites of CD40 signaling. An excess of TRAF2 allowed recruitment of TRAF1-GFP to sites of CD40 signaling, whereas an excess of TRAF1 abrogated the interaction of TRAF2 and CD40. Overexpression of TRAF1, however, had no effect on the interaction of TRADD and TRAF2, known to be important for tumor necrosis factor receptor 1 (TNF-R1)-mediated NF-kappaB activation. Accordingly, TRAF1 inhibited CD40-dependent but not TNF-R1-dependent NF-kappaB activation. Moreover, down-regulation of TRAF1 with small interfering RNAs enhanced CD40/CD40 ligand-induced NF-kappaB activation but showed no effect on TNF signaling. Because of the trimeric organization of TRAF proteins, we propose that the stoichiometry of TRAF1-TRAF2 heteromeric complexes ((TRAF2)2-TRAF1 versus TRAF2-(TRAF1)2) determines their capability to mediate CD40 signaling but has no major effect on TNF signaling.","author":[{"dropping-particle":"","family":"Fotin-Mleczek","given":"Mariola","non-dropping-particle":"","parse-names":false,"suffix":""},{"dropping-particle":"","family":"Henkler","given":"Frank","non-dropping-particle":"","parse-names":false,"suffix":""},{"dropping-particle":"","family":"Hausser","given":"Angelika","non-dropping-particle":"","parse-names":false,"suffix":""},{"dropping-particle":"","family":"Glauner","given":"Heike","non-dropping-particle":"","parse-names":false,"suffix":""},{"dropping-particle":"","family":"Samel","given":"Dierk","non-dropping-particle":"","parse-names":false,"suffix":""},{"dropping-particle":"","family":"Graness","given":"Angela","non-dropping-particle":"","parse-names":false,"suffix":""},{"dropping-particle":"","family":"Scheurich","given":"Peter","non-dropping-particle":"","parse-names":false,"suffix":""},{"dropping-particle":"","family":"Mauri","given":"Davide","non-dropping-particle":"","parse-names":false,"suffix":""},{"dropping-particle":"","family":"Wajant","given":"Harald","non-dropping-particle":"","parse-names":false,"suffix":""}],"container-title":"Journal of Biological Chemistry","id":"ITEM-1","issue":"1","issued":{"date-parts":[["2004","1","2"]]},"page":"677-685","title":"Tumor Necrosis Factor Receptor-associated Factor (TRAF) 1 Regulates CD40-induced TRAF2-mediated NF-κB Activation","type":"article-journal","volume":"279"},"uris":["http://www.mendeley.com/documents/?uuid=81b94635-9d57-36f0-b4f4-1b1de5c56471"]}],"mendeley":{"formattedCitation":"&lt;sup&gt;438&lt;/sup&gt;","plainTextFormattedCitation":"438","previouslyFormattedCitation":"&lt;sup&gt;438&lt;/sup&gt;"},"properties":{"noteIndex":0},"schema":"https://github.com/citation-style-language/schema/raw/master/csl-citation.json"}</w:instrText>
      </w:r>
      <w:r w:rsidR="000A1E9A" w:rsidRPr="0082680A">
        <w:rPr>
          <w:color w:val="000000" w:themeColor="text1"/>
          <w:lang w:val="en-GB"/>
        </w:rPr>
        <w:fldChar w:fldCharType="separate"/>
      </w:r>
      <w:r w:rsidR="00426B19" w:rsidRPr="00426B19">
        <w:rPr>
          <w:noProof/>
          <w:color w:val="000000" w:themeColor="text1"/>
          <w:vertAlign w:val="superscript"/>
          <w:lang w:val="en-GB"/>
        </w:rPr>
        <w:t>438</w:t>
      </w:r>
      <w:r w:rsidR="000A1E9A" w:rsidRPr="0082680A">
        <w:rPr>
          <w:color w:val="000000" w:themeColor="text1"/>
          <w:lang w:val="en-GB"/>
        </w:rPr>
        <w:fldChar w:fldCharType="end"/>
      </w:r>
      <w:r w:rsidR="000A1E9A" w:rsidRPr="0082680A">
        <w:rPr>
          <w:color w:val="000000" w:themeColor="text1"/>
          <w:lang w:val="en-GB"/>
        </w:rPr>
        <w:t>.</w:t>
      </w:r>
    </w:p>
    <w:p w14:paraId="18B72120" w14:textId="447E8A90" w:rsidR="00850DAA" w:rsidRPr="0082680A" w:rsidRDefault="00850DAA" w:rsidP="00057CB0">
      <w:pPr>
        <w:rPr>
          <w:color w:val="000000" w:themeColor="text1"/>
          <w:lang w:val="en-GB"/>
        </w:rPr>
      </w:pPr>
    </w:p>
    <w:p w14:paraId="45968A28" w14:textId="545B5907" w:rsidR="00850DAA" w:rsidRPr="0082680A" w:rsidRDefault="00037073" w:rsidP="00057CB0">
      <w:pPr>
        <w:rPr>
          <w:color w:val="000000" w:themeColor="text1"/>
          <w:lang w:val="en-GB"/>
        </w:rPr>
      </w:pPr>
      <w:r w:rsidRPr="0082680A">
        <w:rPr>
          <w:i/>
          <w:color w:val="000000" w:themeColor="text1"/>
          <w:lang w:val="en-GB"/>
        </w:rPr>
        <w:t xml:space="preserve">CTLA4, IRF4 </w:t>
      </w:r>
      <w:r w:rsidRPr="0082680A">
        <w:rPr>
          <w:color w:val="000000" w:themeColor="text1"/>
          <w:lang w:val="en-GB"/>
        </w:rPr>
        <w:t>and</w:t>
      </w:r>
      <w:r w:rsidRPr="0082680A">
        <w:rPr>
          <w:i/>
          <w:color w:val="000000" w:themeColor="text1"/>
          <w:lang w:val="en-GB"/>
        </w:rPr>
        <w:t xml:space="preserve"> IRF1</w:t>
      </w:r>
      <w:r w:rsidRPr="0082680A">
        <w:rPr>
          <w:color w:val="000000" w:themeColor="text1"/>
          <w:lang w:val="en-GB"/>
        </w:rPr>
        <w:t xml:space="preserve"> each obtained a score of 21. </w:t>
      </w:r>
      <w:r w:rsidR="003021E3" w:rsidRPr="0082680A">
        <w:rPr>
          <w:color w:val="000000" w:themeColor="text1"/>
          <w:lang w:val="en-GB"/>
        </w:rPr>
        <w:t xml:space="preserve">The role of </w:t>
      </w:r>
      <w:r w:rsidR="00274468" w:rsidRPr="0082680A">
        <w:rPr>
          <w:color w:val="000000" w:themeColor="text1"/>
          <w:lang w:val="en-GB"/>
        </w:rPr>
        <w:t>cytotoxic T-lymphocyte associated p</w:t>
      </w:r>
      <w:r w:rsidR="00817810" w:rsidRPr="0082680A">
        <w:rPr>
          <w:color w:val="000000" w:themeColor="text1"/>
          <w:lang w:val="en-GB"/>
        </w:rPr>
        <w:t xml:space="preserve">rotein 4 (CTLA4) </w:t>
      </w:r>
      <w:r w:rsidR="003021E3" w:rsidRPr="0082680A">
        <w:rPr>
          <w:color w:val="000000" w:themeColor="text1"/>
          <w:lang w:val="en-GB"/>
        </w:rPr>
        <w:t>is to downregulate immune responses.</w:t>
      </w:r>
      <w:r w:rsidR="009E41F5" w:rsidRPr="0082680A">
        <w:rPr>
          <w:color w:val="000000" w:themeColor="text1"/>
          <w:lang w:val="en-GB"/>
        </w:rPr>
        <w:t xml:space="preserve"> </w:t>
      </w:r>
      <w:r w:rsidR="00F707D1" w:rsidRPr="0082680A">
        <w:rPr>
          <w:color w:val="000000" w:themeColor="text1"/>
          <w:lang w:val="en-GB"/>
        </w:rPr>
        <w:t xml:space="preserve">CTLA4 </w:t>
      </w:r>
      <w:r w:rsidR="009E41F5" w:rsidRPr="0082680A">
        <w:rPr>
          <w:color w:val="000000" w:themeColor="text1"/>
          <w:lang w:val="en-GB"/>
        </w:rPr>
        <w:t xml:space="preserve">achieves this through </w:t>
      </w:r>
      <w:r w:rsidR="00AB2A8B" w:rsidRPr="0082680A">
        <w:rPr>
          <w:color w:val="000000" w:themeColor="text1"/>
          <w:lang w:val="en-GB"/>
        </w:rPr>
        <w:t>binding to CD80 or CD86 proteins, effectively ‘switching off’ their ability to activate T-Cell responses</w:t>
      </w:r>
      <w:r w:rsidR="00334FCB" w:rsidRPr="0082680A">
        <w:rPr>
          <w:color w:val="000000" w:themeColor="text1"/>
          <w:lang w:val="en-GB"/>
        </w:rPr>
        <w:t xml:space="preserve"> </w:t>
      </w:r>
      <w:r w:rsidR="007C6182" w:rsidRPr="0082680A">
        <w:rPr>
          <w:color w:val="000000" w:themeColor="text1"/>
          <w:lang w:val="en-GB"/>
        </w:rPr>
        <w:fldChar w:fldCharType="begin" w:fldLock="1"/>
      </w:r>
      <w:r w:rsidR="000507BA">
        <w:rPr>
          <w:color w:val="000000" w:themeColor="text1"/>
          <w:lang w:val="en-GB"/>
        </w:rPr>
        <w:instrText>ADDIN CSL_CITATION {"citationItems":[{"id":"ITEM-1","itemData":{"author":[{"dropping-particle":"","family":"Manzotti","given":"Claire N","non-dropping-particle":"","parse-names":false,"suffix":""},{"dropping-particle":"","family":"Tipping","given":"Helen","non-dropping-particle":"","parse-names":false,"suffix":""},{"dropping-particle":"","family":"Perry","given":"Laura C A","non-dropping-particle":"","parse-names":false,"suffix":""},{"dropping-particle":"","family":"Mead","given":"Karen I","non-dropping-particle":"","parse-names":false,"suffix":""},{"dropping-particle":"","family":"Blair","given":"Patrick J","non-dropping-particle":"","parse-names":false,"suffix":""},{"dropping-particle":"","family":"Zheng","given":"Yong","non-dropping-particle":"","parse-names":false,"suffix":""},{"dropping-particle":"","family":"Sansom","given":"David M","non-dropping-particle":"","parse-names":false,"suffix":""}],"id":"ITEM-1","issued":{"date-parts":[["2002"]]},"title":"Inhibition of human T cell proliferation by CTLA-4 utilizes CD80 and requires CD25 + regulatory T cells","type":"report"},"uris":["http://www.mendeley.com/documents/?uuid=f88845f0-13b6-3360-b9ae-acb172166214"]}],"mendeley":{"formattedCitation":"&lt;sup&gt;439&lt;/sup&gt;","plainTextFormattedCitation":"439","previouslyFormattedCitation":"&lt;sup&gt;439&lt;/sup&gt;"},"properties":{"noteIndex":0},"schema":"https://github.com/citation-style-language/schema/raw/master/csl-citation.json"}</w:instrText>
      </w:r>
      <w:r w:rsidR="007C6182" w:rsidRPr="0082680A">
        <w:rPr>
          <w:color w:val="000000" w:themeColor="text1"/>
          <w:lang w:val="en-GB"/>
        </w:rPr>
        <w:fldChar w:fldCharType="separate"/>
      </w:r>
      <w:r w:rsidR="00426B19" w:rsidRPr="00426B19">
        <w:rPr>
          <w:noProof/>
          <w:color w:val="000000" w:themeColor="text1"/>
          <w:vertAlign w:val="superscript"/>
          <w:lang w:val="en-GB"/>
        </w:rPr>
        <w:t>439</w:t>
      </w:r>
      <w:r w:rsidR="007C6182" w:rsidRPr="0082680A">
        <w:rPr>
          <w:color w:val="000000" w:themeColor="text1"/>
          <w:lang w:val="en-GB"/>
        </w:rPr>
        <w:fldChar w:fldCharType="end"/>
      </w:r>
      <w:r w:rsidR="00AB2A8B" w:rsidRPr="0082680A">
        <w:rPr>
          <w:color w:val="000000" w:themeColor="text1"/>
          <w:lang w:val="en-GB"/>
        </w:rPr>
        <w:t xml:space="preserve">. </w:t>
      </w:r>
      <w:r w:rsidR="008D73CC" w:rsidRPr="0082680A">
        <w:rPr>
          <w:i/>
          <w:color w:val="000000" w:themeColor="text1"/>
          <w:lang w:val="en-GB"/>
        </w:rPr>
        <w:t>CTLA4</w:t>
      </w:r>
      <w:r w:rsidR="008D73CC" w:rsidRPr="0082680A">
        <w:rPr>
          <w:color w:val="000000" w:themeColor="text1"/>
          <w:lang w:val="en-GB"/>
        </w:rPr>
        <w:t xml:space="preserve"> is commonly upregulated across </w:t>
      </w:r>
      <w:r w:rsidR="00502947" w:rsidRPr="0082680A">
        <w:rPr>
          <w:color w:val="000000" w:themeColor="text1"/>
          <w:lang w:val="en-GB"/>
        </w:rPr>
        <w:t>datasets and</w:t>
      </w:r>
      <w:r w:rsidR="0085342F" w:rsidRPr="0082680A">
        <w:rPr>
          <w:color w:val="000000" w:themeColor="text1"/>
          <w:lang w:val="en-GB"/>
        </w:rPr>
        <w:t xml:space="preserve"> may </w:t>
      </w:r>
      <w:r w:rsidR="0085342F" w:rsidRPr="0082680A">
        <w:rPr>
          <w:color w:val="000000" w:themeColor="text1"/>
          <w:lang w:val="en-GB"/>
        </w:rPr>
        <w:lastRenderedPageBreak/>
        <w:t>represent a</w:t>
      </w:r>
      <w:r w:rsidR="008B79B8" w:rsidRPr="0082680A">
        <w:rPr>
          <w:color w:val="000000" w:themeColor="text1"/>
          <w:lang w:val="en-GB"/>
        </w:rPr>
        <w:t xml:space="preserve"> </w:t>
      </w:r>
      <w:r w:rsidR="0085342F" w:rsidRPr="0082680A">
        <w:rPr>
          <w:color w:val="000000" w:themeColor="text1"/>
          <w:lang w:val="en-GB"/>
        </w:rPr>
        <w:t xml:space="preserve">regulatory </w:t>
      </w:r>
      <w:r w:rsidR="008B79B8" w:rsidRPr="0082680A">
        <w:rPr>
          <w:color w:val="000000" w:themeColor="text1"/>
          <w:lang w:val="en-GB"/>
        </w:rPr>
        <w:t xml:space="preserve">reaction of the arthritic tissues to </w:t>
      </w:r>
      <w:r w:rsidR="0085342F" w:rsidRPr="0082680A">
        <w:rPr>
          <w:color w:val="000000" w:themeColor="text1"/>
          <w:lang w:val="en-GB"/>
        </w:rPr>
        <w:t>suppress</w:t>
      </w:r>
      <w:r w:rsidR="008B79B8" w:rsidRPr="0082680A">
        <w:rPr>
          <w:color w:val="000000" w:themeColor="text1"/>
          <w:lang w:val="en-GB"/>
        </w:rPr>
        <w:t xml:space="preserve"> the overactive immune response. </w:t>
      </w:r>
      <w:r w:rsidR="00BE42DF" w:rsidRPr="0082680A">
        <w:rPr>
          <w:i/>
          <w:color w:val="000000" w:themeColor="text1"/>
          <w:lang w:val="en-GB"/>
        </w:rPr>
        <w:t>CTLA4</w:t>
      </w:r>
      <w:r w:rsidR="00BE42DF" w:rsidRPr="0082680A">
        <w:rPr>
          <w:color w:val="000000" w:themeColor="text1"/>
          <w:lang w:val="en-GB"/>
        </w:rPr>
        <w:t xml:space="preserve"> is moderately connected within the </w:t>
      </w:r>
      <w:r w:rsidR="00502947" w:rsidRPr="0082680A">
        <w:rPr>
          <w:color w:val="000000" w:themeColor="text1"/>
          <w:lang w:val="en-GB"/>
        </w:rPr>
        <w:t>network and</w:t>
      </w:r>
      <w:r w:rsidR="00BE42DF" w:rsidRPr="0082680A">
        <w:rPr>
          <w:color w:val="000000" w:themeColor="text1"/>
          <w:lang w:val="en-GB"/>
        </w:rPr>
        <w:t xml:space="preserve"> </w:t>
      </w:r>
      <w:r w:rsidR="008726F8" w:rsidRPr="0082680A">
        <w:rPr>
          <w:color w:val="000000" w:themeColor="text1"/>
          <w:lang w:val="en-GB"/>
        </w:rPr>
        <w:t xml:space="preserve">is </w:t>
      </w:r>
      <w:r w:rsidR="00BE42DF" w:rsidRPr="0082680A">
        <w:rPr>
          <w:color w:val="000000" w:themeColor="text1"/>
          <w:lang w:val="en-GB"/>
        </w:rPr>
        <w:t>score</w:t>
      </w:r>
      <w:r w:rsidR="008726F8" w:rsidRPr="0082680A">
        <w:rPr>
          <w:color w:val="000000" w:themeColor="text1"/>
          <w:lang w:val="en-GB"/>
        </w:rPr>
        <w:t>d</w:t>
      </w:r>
      <w:r w:rsidR="00BE42DF" w:rsidRPr="0082680A">
        <w:rPr>
          <w:color w:val="000000" w:themeColor="text1"/>
          <w:lang w:val="en-GB"/>
        </w:rPr>
        <w:t xml:space="preserve"> highly </w:t>
      </w:r>
      <w:r w:rsidR="008726F8" w:rsidRPr="0082680A">
        <w:rPr>
          <w:color w:val="000000" w:themeColor="text1"/>
          <w:lang w:val="en-GB"/>
        </w:rPr>
        <w:t>by</w:t>
      </w:r>
      <w:r w:rsidR="00F707D1" w:rsidRPr="0082680A">
        <w:rPr>
          <w:color w:val="000000" w:themeColor="text1"/>
          <w:lang w:val="en-GB"/>
        </w:rPr>
        <w:t xml:space="preserve"> </w:t>
      </w:r>
      <w:r w:rsidR="00BE42DF" w:rsidRPr="0082680A">
        <w:rPr>
          <w:color w:val="000000" w:themeColor="text1"/>
          <w:lang w:val="en-GB"/>
        </w:rPr>
        <w:t>GeneXplain and Endeavour</w:t>
      </w:r>
      <w:r w:rsidR="00607CD7" w:rsidRPr="0082680A">
        <w:rPr>
          <w:color w:val="000000" w:themeColor="text1"/>
          <w:lang w:val="en-GB"/>
        </w:rPr>
        <w:t xml:space="preserve">. </w:t>
      </w:r>
      <w:r w:rsidR="00502947" w:rsidRPr="0082680A">
        <w:rPr>
          <w:color w:val="000000" w:themeColor="text1"/>
          <w:lang w:val="en-GB"/>
        </w:rPr>
        <w:t>According to</w:t>
      </w:r>
      <w:r w:rsidR="00F141BB" w:rsidRPr="0082680A">
        <w:rPr>
          <w:color w:val="000000" w:themeColor="text1"/>
          <w:lang w:val="en-GB"/>
        </w:rPr>
        <w:t xml:space="preserve"> the</w:t>
      </w:r>
      <w:r w:rsidR="00502947" w:rsidRPr="0082680A">
        <w:rPr>
          <w:color w:val="000000" w:themeColor="text1"/>
          <w:lang w:val="en-GB"/>
        </w:rPr>
        <w:t xml:space="preserve"> GWAS Catalog, </w:t>
      </w:r>
      <w:r w:rsidR="00502947" w:rsidRPr="0082680A">
        <w:rPr>
          <w:i/>
          <w:color w:val="000000" w:themeColor="text1"/>
          <w:lang w:val="en-GB"/>
        </w:rPr>
        <w:t>CTLA4</w:t>
      </w:r>
      <w:r w:rsidR="00502947" w:rsidRPr="0082680A">
        <w:rPr>
          <w:color w:val="000000" w:themeColor="text1"/>
          <w:lang w:val="en-GB"/>
        </w:rPr>
        <w:t xml:space="preserve"> has been associated with a number of RA variants (Table </w:t>
      </w:r>
      <w:r w:rsidR="00066B5A">
        <w:rPr>
          <w:color w:val="000000" w:themeColor="text1"/>
          <w:lang w:val="en-GB"/>
        </w:rPr>
        <w:t>60</w:t>
      </w:r>
      <w:r w:rsidR="00502947" w:rsidRPr="0082680A">
        <w:rPr>
          <w:color w:val="000000" w:themeColor="text1"/>
          <w:lang w:val="en-GB"/>
        </w:rPr>
        <w:t xml:space="preserve">). </w:t>
      </w:r>
      <w:r w:rsidR="007525FA" w:rsidRPr="0082680A">
        <w:rPr>
          <w:color w:val="000000" w:themeColor="text1"/>
          <w:lang w:val="en-GB"/>
        </w:rPr>
        <w:t xml:space="preserve">Abatacept is a </w:t>
      </w:r>
      <w:r w:rsidR="002B3802" w:rsidRPr="0082680A">
        <w:rPr>
          <w:color w:val="000000" w:themeColor="text1"/>
          <w:lang w:val="en-GB"/>
        </w:rPr>
        <w:t xml:space="preserve">biological therapeutic used to treat a number of autoimmune diseases, including </w:t>
      </w:r>
      <w:r w:rsidR="00E01141" w:rsidRPr="0082680A">
        <w:rPr>
          <w:color w:val="000000" w:themeColor="text1"/>
          <w:lang w:val="en-GB"/>
        </w:rPr>
        <w:t xml:space="preserve">rheumatoid, psoriatic, and juvenile idiopathic arthritis, and functions </w:t>
      </w:r>
      <w:r w:rsidR="004C1667" w:rsidRPr="0082680A">
        <w:rPr>
          <w:color w:val="000000" w:themeColor="text1"/>
          <w:lang w:val="en-GB"/>
        </w:rPr>
        <w:t>by mimicking the action of CTLA4</w:t>
      </w:r>
      <w:r w:rsidR="005F21A4" w:rsidRPr="0082680A">
        <w:rPr>
          <w:color w:val="000000" w:themeColor="text1"/>
          <w:lang w:val="en-GB"/>
        </w:rPr>
        <w:t xml:space="preserve"> to</w:t>
      </w:r>
      <w:r w:rsidR="004C1667" w:rsidRPr="0082680A">
        <w:rPr>
          <w:color w:val="000000" w:themeColor="text1"/>
          <w:lang w:val="en-GB"/>
        </w:rPr>
        <w:t xml:space="preserve"> </w:t>
      </w:r>
      <w:r w:rsidR="00E01141" w:rsidRPr="0082680A">
        <w:rPr>
          <w:color w:val="000000" w:themeColor="text1"/>
          <w:lang w:val="en-GB"/>
        </w:rPr>
        <w:t>competitively bind to CD80 or CD86</w:t>
      </w:r>
      <w:r w:rsidR="005F21A4" w:rsidRPr="0082680A">
        <w:rPr>
          <w:color w:val="000000" w:themeColor="text1"/>
          <w:lang w:val="en-GB"/>
        </w:rPr>
        <w:t>, thereby reducing T-Cell activation</w:t>
      </w:r>
      <w:r w:rsidR="00E01141" w:rsidRPr="0082680A">
        <w:rPr>
          <w:color w:val="000000" w:themeColor="text1"/>
          <w:lang w:val="en-GB"/>
        </w:rPr>
        <w:t xml:space="preserve"> </w:t>
      </w:r>
      <w:r w:rsidR="00E01141" w:rsidRPr="0082680A">
        <w:rPr>
          <w:color w:val="000000" w:themeColor="text1"/>
          <w:lang w:val="en-GB"/>
        </w:rPr>
        <w:fldChar w:fldCharType="begin" w:fldLock="1"/>
      </w:r>
      <w:r w:rsidR="000507BA">
        <w:rPr>
          <w:color w:val="000000" w:themeColor="text1"/>
          <w:lang w:val="en-GB"/>
        </w:rPr>
        <w:instrText>ADDIN CSL_CITATION {"citationItems":[{"id":"ITEM-1","itemData":{"DOI":"10.1002/art.21201","ISSN":"0004-3591","author":[{"dropping-particle":"","family":"Kremer","given":"Joel M.","non-dropping-particle":"","parse-names":false,"suffix":""},{"dropping-particle":"","family":"Dougados","given":"Maxime","non-dropping-particle":"","parse-names":false,"suffix":""},{"dropping-particle":"","family":"Emery","given":"Paul","non-dropping-particle":"","parse-names":false,"suffix":""},{"dropping-particle":"","family":"Durez","given":"Patrick","non-dropping-particle":"","parse-names":false,"suffix":""},{"dropping-particle":"","family":"Sibilia","given":"Jean","non-dropping-particle":"","parse-names":false,"suffix":""},{"dropping-particle":"","family":"Shergy","given":"William","non-dropping-particle":"","parse-names":false,"suffix":""},{"dropping-particle":"","family":"Steinfeld","given":"Serge","non-dropping-particle":"","parse-names":false,"suffix":""},{"dropping-particle":"","family":"Tindall","given":"Elizabeth","non-dropping-particle":"","parse-names":false,"suffix":""},{"dropping-particle":"","family":"Becker","given":"Jean-Claude","non-dropping-particle":"","parse-names":false,"suffix":""},{"dropping-particle":"","family":"Li","given":"Tracy","non-dropping-particle":"","parse-names":false,"suffix":""},{"dropping-particle":"","family":"Nuamah","given":"Isaac F.","non-dropping-particle":"","parse-names":false,"suffix":""},{"dropping-particle":"","family":"Aranda","given":"Richard","non-dropping-particle":"","parse-names":false,"suffix":""},{"dropping-particle":"","family":"Moreland","given":"Larry W.","non-dropping-particle":"","parse-names":false,"suffix":""}],"container-title":"Arthritis &amp; Rheumatism","id":"ITEM-1","issue":"8","issued":{"date-parts":[["2005","8","1"]]},"page":"2263-2271","publisher":"Wiley-Blackwell","title":"Treatment of rheumatoid arthritis with the selective costimulation modulator abatacept: Twelve-month results of a phase iib, double-blind, randomized, placebo-controlled trial","type":"article-journal","volume":"52"},"uris":["http://www.mendeley.com/documents/?uuid=c84b13e5-bbaf-3aa7-ad19-86bcdb9ceac2"]}],"mendeley":{"formattedCitation":"&lt;sup&gt;440&lt;/sup&gt;","plainTextFormattedCitation":"440","previouslyFormattedCitation":"&lt;sup&gt;440&lt;/sup&gt;"},"properties":{"noteIndex":0},"schema":"https://github.com/citation-style-language/schema/raw/master/csl-citation.json"}</w:instrText>
      </w:r>
      <w:r w:rsidR="00E01141" w:rsidRPr="0082680A">
        <w:rPr>
          <w:color w:val="000000" w:themeColor="text1"/>
          <w:lang w:val="en-GB"/>
        </w:rPr>
        <w:fldChar w:fldCharType="separate"/>
      </w:r>
      <w:r w:rsidR="00426B19" w:rsidRPr="00426B19">
        <w:rPr>
          <w:noProof/>
          <w:color w:val="000000" w:themeColor="text1"/>
          <w:vertAlign w:val="superscript"/>
          <w:lang w:val="en-GB"/>
        </w:rPr>
        <w:t>440</w:t>
      </w:r>
      <w:r w:rsidR="00E01141" w:rsidRPr="0082680A">
        <w:rPr>
          <w:color w:val="000000" w:themeColor="text1"/>
          <w:lang w:val="en-GB"/>
        </w:rPr>
        <w:fldChar w:fldCharType="end"/>
      </w:r>
      <w:r w:rsidR="006C49DB" w:rsidRPr="0082680A">
        <w:rPr>
          <w:color w:val="000000" w:themeColor="text1"/>
          <w:lang w:val="en-GB"/>
        </w:rPr>
        <w:t xml:space="preserve">. </w:t>
      </w:r>
      <w:r w:rsidR="006C49DB" w:rsidRPr="0082680A">
        <w:rPr>
          <w:i/>
          <w:color w:val="000000" w:themeColor="text1"/>
          <w:lang w:val="en-GB"/>
        </w:rPr>
        <w:t>IRF4</w:t>
      </w:r>
      <w:r w:rsidR="006C49DB" w:rsidRPr="0082680A">
        <w:rPr>
          <w:color w:val="000000" w:themeColor="text1"/>
          <w:lang w:val="en-GB"/>
        </w:rPr>
        <w:t xml:space="preserve"> and </w:t>
      </w:r>
      <w:r w:rsidR="006C49DB" w:rsidRPr="0082680A">
        <w:rPr>
          <w:i/>
          <w:color w:val="000000" w:themeColor="text1"/>
          <w:lang w:val="en-GB"/>
        </w:rPr>
        <w:t>IRF1</w:t>
      </w:r>
      <w:r w:rsidR="006C49DB" w:rsidRPr="0082680A">
        <w:rPr>
          <w:color w:val="000000" w:themeColor="text1"/>
          <w:lang w:val="en-GB"/>
        </w:rPr>
        <w:t xml:space="preserve"> </w:t>
      </w:r>
      <w:r w:rsidR="00815A8E" w:rsidRPr="0082680A">
        <w:rPr>
          <w:color w:val="000000" w:themeColor="text1"/>
          <w:lang w:val="en-GB"/>
        </w:rPr>
        <w:t xml:space="preserve">are both interferon regulatory factors (IRFs). IRFs </w:t>
      </w:r>
      <w:r w:rsidR="00FF63B6" w:rsidRPr="0082680A">
        <w:rPr>
          <w:color w:val="000000" w:themeColor="text1"/>
          <w:lang w:val="en-GB"/>
        </w:rPr>
        <w:t xml:space="preserve">regulate interferon immune response, </w:t>
      </w:r>
      <w:r w:rsidR="005F3B1D" w:rsidRPr="0082680A">
        <w:rPr>
          <w:color w:val="000000" w:themeColor="text1"/>
          <w:lang w:val="en-GB"/>
        </w:rPr>
        <w:t xml:space="preserve">with IRF4 having a specific role in </w:t>
      </w:r>
      <w:r w:rsidR="00B248E2" w:rsidRPr="0082680A">
        <w:rPr>
          <w:color w:val="000000" w:themeColor="text1"/>
          <w:lang w:val="en-GB"/>
        </w:rPr>
        <w:t>negatively regulating toll-receptor signalling</w:t>
      </w:r>
      <w:r w:rsidR="00875F0E" w:rsidRPr="0082680A">
        <w:rPr>
          <w:color w:val="000000" w:themeColor="text1"/>
          <w:lang w:val="en-GB"/>
        </w:rPr>
        <w:t xml:space="preserve"> </w:t>
      </w:r>
      <w:r w:rsidR="00022448" w:rsidRPr="0082680A">
        <w:rPr>
          <w:color w:val="000000" w:themeColor="text1"/>
          <w:lang w:val="en-GB"/>
        </w:rPr>
        <w:fldChar w:fldCharType="begin" w:fldLock="1"/>
      </w:r>
      <w:r w:rsidR="000507BA">
        <w:rPr>
          <w:color w:val="000000" w:themeColor="text1"/>
          <w:lang w:val="en-GB"/>
        </w:rPr>
        <w:instrText>ADDIN CSL_CITATION {"citationItems":[{"id":"ITEM-1","itemData":{"DOI":"10.1073/pnas.0504226102","ISSN":"0027-8424","PMID":"16243976","abstract":"A member of the IFN regulatory factor (IRF) family of transcription factors, IRF-4 is expressed in lymphocytes and macrophage/dendritic cells. Studies using IRF-4-deficient mice have revealed the critical roles of IRF-4 in lymphocyte responses. However, the role of IRF-4 in innate immune responses is not clearly understood. Here, we demonstrate that IRF-4 negatively regulates the production of proinflammatory cytokines by macrophages in response to Toll-like receptor (TLR) stimulation. Mice lacking IRF-4 are sensitive to LPS-induced shock, and their macrophages produce high levels of proinflammatory cytokines, including TNF-alpha and IL-6, in response to TLR ligands. The inhibitory role of IRF-4 in response to TLR stimulation was confirmed by the down-regulation of IRF-4 expression in normal macrophages by using the small interfering RNA technique and by the overexpression of IRF-4 in macrophage line RAW264.7. Activation of the important signaling pathways for cytokine production, NF-kappaB and JNK (c-Jun N-terminal kinase), was enhanced after LPS stimulation in IRF-4(-/-) macrophages. These results imply that IRF-4 negatively regulates TLR signaling and is inhibitory to the production of proinflammatory cytokines in response to TLR stimulation.","author":[{"dropping-particle":"","family":"Honma","given":"Kiri","non-dropping-particle":"","parse-names":false,"suffix":""},{"dropping-particle":"","family":"Udono","given":"Heiichiro","non-dropping-particle":"","parse-names":false,"suffix":""},{"dropping-particle":"","family":"Kohno","given":"Tomoko","non-dropping-particle":"","parse-names":false,"suffix":""},{"dropping-particle":"","family":"Yamamoto","given":"Kazuo","non-dropping-particle":"","parse-names":false,"suffix":""},{"dropping-particle":"","family":"Ogawa","given":"Asako","non-dropping-particle":"","parse-names":false,"suffix":""},{"dropping-particle":"","family":"Takemori","given":"Toshitada","non-dropping-particle":"","parse-names":false,"suffix":""},{"dropping-particle":"","family":"Kumatori","given":"Atsushi","non-dropping-particle":"","parse-names":false,"suffix":""},{"dropping-particle":"","family":"Suzuki","given":"Shoichi","non-dropping-particle":"","parse-names":false,"suffix":""},{"dropping-particle":"","family":"Matsuyama","given":"Toshifumi","non-dropping-particle":"","parse-names":false,"suffix":""},{"dropping-particle":"","family":"Yui","given":"Katsuyuki","non-dropping-particle":"","parse-names":false,"suffix":""}],"container-title":"Proceedings of the National Academy of Sciences of the United States of America","id":"ITEM-1","issue":"44","issued":{"date-parts":[["2005","11","1"]]},"page":"16001-6","publisher":"National Academy of Sciences","title":"Interferon regulatory factor 4 negatively regulates the production of proinflammatory cytokines by macrophages in response to LPS.","type":"article-journal","volume":"102"},"uris":["http://www.mendeley.com/documents/?uuid=854d109b-5098-3e56-b65b-19cec5342e84"]}],"mendeley":{"formattedCitation":"&lt;sup&gt;441&lt;/sup&gt;","plainTextFormattedCitation":"441","previouslyFormattedCitation":"&lt;sup&gt;441&lt;/sup&gt;"},"properties":{"noteIndex":0},"schema":"https://github.com/citation-style-language/schema/raw/master/csl-citation.json"}</w:instrText>
      </w:r>
      <w:r w:rsidR="00022448" w:rsidRPr="0082680A">
        <w:rPr>
          <w:color w:val="000000" w:themeColor="text1"/>
          <w:lang w:val="en-GB"/>
        </w:rPr>
        <w:fldChar w:fldCharType="separate"/>
      </w:r>
      <w:r w:rsidR="00426B19" w:rsidRPr="00426B19">
        <w:rPr>
          <w:noProof/>
          <w:color w:val="000000" w:themeColor="text1"/>
          <w:vertAlign w:val="superscript"/>
          <w:lang w:val="en-GB"/>
        </w:rPr>
        <w:t>441</w:t>
      </w:r>
      <w:r w:rsidR="00022448" w:rsidRPr="0082680A">
        <w:rPr>
          <w:color w:val="000000" w:themeColor="text1"/>
          <w:lang w:val="en-GB"/>
        </w:rPr>
        <w:fldChar w:fldCharType="end"/>
      </w:r>
      <w:r w:rsidR="00FA0F47" w:rsidRPr="0082680A">
        <w:rPr>
          <w:color w:val="000000" w:themeColor="text1"/>
          <w:lang w:val="en-GB"/>
        </w:rPr>
        <w:t xml:space="preserve">. </w:t>
      </w:r>
      <w:r w:rsidR="00502947" w:rsidRPr="0082680A">
        <w:rPr>
          <w:color w:val="000000" w:themeColor="text1"/>
          <w:lang w:val="en-GB"/>
        </w:rPr>
        <w:t xml:space="preserve">Both IRF1 and IRF4 have been linked to at least one RA-associated SNP (Table </w:t>
      </w:r>
      <w:r w:rsidR="00066B5A">
        <w:rPr>
          <w:color w:val="000000" w:themeColor="text1"/>
          <w:lang w:val="en-GB"/>
        </w:rPr>
        <w:t>61</w:t>
      </w:r>
      <w:r w:rsidR="00502947" w:rsidRPr="0082680A">
        <w:rPr>
          <w:color w:val="000000" w:themeColor="text1"/>
          <w:lang w:val="en-GB"/>
        </w:rPr>
        <w:t xml:space="preserve">). </w:t>
      </w:r>
      <w:r w:rsidR="00FA0F47" w:rsidRPr="0082680A">
        <w:rPr>
          <w:color w:val="000000" w:themeColor="text1"/>
          <w:lang w:val="en-GB"/>
        </w:rPr>
        <w:t xml:space="preserve">Upregulation of IRF4 in our datasets suggests another </w:t>
      </w:r>
      <w:r w:rsidR="00EA7180" w:rsidRPr="0082680A">
        <w:rPr>
          <w:color w:val="000000" w:themeColor="text1"/>
          <w:lang w:val="en-GB"/>
        </w:rPr>
        <w:t xml:space="preserve">inhibitory </w:t>
      </w:r>
      <w:r w:rsidR="00303009" w:rsidRPr="0082680A">
        <w:rPr>
          <w:color w:val="000000" w:themeColor="text1"/>
          <w:lang w:val="en-GB"/>
        </w:rPr>
        <w:t>response to the upregulation of immune and inflammation pathways.</w:t>
      </w:r>
      <w:r w:rsidR="00EA7180" w:rsidRPr="0082680A">
        <w:rPr>
          <w:color w:val="000000" w:themeColor="text1"/>
          <w:lang w:val="en-GB"/>
        </w:rPr>
        <w:t xml:space="preserve"> </w:t>
      </w:r>
      <w:r w:rsidR="00242AA9" w:rsidRPr="0082680A">
        <w:rPr>
          <w:color w:val="000000" w:themeColor="text1"/>
          <w:lang w:val="en-GB"/>
        </w:rPr>
        <w:t>IRF1 on the other hand, has a much wider range of roles. It is a transcription factor with a large number of targ</w:t>
      </w:r>
      <w:r w:rsidR="00D0396B" w:rsidRPr="0082680A">
        <w:rPr>
          <w:color w:val="000000" w:themeColor="text1"/>
          <w:lang w:val="en-GB"/>
        </w:rPr>
        <w:t xml:space="preserve">ets, including interferons </w:t>
      </w:r>
      <w:r w:rsidR="00875F0E" w:rsidRPr="0082680A">
        <w:rPr>
          <w:color w:val="000000" w:themeColor="text1"/>
          <w:lang w:val="en-GB"/>
        </w:rPr>
        <w:fldChar w:fldCharType="begin" w:fldLock="1"/>
      </w:r>
      <w:r w:rsidR="000507BA">
        <w:rPr>
          <w:color w:val="000000" w:themeColor="text1"/>
          <w:lang w:val="en-GB"/>
        </w:rPr>
        <w:instrText>ADDIN CSL_CITATION {"citationItems":[{"id":"ITEM-1","itemData":{"DOI":"10.4172/2157-2518.S6-009","ISSN":"2157-2518","PMID":"25893139","abstract":"IRF1 is a transcription factor involved in interferon signaling and has been shown to harbor tumor suppressor activity. In order to comprehensively identify pathways regulated by IRF1, we used chromatin immunoprecipitation followed by massive-parallel sequencing (ChIP-seq) to evaluate the gene targets of IRF1 genome-wide. We identified 17,416 total binding events in breast cancer cells. Functional categorization of the binding sites after IFN-gamma (interferon-gamma) treatment determined that 'apoptosis' or 'cell death' is the most enriched target process. Motif discovery analysis of the chromosomal regions bound by IRF1 identified a number of unique motifs correlated with apoptosis, DNA damage and immune processes. Analysis of GEO transcriptome data from IRF1-transduced cells or IFN-gamma treated fibroblasts indicates that IRF1-bound targets in IFN-treated cells are associated with a positive transcriptional response. Many of the enriched target genes from the expression analysis are associated with apoptosis. Importantly, this data indicates that a significant function of IRF1 is the regulation of anti-cancer apoptotic pathways and this reinforces IRF1's role as a tumor suppressor.","author":[{"dropping-particle":"","family":"Rettino","given":"Alessandro","non-dropping-particle":"","parse-names":false,"suffix":""},{"dropping-particle":"","family":"Clarke","given":"Nicole M","non-dropping-particle":"","parse-names":false,"suffix":""}],"container-title":"Journal of carcinogenesis &amp; mutagenesis","id":"ITEM-1","issue":"Spec Iss Apoptosis","issued":{"date-parts":[["2013"]]},"publisher":"Europe PMC Funders","title":"Genome-wide Identification of IRF1 Binding Sites Reveals Extensive Occupancy at Cell Death Associated Genes.","type":"article-journal"},"uris":["http://www.mendeley.com/documents/?uuid=1102f824-2eba-3c6c-82b8-3d5c0f6f1646"]}],"mendeley":{"formattedCitation":"&lt;sup&gt;442&lt;/sup&gt;","plainTextFormattedCitation":"442","previouslyFormattedCitation":"&lt;sup&gt;442&lt;/sup&gt;"},"properties":{"noteIndex":0},"schema":"https://github.com/citation-style-language/schema/raw/master/csl-citation.json"}</w:instrText>
      </w:r>
      <w:r w:rsidR="00875F0E" w:rsidRPr="0082680A">
        <w:rPr>
          <w:color w:val="000000" w:themeColor="text1"/>
          <w:lang w:val="en-GB"/>
        </w:rPr>
        <w:fldChar w:fldCharType="separate"/>
      </w:r>
      <w:r w:rsidR="00426B19" w:rsidRPr="00426B19">
        <w:rPr>
          <w:noProof/>
          <w:color w:val="000000" w:themeColor="text1"/>
          <w:vertAlign w:val="superscript"/>
          <w:lang w:val="en-GB"/>
        </w:rPr>
        <w:t>442</w:t>
      </w:r>
      <w:r w:rsidR="00875F0E" w:rsidRPr="0082680A">
        <w:rPr>
          <w:color w:val="000000" w:themeColor="text1"/>
          <w:lang w:val="en-GB"/>
        </w:rPr>
        <w:fldChar w:fldCharType="end"/>
      </w:r>
      <w:r w:rsidR="00242AA9" w:rsidRPr="0082680A">
        <w:rPr>
          <w:color w:val="000000" w:themeColor="text1"/>
          <w:lang w:val="en-GB"/>
        </w:rPr>
        <w:t xml:space="preserve">. It has been demonstrated to contribute to apoptosis, DNA damage, and tumour suppression </w:t>
      </w:r>
      <w:r w:rsidR="004D151F" w:rsidRPr="0082680A">
        <w:rPr>
          <w:color w:val="000000" w:themeColor="text1"/>
          <w:lang w:val="en-GB"/>
        </w:rPr>
        <w:fldChar w:fldCharType="begin" w:fldLock="1"/>
      </w:r>
      <w:r w:rsidR="000507BA">
        <w:rPr>
          <w:color w:val="000000" w:themeColor="text1"/>
          <w:lang w:val="en-GB"/>
        </w:rPr>
        <w:instrText>ADDIN CSL_CITATION {"citationItems":[{"id":"ITEM-1","itemData":{"DOI":"10.1038/sj.onc.1207023","ISSN":"0950-9232","abstract":"IRF-1 expression induces apoptosis and inhibits tumor growth in mouse mammary cancer cells &lt;i&gt;in vitro&lt;/i&gt; and &lt;i&gt;in vivo&lt;/i&gt;","author":[{"dropping-particle":"","family":"Kim","given":"Peter K M","non-dropping-particle":"","parse-names":false,"suffix":""},{"dropping-particle":"","family":"Armstrong","given":"Michaele","non-dropping-particle":"","parse-names":false,"suffix":""},{"dropping-particle":"","family":"Liu","given":"Ye","non-dropping-particle":"","parse-names":false,"suffix":""},{"dropping-particle":"","family":"Yan","given":"Peng","non-dropping-particle":"","parse-names":false,"suffix":""},{"dropping-particle":"","family":"Bucher","given":"Brian","non-dropping-particle":"","parse-names":false,"suffix":""},{"dropping-particle":"","family":"Zuckerbraun","given":"Brian S","non-dropping-particle":"","parse-names":false,"suffix":""},{"dropping-particle":"","family":"Gambotto","given":"Andrea","non-dropping-particle":"","parse-names":false,"suffix":""},{"dropping-particle":"","family":"Billiar","given":"Timothy R","non-dropping-particle":"","parse-names":false,"suffix":""},{"dropping-particle":"","family":"Yim","given":"John H","non-dropping-particle":"","parse-names":false,"suffix":""}],"container-title":"Oncogene","id":"ITEM-1","issue":"5","issued":{"date-parts":[["2004","2","5"]]},"page":"1125-1135","publisher":"Nature Publishing Group","title":"IRF-1 expression induces apoptosis and inhibits tumor growth in mouse mammary cancer cells in vitro and in vivo","type":"article-journal","volume":"23"},"uris":["http://www.mendeley.com/documents/?uuid=e4c3e8ff-25a8-3f4d-993c-792c1e831ab9"]},{"id":"ITEM-2","itemData":{"DOI":"10.1038/376596a0","ISSN":"0028-0836","PMID":"7637809","abstract":"Lymphocytes are particularly susceptible to DNA damage-induced apoptosis, a response which may serve as a form of 'altruistic suicide' to counter their intrinsic high potential for mutation and clonal expansion. The tumour suppressor p53 has been shown to regulate this type of apoptosis in thymocytes, but an as yet unknown, p53-independent pathway(s) appears to mediate the same event in mitogen-activated mature T lymphocytes. Here we show DNA damage-induced apoptosis in these T lymphocytes is dependent on the antioncogenic transcription factor interferon regulatory factor (IRF)-1. Thus two different anti-onco-genic transcription factors, p53 and IRF-1, are required for distinct apoptotic pathways in T lymphocytes. We also show that mitogen induction of the interleukin-1 beta converting enzyme (ICE) gene, a mammalian homologue of the Caenorhabditis elegans cell death gene ced-3, is IRF-1-dependent. Ectopic overexpression of IRF-1 results in the activation of the endogenous gene for ICE and enhances the sensitivity of cells to radiation-induced apoptosis.","author":[{"dropping-particle":"","family":"Tamura","given":"Tomohiko","non-dropping-particle":"","parse-names":false,"suffix":""},{"dropping-particle":"","family":"Ishihara","given":"Masahiko","non-dropping-particle":"","parse-names":false,"suffix":""},{"dropping-particle":"","family":"Lamphier","given":"Marc S.","non-dropping-particle":"","parse-names":false,"suffix":""},{"dropping-particle":"","family":"Tanaka","given":"Nobuyuki","non-dropping-particle":"","parse-names":false,"suffix":""},{"dropping-particle":"","family":"Oishi","given":"Isao","non-dropping-particle":"","parse-names":false,"suffix":""},{"dropping-particle":"","family":"Aizawa","given":"Shinichi","non-dropping-particle":"","parse-names":false,"suffix":""},{"dropping-particle":"","family":"Matsuyama","given":"Toshifumi","non-dropping-particle":"","parse-names":false,"suffix":""},{"dropping-particle":"","family":"Mak","given":"Tak W.","non-dropping-particle":"","parse-names":false,"suffix":""},{"dropping-particle":"","family":"Taki","given":"Shinsuke","non-dropping-particle":"","parse-names":false,"suffix":""},{"dropping-particle":"","family":"Taniguchi","given":"Tadatsugu","non-dropping-particle":"","parse-names":false,"suffix":""}],"container-title":"Nature","id":"ITEM-2","issue":"6541","issued":{"date-parts":[["1995","8","17"]]},"page":"596-599","title":"An IRF-1-dependent pathway of DNA damage-induced apoptosis in mitogen-activated T lymphocytes","type":"article-journal","volume":"376"},"uris":["http://www.mendeley.com/documents/?uuid=8f2aa488-9168-3322-af61-9d18daa900b5"]}],"mendeley":{"formattedCitation":"&lt;sup&gt;443,444&lt;/sup&gt;","plainTextFormattedCitation":"443,444","previouslyFormattedCitation":"&lt;sup&gt;443,444&lt;/sup&gt;"},"properties":{"noteIndex":0},"schema":"https://github.com/citation-style-language/schema/raw/master/csl-citation.json"}</w:instrText>
      </w:r>
      <w:r w:rsidR="004D151F" w:rsidRPr="0082680A">
        <w:rPr>
          <w:color w:val="000000" w:themeColor="text1"/>
          <w:lang w:val="en-GB"/>
        </w:rPr>
        <w:fldChar w:fldCharType="separate"/>
      </w:r>
      <w:r w:rsidR="00426B19" w:rsidRPr="00426B19">
        <w:rPr>
          <w:noProof/>
          <w:color w:val="000000" w:themeColor="text1"/>
          <w:vertAlign w:val="superscript"/>
          <w:lang w:val="en-GB"/>
        </w:rPr>
        <w:t>443,444</w:t>
      </w:r>
      <w:r w:rsidR="004D151F" w:rsidRPr="0082680A">
        <w:rPr>
          <w:color w:val="000000" w:themeColor="text1"/>
          <w:lang w:val="en-GB"/>
        </w:rPr>
        <w:fldChar w:fldCharType="end"/>
      </w:r>
      <w:r w:rsidR="00242AA9" w:rsidRPr="0082680A">
        <w:rPr>
          <w:color w:val="000000" w:themeColor="text1"/>
          <w:lang w:val="en-GB"/>
        </w:rPr>
        <w:t xml:space="preserve">. As such a prolific transcription factor, it is unsurprising that IRF1 has been predicted to be upstream by GeneXplain, and with a large number of known regulatory relationships in IPA. It is not, however, itself commonly differentially expressed in our input datasets. </w:t>
      </w:r>
    </w:p>
    <w:p w14:paraId="0B66C398" w14:textId="006A45EF" w:rsidR="004D151F" w:rsidRPr="0082680A" w:rsidRDefault="004D151F" w:rsidP="00057CB0">
      <w:pPr>
        <w:rPr>
          <w:color w:val="000000" w:themeColor="text1"/>
          <w:lang w:val="en-GB"/>
        </w:rPr>
      </w:pPr>
    </w:p>
    <w:p w14:paraId="08099FA5" w14:textId="2C497FDF" w:rsidR="004D151F" w:rsidRPr="0082680A" w:rsidRDefault="00F465F4" w:rsidP="00057CB0">
      <w:pPr>
        <w:rPr>
          <w:color w:val="000000" w:themeColor="text1"/>
          <w:lang w:val="en-GB"/>
        </w:rPr>
      </w:pPr>
      <w:r w:rsidRPr="0082680A">
        <w:rPr>
          <w:color w:val="000000" w:themeColor="text1"/>
          <w:lang w:val="en-GB"/>
        </w:rPr>
        <w:t xml:space="preserve">Scoring </w:t>
      </w:r>
      <w:r w:rsidR="004D151F" w:rsidRPr="0082680A">
        <w:rPr>
          <w:color w:val="000000" w:themeColor="text1"/>
          <w:lang w:val="en-GB"/>
        </w:rPr>
        <w:t xml:space="preserve">20 </w:t>
      </w:r>
      <w:r w:rsidRPr="0082680A">
        <w:rPr>
          <w:color w:val="000000" w:themeColor="text1"/>
          <w:lang w:val="en-GB"/>
        </w:rPr>
        <w:t>was</w:t>
      </w:r>
      <w:r w:rsidR="004D151F" w:rsidRPr="0082680A">
        <w:rPr>
          <w:color w:val="000000" w:themeColor="text1"/>
          <w:lang w:val="en-GB"/>
        </w:rPr>
        <w:t xml:space="preserve"> </w:t>
      </w:r>
      <w:r w:rsidR="004D151F" w:rsidRPr="0082680A">
        <w:rPr>
          <w:i/>
          <w:color w:val="000000" w:themeColor="text1"/>
          <w:lang w:val="en-GB"/>
        </w:rPr>
        <w:t>STAT4</w:t>
      </w:r>
      <w:r w:rsidRPr="0082680A">
        <w:rPr>
          <w:color w:val="000000" w:themeColor="text1"/>
          <w:lang w:val="en-GB"/>
        </w:rPr>
        <w:t>, a gene which</w:t>
      </w:r>
      <w:r w:rsidR="004D151F" w:rsidRPr="0082680A">
        <w:rPr>
          <w:color w:val="000000" w:themeColor="text1"/>
          <w:lang w:val="en-GB"/>
        </w:rPr>
        <w:t xml:space="preserve"> code</w:t>
      </w:r>
      <w:r w:rsidRPr="0082680A">
        <w:rPr>
          <w:color w:val="000000" w:themeColor="text1"/>
          <w:lang w:val="en-GB"/>
        </w:rPr>
        <w:t>s</w:t>
      </w:r>
      <w:r w:rsidR="004D151F" w:rsidRPr="0082680A">
        <w:rPr>
          <w:color w:val="000000" w:themeColor="text1"/>
          <w:lang w:val="en-GB"/>
        </w:rPr>
        <w:t xml:space="preserve"> for </w:t>
      </w:r>
      <w:r w:rsidRPr="0082680A">
        <w:rPr>
          <w:color w:val="000000" w:themeColor="text1"/>
          <w:lang w:val="en-GB"/>
        </w:rPr>
        <w:t>a member</w:t>
      </w:r>
      <w:r w:rsidR="00921E4B" w:rsidRPr="0082680A">
        <w:rPr>
          <w:color w:val="000000" w:themeColor="text1"/>
          <w:lang w:val="en-GB"/>
        </w:rPr>
        <w:t xml:space="preserve"> of the signal transducer and activator of transcription (STAT) family. As a result of cytokine activity, STATs are triggered as transcription activators. STATs have been </w:t>
      </w:r>
      <w:r w:rsidR="00772457" w:rsidRPr="0082680A">
        <w:rPr>
          <w:color w:val="000000" w:themeColor="text1"/>
          <w:lang w:val="en-GB"/>
        </w:rPr>
        <w:t>consistently</w:t>
      </w:r>
      <w:r w:rsidR="00921E4B" w:rsidRPr="0082680A">
        <w:rPr>
          <w:color w:val="000000" w:themeColor="text1"/>
          <w:lang w:val="en-GB"/>
        </w:rPr>
        <w:t xml:space="preserve"> associated with </w:t>
      </w:r>
      <w:r w:rsidR="004567A3" w:rsidRPr="0082680A">
        <w:rPr>
          <w:color w:val="000000" w:themeColor="text1"/>
          <w:lang w:val="en-GB"/>
        </w:rPr>
        <w:t>rheumatoid arthritis, but are also linked to a number of other autoimmun</w:t>
      </w:r>
      <w:r w:rsidR="001851F5" w:rsidRPr="0082680A">
        <w:rPr>
          <w:color w:val="000000" w:themeColor="text1"/>
          <w:lang w:val="en-GB"/>
        </w:rPr>
        <w:t xml:space="preserve">e arthritides, reflected by the presence </w:t>
      </w:r>
      <w:r w:rsidR="004567A3" w:rsidRPr="0082680A">
        <w:rPr>
          <w:color w:val="000000" w:themeColor="text1"/>
          <w:lang w:val="en-GB"/>
        </w:rPr>
        <w:t xml:space="preserve">of </w:t>
      </w:r>
      <w:r w:rsidR="006F2448" w:rsidRPr="0082680A">
        <w:rPr>
          <w:color w:val="000000" w:themeColor="text1"/>
          <w:lang w:val="en-GB"/>
        </w:rPr>
        <w:t xml:space="preserve">a large number of </w:t>
      </w:r>
      <w:r w:rsidR="004567A3" w:rsidRPr="0082680A">
        <w:rPr>
          <w:i/>
          <w:color w:val="000000" w:themeColor="text1"/>
          <w:lang w:val="en-GB"/>
        </w:rPr>
        <w:t>STAT4</w:t>
      </w:r>
      <w:r w:rsidR="006F2448" w:rsidRPr="0082680A">
        <w:rPr>
          <w:color w:val="000000" w:themeColor="text1"/>
          <w:lang w:val="en-GB"/>
        </w:rPr>
        <w:t xml:space="preserve"> GWAS variants in 3 out of the </w:t>
      </w:r>
      <w:r w:rsidR="004567A3" w:rsidRPr="0082680A">
        <w:rPr>
          <w:color w:val="000000" w:themeColor="text1"/>
          <w:lang w:val="en-GB"/>
        </w:rPr>
        <w:t>5 conditions</w:t>
      </w:r>
      <w:r w:rsidR="006F2448" w:rsidRPr="0082680A">
        <w:rPr>
          <w:color w:val="000000" w:themeColor="text1"/>
          <w:lang w:val="en-GB"/>
        </w:rPr>
        <w:t xml:space="preserve"> we have associated with autoimmune arthritis</w:t>
      </w:r>
      <w:r w:rsidR="00502947" w:rsidRPr="0082680A">
        <w:rPr>
          <w:color w:val="000000" w:themeColor="text1"/>
          <w:lang w:val="en-GB"/>
        </w:rPr>
        <w:t xml:space="preserve"> (Table </w:t>
      </w:r>
      <w:r w:rsidR="00066B5A">
        <w:rPr>
          <w:color w:val="000000" w:themeColor="text1"/>
          <w:lang w:val="en-GB"/>
        </w:rPr>
        <w:t>62</w:t>
      </w:r>
      <w:r w:rsidR="00502947" w:rsidRPr="0082680A">
        <w:rPr>
          <w:color w:val="000000" w:themeColor="text1"/>
          <w:lang w:val="en-GB"/>
        </w:rPr>
        <w:t>)</w:t>
      </w:r>
      <w:r w:rsidR="004567A3" w:rsidRPr="0082680A">
        <w:rPr>
          <w:color w:val="000000" w:themeColor="text1"/>
          <w:lang w:val="en-GB"/>
        </w:rPr>
        <w:t xml:space="preserve"> </w:t>
      </w:r>
      <w:r w:rsidR="004567A3" w:rsidRPr="0082680A">
        <w:rPr>
          <w:color w:val="000000" w:themeColor="text1"/>
          <w:lang w:val="en-GB"/>
        </w:rPr>
        <w:fldChar w:fldCharType="begin" w:fldLock="1"/>
      </w:r>
      <w:r w:rsidR="000507BA">
        <w:rPr>
          <w:color w:val="000000" w:themeColor="text1"/>
          <w:lang w:val="en-GB"/>
        </w:rPr>
        <w:instrText>ADDIN CSL_CITATION {"citationItems":[{"id":"ITEM-1","itemData":{"DOI":"10.3969/j.issn.1672-7347.2011.02.003","ISSN":"1672-7347","PMID":"21368418","abstract":"OBJECTIVE To study the activation of Janus protein tyrosine kinase (JAK)/signal transducer and activator of transcription 1 (STAT1) signaling pathway and its inhibitor-signal transducer and activator of transcription-1(SOCS-1) in patients with systemic lupus erythematosus. METHODS A total of 45 patients with active systemic lupus erythematosus (SLE) and 30 healthy controls were randomly selected. Western blot was performed to measure the expression of Stat1 protein and phospho-Stat1 protein (an activated form of Stat1 protein) in the monocytes after stimulation with recombinant high mobility group box1 (rHMGB1) at various time points. Expression of Stat1 protein in the skin or lesional skin was also detected. Phasic expressions of SOCS-1 mRNA in the monocytes after rHMGB1 stimulation were detected by real-time reverse transcription-polymerase chain reaction. SOCS-1 gene expression in the skin or lesional skin was also detected. RESULTS The expression level of Stat1 proteins in the monocytes from patients with SLE was higher than that from healthy controls (t=9.16, P&lt;0.01) and positively correlated with SLE disease activity index (SLEDAI) (r=0.59, P&lt;0.01). Expression of phospho-Stat1 in the monocytes from SLE patients was time-dependently upregulated after stimulation with rHMGB1 at various time points, while expression of SOCS-1 mRNA remained unchanged (all P&gt;0.05). Expressions of phospho-Stat1 protein and SOCS-1 mRNA in the monocytes from healthy controls were increased transiently after stimulation with rHMGB1 (all P&lt;0.05). Both expressions of phospho-Stat1 protein and SOCS-1 gene in the lesional skin from patients with SLE were upregulated compared with those in normal skin from healthy controls (all P&lt;0.01). CONCLUSION There are hyperactivation of JAK-STAT1 signaling pathway and negative feedback down-regulation of SOCS-1 in patients with systemic lupus erythematosus. HMGB-1 may be partly involved in the pathogenesis of SLE by the abnormal mediating function of JAK-STAT1 signal transduction pathway.","author":[{"dropping-particle":"","family":"Li","given":"Jie","non-dropping-particle":"","parse-names":false,"suffix":""},{"dropping-particle":"","family":"Zhao","given":"Shuang","non-dropping-particle":"","parse-names":false,"suffix":""},{"dropping-particle":"","family":"Yi","given":"Mei","non-dropping-particle":"","parse-names":false,"suffix":""},{"dropping-particle":"","family":"Hu","given":"Xing","non-dropping-particle":"","parse-names":false,"suffix":""},{"dropping-particle":"","family":"Li","given":"Ji","non-dropping-particle":"","parse-names":false,"suffix":""},{"dropping-particle":"","family":"Xie","given":"Hongfu","non-dropping-particle":"","parse-names":false,"suffix":""},{"dropping-particle":"","family":"Zhu","given":"Wu","non-dropping-particle":"","parse-names":false,"suffix":""},{"dropping-particle":"","family":"Chen","given":"Mingliang","non-dropping-particle":"","parse-names":false,"suffix":""}],"container-title":"Zhong nan da xue xue bao. Yi xue ban = Journal of Central South University. Medical sciences","id":"ITEM-1","issue":"2","issued":{"date-parts":[["2011","2"]]},"page":"109-15","title":"Activation of JAK-STAT1 signal transduction pathway in lesional skin and monocytes from patients with systemic lupus erythematosus.","type":"article-journal","volume":"36"},"uris":["http://www.mendeley.com/documents/?uuid=9a4b1c9b-a901-35b8-ae09-8849b64aae84"]},{"id":"ITEM-2","itemData":{"DOI":"10.1136/ard.2005.037929","ISSN":"0003-4967","PMID":"16096332","abstract":"BACKGROUND Modulation of Jak-STAT signalling may provide an effective therapeutic strategy in inflammatory arthritis. OBJECTIVE To document Jak-STAT expression in a cohort of patients with active rheumatoid arthritis (RA), spondyloarthritis (SpA), and osteoarthritis (OA) and compare these subsets with normal synovial tissue. METHODS Synovial tissue biopsy specimens from patients with RA, OA, and SpA and histologically normal tissue (n = 10 in each arthritis group) were examined for the presence of Jak3, STAT1, STAT4, and STAT6 expression using immunohistochemistry. Phenotyping was performed using immunohistochemistry and immunofluorescence. Clinical and serological characteristics of patients with RA expressing Jak3-STAT4 were assessed. RESULTS STAT1, STAT4, and Jak3 protein expression was generally increased in inflammatory arthritis. In contrast, STAT6 expression was relatively heterogeneous. A subpopulation of CD1a positive dendritic cells unique to seropositive patients with RA was detected. These cells showed intense protein expression for Jak3, STAT4, and STAT6. CONCLUSION CD1a positive dendritic cells intensely express Jak3, STAT4, and STAT6 in seropositive RA tissue and may be an alternative marker for dendritic cells in their early stages of activation as well as providing a tool for identifying RA at the level of the synovium. Jak3 inhibition may be a potential therapeutic target to prevent dendritic cell maturation in RA. STAT1 expression is increased in inflammatory arthritis, suggesting that its pro-apoptotic and anti-inflammatory effects cannot effectively counteract inflammation. STAT6 expression is heterogeneous in synovium, suggesting a possible homoeostatic role in addition to any anti-inflammatory effects.","author":[{"dropping-particle":"","family":"Walker","given":"J G","non-dropping-particle":"","parse-names":false,"suffix":""},{"dropping-particle":"","family":"Ahern","given":"M J","non-dropping-particle":"","parse-names":false,"suffix":""},{"dropping-particle":"","family":"Coleman","given":"M","non-dropping-particle":"","parse-names":false,"suffix":""},{"dropping-particle":"","family":"Weedon","given":"H","non-dropping-particle":"","parse-names":false,"suffix":""},{"dropping-particle":"","family":"Papangelis","given":"V","non-dropping-particle":"","parse-names":false,"suffix":""},{"dropping-particle":"","family":"Beroukas","given":"D","non-dropping-particle":"","parse-names":false,"suffix":""},{"dropping-particle":"","family":"Roberts-Thomson","given":"P J","non-dropping-particle":"","parse-names":false,"suffix":""},{"dropping-particle":"","family":"Smith","given":"M D","non-dropping-particle":"","parse-names":false,"suffix":""}],"container-title":"Annals of the rheumatic diseases","id":"ITEM-2","issue":"2","issued":{"date-parts":[["2006","2","1"]]},"page":"149-56","publisher":"BMJ Publishing Group Ltd","title":"Expression of Jak3, STAT1, STAT4, and STAT6 in inflammatory arthritis: unique Jak3 and STAT4 expression in dendritic cells in seropositive rheumatoid arthritis.","type":"article-journal","volume":"65"},"uris":["http://www.mendeley.com/documents/?uuid=51ae422e-d93a-3f3e-bb1e-a881a69d7fd4"]}],"mendeley":{"formattedCitation":"&lt;sup&gt;445,446&lt;/sup&gt;","plainTextFormattedCitation":"445,446","previouslyFormattedCitation":"&lt;sup&gt;445,446&lt;/sup&gt;"},"properties":{"noteIndex":0},"schema":"https://github.com/citation-style-language/schema/raw/master/csl-citation.json"}</w:instrText>
      </w:r>
      <w:r w:rsidR="004567A3" w:rsidRPr="0082680A">
        <w:rPr>
          <w:color w:val="000000" w:themeColor="text1"/>
          <w:lang w:val="en-GB"/>
        </w:rPr>
        <w:fldChar w:fldCharType="separate"/>
      </w:r>
      <w:r w:rsidR="00426B19" w:rsidRPr="00426B19">
        <w:rPr>
          <w:noProof/>
          <w:color w:val="000000" w:themeColor="text1"/>
          <w:vertAlign w:val="superscript"/>
          <w:lang w:val="en-GB"/>
        </w:rPr>
        <w:t>445,446</w:t>
      </w:r>
      <w:r w:rsidR="004567A3" w:rsidRPr="0082680A">
        <w:rPr>
          <w:color w:val="000000" w:themeColor="text1"/>
          <w:lang w:val="en-GB"/>
        </w:rPr>
        <w:fldChar w:fldCharType="end"/>
      </w:r>
      <w:r w:rsidR="004567A3" w:rsidRPr="0082680A">
        <w:rPr>
          <w:color w:val="000000" w:themeColor="text1"/>
          <w:lang w:val="en-GB"/>
        </w:rPr>
        <w:t xml:space="preserve">. </w:t>
      </w:r>
      <w:r w:rsidR="001851F5" w:rsidRPr="0082680A">
        <w:rPr>
          <w:color w:val="000000" w:themeColor="text1"/>
          <w:lang w:val="en-GB"/>
        </w:rPr>
        <w:t xml:space="preserve">These </w:t>
      </w:r>
      <w:r w:rsidR="00232616" w:rsidRPr="0082680A">
        <w:rPr>
          <w:color w:val="000000" w:themeColor="text1"/>
          <w:lang w:val="en-GB"/>
        </w:rPr>
        <w:t xml:space="preserve">genes scored highly on a number of our upstream measures, also reflected by the fact </w:t>
      </w:r>
      <w:r w:rsidR="00081D1A" w:rsidRPr="0082680A">
        <w:rPr>
          <w:color w:val="000000" w:themeColor="text1"/>
          <w:lang w:val="en-GB"/>
        </w:rPr>
        <w:t xml:space="preserve">that variants in </w:t>
      </w:r>
      <w:r w:rsidR="00081D1A" w:rsidRPr="0082680A">
        <w:rPr>
          <w:i/>
          <w:color w:val="000000" w:themeColor="text1"/>
          <w:lang w:val="en-GB"/>
        </w:rPr>
        <w:t>ST</w:t>
      </w:r>
      <w:r w:rsidR="005414E3" w:rsidRPr="0082680A">
        <w:rPr>
          <w:i/>
          <w:color w:val="000000" w:themeColor="text1"/>
          <w:lang w:val="en-GB"/>
        </w:rPr>
        <w:t>AT4</w:t>
      </w:r>
      <w:r w:rsidR="005414E3" w:rsidRPr="0082680A">
        <w:rPr>
          <w:color w:val="000000" w:themeColor="text1"/>
          <w:lang w:val="en-GB"/>
        </w:rPr>
        <w:t xml:space="preserve"> have been associated with the efficacy of rheumatological drugs etanercept and </w:t>
      </w:r>
      <w:proofErr w:type="spellStart"/>
      <w:r w:rsidR="005414E3" w:rsidRPr="0082680A">
        <w:rPr>
          <w:color w:val="000000" w:themeColor="text1"/>
          <w:lang w:val="en-GB"/>
        </w:rPr>
        <w:t>ustekinumab</w:t>
      </w:r>
      <w:proofErr w:type="spellEnd"/>
      <w:r w:rsidR="005414E3" w:rsidRPr="0082680A">
        <w:rPr>
          <w:color w:val="000000" w:themeColor="text1"/>
          <w:lang w:val="en-GB"/>
        </w:rPr>
        <w:t xml:space="preserve"> </w:t>
      </w:r>
      <w:r w:rsidR="0077707A" w:rsidRPr="0082680A">
        <w:rPr>
          <w:color w:val="000000" w:themeColor="text1"/>
          <w:lang w:val="en-GB"/>
        </w:rPr>
        <w:fldChar w:fldCharType="begin" w:fldLock="1"/>
      </w:r>
      <w:r w:rsidR="000507BA">
        <w:rPr>
          <w:color w:val="000000" w:themeColor="text1"/>
          <w:lang w:val="en-GB"/>
        </w:rPr>
        <w:instrText>ADDIN CSL_CITATION {"citationItems":[{"id":"ITEM-1","itemData":{"DOI":"10.1371/journal.pone.0169956","ISSN":"1932-6203","PMID":"28107378","abstract":"OBJECTIVE Rheumatoid Arthritis (RA) is a progressive autoimmune disease characterized by chronic joint inflammation and structural damage. Remission or at least low disease activity (LDA) represent potentially desirable goals of RA treatment. Single nucleotide polymorphisms (SNPs) in several genes might be useful for prediction of response to therapy. We aimed at exploring 4 SNPs in candidate genes (STAT4, PTPN2, PSORS1C1 and TRAF3IP2) in order to investigate their potential role in the response to therapy with tumor necrosis factor inhibitors (TNF-i) in RA patients. METHODS In 171 RA patients we investigated the following SNPs: rs7574865 (STAT4), rs2233945 (PSORS1C1), rs7234029 (PTPN2) and rs33980500 (TRAF3IP2). Remission, LDA, and EULAR response were registered at 6 months and 2 years after initiation of first line TNF-i [Adalimumab (ADA) and Etanercept (ETN)]. RESULTS STAT4 variant allele was associated with the absence of a good/moderate EULAR response at 2 years of treatment in the whole RA group and in ETN treated patients. The PTPN2 SNP was associated with no good/moderate EULAR response at 6 months in ADA treated patients. Patients carrying PSORS1C1 variant allele did not reach LDA at 6 months in both the whole RA group and ETN treated patients. TRAF3IP2 variant allele was associated with the lack of LDA and remission achievement at 6 months in all RA cohort while an association with no EULAR response at 2 years of treatment occurred only in ETN treated patients. CONCLUSIONS For the first time, we reported that SNPs in STAT4, PTPN2, PSORS1C1, and TRAF3IP2 are associated with response to TNF-i treatment in RA patients; however, these findings should be validated in a larger population.","author":[{"dropping-particle":"","family":"Conigliaro","given":"Paola","non-dropping-particle":"","parse-names":false,"suffix":""},{"dropping-particle":"","family":"Ciccacci","given":"Cinzia","non-dropping-particle":"","parse-names":false,"suffix":""},{"dropping-particle":"","family":"Politi","given":"Cristina","non-dropping-particle":"","parse-names":false,"suffix":""},{"dropping-particle":"","family":"Triggianese","given":"Paola","non-dropping-particle":"","parse-names":false,"suffix":""},{"dropping-particle":"","family":"Rufini","given":"Sara","non-dropping-particle":"","parse-names":false,"suffix":""},{"dropping-particle":"","family":"Kroegler","given":"Barbara","non-dropping-particle":"","parse-names":false,"suffix":""},{"dropping-particle":"","family":"Perricone","given":"Carlo","non-dropping-particle":"","parse-names":false,"suffix":""},{"dropping-particle":"","family":"Latini","given":"Andrea","non-dropping-particle":"","parse-names":false,"suffix":""},{"dropping-particle":"","family":"Novelli","given":"Giuseppe","non-dropping-particle":"","parse-names":false,"suffix":""},{"dropping-particle":"","family":"Borgiani","given":"Paola","non-dropping-particle":"","parse-names":false,"suffix":""},{"dropping-particle":"","family":"Perricone","given":"Roberto","non-dropping-particle":"","parse-names":false,"suffix":""}],"container-title":"PLOS ONE","editor":[{"dropping-particle":"","family":"Ahuja","given":"Sunil K","non-dropping-particle":"","parse-names":false,"suffix":""}],"id":"ITEM-1","issue":"1","issued":{"date-parts":[["2017","1","20"]]},"page":"e0169956","title":"Polymorphisms in STAT4, PTPN2, PSORS1C1 and TRAF3IP2 Genes Are Associated with the Response to TNF Inhibitors in Patients with Rheumatoid Arthritis","type":"article-journal","volume":"12"},"uris":["http://www.mendeley.com/documents/?uuid=e541e7d4-c51e-30c5-8e6e-c4373abfb11c"]},{"id":"ITEM-2","itemData":{"DOI":"10.2217/pgs-2016-0122","ISSN":"1744-8042","PMID":"27977334","abstract":"Aim/Materials &amp; methods: Few studies have evaluated the influence of pharmacogenetics in psoriatic patients treated with ustekinumab. We evaluated 121 polymorphisms to study a possible association between these SNPs and the response to ustekinumab (PASI75 at 4 months; n = 69). RESULTS/CONCLUSION The adjusted results (false discovery rate) showed an association between five SNPs in TNFRSF1A, HTR2A, NFKBIA, ADAM33 and IL13 genes, and poor response to ustekinumab. Furthermore, six SNPs in CHUK, C17orf51, ZNF816A, STAT4, SLC22A4 and Corf72 genes were associated with better response to ustekinumab. However, there was no significant association between response to ustekinumab and SNPs in HLA-C as it has been recently described. Finally, a higher weight was obtained in nonresponders than responders (p = 0.018). Further studies would be necessary to be closer to personalized medicine.","author":[{"dropping-particle":"","family":"Prieto-Pérez","given":"Rocío","non-dropping-particle":"","parse-names":false,"suffix":""},{"dropping-particle":"","family":"Llamas-Velasco","given":"Mar","non-dropping-particle":"","parse-names":false,"suffix":""},{"dropping-particle":"","family":"Cabaleiro","given":"Teresa","non-dropping-particle":"","parse-names":false,"suffix":""},{"dropping-particle":"","family":"Solano-López","given":"Guillermo","non-dropping-particle":"","parse-names":false,"suffix":""},{"dropping-particle":"","family":"Márquez","given":"Beatriz","non-dropping-particle":"","parse-names":false,"suffix":""},{"dropping-particle":"","family":"Román","given":"Manuel","non-dropping-particle":"","parse-names":false,"suffix":""},{"dropping-particle":"","family":"Ochoa","given":"Dolores","non-dropping-particle":"","parse-names":false,"suffix":""},{"dropping-particle":"","family":"Talegón","given":"María","non-dropping-particle":"","parse-names":false,"suffix":""},{"dropping-particle":"","family":"Daudén","given":"Esteban","non-dropping-particle":"","parse-names":false,"suffix":""},{"dropping-particle":"","family":"Abad-Santos","given":"Francisco","non-dropping-particle":"","parse-names":false,"suffix":""}],"container-title":"Pharmacogenomics","id":"ITEM-2","issue":"2","issued":{"date-parts":[["2017","1"]]},"page":"157-164","title":"Pharmacogenetics of ustekinumab in patients with moderate-to-severe plaque psoriasis.","type":"article-journal","volume":"18"},"uris":["http://www.mendeley.com/documents/?uuid=1d01767d-206b-3785-9f4e-23ea58d39eb4"]}],"mendeley":{"formattedCitation":"&lt;sup&gt;447,448&lt;/sup&gt;","plainTextFormattedCitation":"447,448","previouslyFormattedCitation":"&lt;sup&gt;447,448&lt;/sup&gt;"},"properties":{"noteIndex":0},"schema":"https://github.com/citation-style-language/schema/raw/master/csl-citation.json"}</w:instrText>
      </w:r>
      <w:r w:rsidR="0077707A" w:rsidRPr="0082680A">
        <w:rPr>
          <w:color w:val="000000" w:themeColor="text1"/>
          <w:lang w:val="en-GB"/>
        </w:rPr>
        <w:fldChar w:fldCharType="separate"/>
      </w:r>
      <w:r w:rsidR="00426B19" w:rsidRPr="00426B19">
        <w:rPr>
          <w:noProof/>
          <w:color w:val="000000" w:themeColor="text1"/>
          <w:vertAlign w:val="superscript"/>
          <w:lang w:val="en-GB"/>
        </w:rPr>
        <w:t>447,448</w:t>
      </w:r>
      <w:r w:rsidR="0077707A" w:rsidRPr="0082680A">
        <w:rPr>
          <w:color w:val="000000" w:themeColor="text1"/>
          <w:lang w:val="en-GB"/>
        </w:rPr>
        <w:fldChar w:fldCharType="end"/>
      </w:r>
      <w:r w:rsidR="0077707A" w:rsidRPr="0082680A">
        <w:rPr>
          <w:color w:val="000000" w:themeColor="text1"/>
          <w:lang w:val="en-GB"/>
        </w:rPr>
        <w:t>.</w:t>
      </w:r>
    </w:p>
    <w:p w14:paraId="5EA8F435" w14:textId="0E7838F4" w:rsidR="00ED48B0" w:rsidRPr="0082680A" w:rsidRDefault="00ED48B0" w:rsidP="00057CB0">
      <w:pPr>
        <w:rPr>
          <w:color w:val="000000" w:themeColor="text1"/>
          <w:lang w:val="en-GB"/>
        </w:rPr>
      </w:pPr>
    </w:p>
    <w:p w14:paraId="65344E3B" w14:textId="3C251E24" w:rsidR="00FC36C4" w:rsidRPr="0082680A" w:rsidRDefault="00ED48B0" w:rsidP="00057CB0">
      <w:pPr>
        <w:rPr>
          <w:color w:val="000000" w:themeColor="text1"/>
          <w:lang w:val="en-GB"/>
        </w:rPr>
      </w:pPr>
      <w:r w:rsidRPr="0082680A">
        <w:rPr>
          <w:color w:val="000000" w:themeColor="text1"/>
          <w:lang w:val="en-GB"/>
        </w:rPr>
        <w:t xml:space="preserve">Finally, with a score of 19, </w:t>
      </w:r>
      <w:r w:rsidR="00CB3BAB" w:rsidRPr="0082680A">
        <w:rPr>
          <w:color w:val="000000" w:themeColor="text1"/>
          <w:lang w:val="en-GB"/>
        </w:rPr>
        <w:t xml:space="preserve">was the gene </w:t>
      </w:r>
      <w:r w:rsidR="00CB3BAB" w:rsidRPr="0082680A">
        <w:rPr>
          <w:i/>
          <w:color w:val="000000" w:themeColor="text1"/>
          <w:lang w:val="en-GB"/>
        </w:rPr>
        <w:t>PTPRC</w:t>
      </w:r>
      <w:r w:rsidR="00CB3BAB" w:rsidRPr="0082680A">
        <w:rPr>
          <w:color w:val="000000" w:themeColor="text1"/>
          <w:lang w:val="en-GB"/>
        </w:rPr>
        <w:t xml:space="preserve">, otherwise known as </w:t>
      </w:r>
      <w:r w:rsidR="00E57BD6" w:rsidRPr="0082680A">
        <w:rPr>
          <w:color w:val="000000" w:themeColor="text1"/>
          <w:lang w:val="en-GB"/>
        </w:rPr>
        <w:t xml:space="preserve">Protein Tyrosine Phosphatase, Receptor Type C. </w:t>
      </w:r>
      <w:r w:rsidR="00CC399E" w:rsidRPr="0082680A">
        <w:rPr>
          <w:color w:val="000000" w:themeColor="text1"/>
          <w:lang w:val="en-GB"/>
        </w:rPr>
        <w:t>PTPRC is an essential regul</w:t>
      </w:r>
      <w:r w:rsidR="002D2EC9" w:rsidRPr="0082680A">
        <w:rPr>
          <w:color w:val="000000" w:themeColor="text1"/>
          <w:lang w:val="en-GB"/>
        </w:rPr>
        <w:t xml:space="preserve">ator of T- and B-Cell activity, </w:t>
      </w:r>
      <w:r w:rsidR="000707E1" w:rsidRPr="0082680A">
        <w:rPr>
          <w:color w:val="000000" w:themeColor="text1"/>
          <w:lang w:val="en-GB"/>
        </w:rPr>
        <w:t>and has been associated with</w:t>
      </w:r>
      <w:r w:rsidR="00C91CA4" w:rsidRPr="0082680A">
        <w:rPr>
          <w:color w:val="000000" w:themeColor="text1"/>
          <w:lang w:val="en-GB"/>
        </w:rPr>
        <w:t xml:space="preserve"> response to</w:t>
      </w:r>
      <w:r w:rsidR="000707E1" w:rsidRPr="0082680A">
        <w:rPr>
          <w:color w:val="000000" w:themeColor="text1"/>
          <w:lang w:val="en-GB"/>
        </w:rPr>
        <w:t xml:space="preserve"> anti-TNF</w:t>
      </w:r>
      <w:r w:rsidR="00D50410" w:rsidRPr="0082680A">
        <w:rPr>
          <w:color w:val="000000" w:themeColor="text1"/>
          <w:lang w:val="en-GB"/>
        </w:rPr>
        <w:t xml:space="preserve"> therapy </w:t>
      </w:r>
      <w:r w:rsidR="00D50410" w:rsidRPr="0082680A">
        <w:rPr>
          <w:color w:val="000000" w:themeColor="text1"/>
          <w:lang w:val="en-GB"/>
        </w:rPr>
        <w:fldChar w:fldCharType="begin" w:fldLock="1"/>
      </w:r>
      <w:r w:rsidR="000507BA">
        <w:rPr>
          <w:color w:val="000000" w:themeColor="text1"/>
          <w:lang w:val="en-GB"/>
        </w:rPr>
        <w:instrText>ADDIN CSL_CITATION {"citationItems":[{"id":"ITEM-1","itemData":{"DOI":"10.1002/art.27457","ISSN":"1529-0131","PMID":"20309874","abstract":"OBJECTIVE Anti-tumor necrosis factor alpha (anti-TNF) therapy is a mainstay of treatment in rheumatoid arthritis (RA). The aim of the present study was to test established RA genetic risk factors to determine whether the same alleles also influence the response to anti-TNF therapy. METHODS A total of 1,283 RA patients receiving etanercept, infliximab, or adalimumab therapy were studied from among an international collaborative consortium of 9 different RA cohorts. The primary end point compared RA patients with a good treatment response according to the European League Against Rheumatism (EULAR) response criteria (n = 505) with RA patients considered to be nonresponders (n = 316). The secondary end point was the change from baseline in the level of disease activity according to the Disease Activity Score in 28 joints (triangle upDAS28). Clinical factors such as age, sex, and concomitant medications were tested as possible correlates of treatment response. Thirty-one single-nucleotide polymorphisms (SNPs) associated with the risk of RA were genotyped and tested for any association with treatment response, using univariate and multivariate logistic regression models. RESULTS Of the 31 RA-associated risk alleles, a SNP at the PTPRC (also known as CD45) gene locus (rs10919563) was associated with the primary end point, a EULAR good response versus no response (odds ratio [OR] 0.55, P = 0.0001 in the multivariate model). Similar results were obtained using the secondary end point, the triangle upDAS28 (P = 0.0002). There was suggestive evidence of a stronger association in autoantibody-positive patients with RA (OR 0.55, 95% confidence interval [95% CI] 0.39-0.76) as compared with autoantibody-negative patients (OR 0.90, 95% CI 0.41-1.99). CONCLUSION Statistically significant associations were observed between the response to anti-TNF therapy and an RA risk allele at the PTPRC gene locus. Additional studies will be required to replicate this finding in additional patient collections.","author":[{"dropping-particle":"","family":"Cui","given":"Jing","non-dropping-particle":"","parse-names":false,"suffix":""},{"dropping-particle":"","family":"Saevarsdottir","given":"Saedis","non-dropping-particle":"","parse-names":false,"suffix":""},{"dropping-particle":"","family":"Thomson","given":"Brian","non-dropping-particle":"","parse-names":false,"suffix":""},{"dropping-particle":"","family":"Padyukov","given":"Leonid","non-dropping-particle":"","parse-names":false,"suffix":""},{"dropping-particle":"","family":"Helm-van Mil","given":"Annette H M","non-dropping-particle":"van der","parse-names":false,"suffix":""},{"dropping-particle":"","family":"Nititham","given":"Joanne","non-dropping-particle":"","parse-names":false,"suffix":""},{"dropping-particle":"","family":"Hughes","given":"Laura B","non-dropping-particle":"","parse-names":false,"suffix":""},{"dropping-particle":"","family":"Vries","given":"Niek","non-dropping-particle":"de","parse-names":false,"suffix":""},{"dropping-particle":"","family":"Raychaudhuri","given":"Soumya","non-dropping-particle":"","parse-names":false,"suffix":""},{"dropping-particle":"","family":"Alfredsson","given":"Lars","non-dropping-particle":"","parse-names":false,"suffix":""},{"dropping-particle":"","family":"Askling","given":"Johan","non-dropping-particle":"","parse-names":false,"suffix":""},{"dropping-particle":"","family":"Wedrén","given":"Sara","non-dropping-particle":"","parse-names":false,"suffix":""},{"dropping-particle":"","family":"Ding","given":"Bo","non-dropping-particle":"","parse-names":false,"suffix":""},{"dropping-particle":"","family":"Guiducci","given":"Candace","non-dropping-particle":"","parse-names":false,"suffix":""},{"dropping-particle":"","family":"Wolbink","given":"Gert Jan","non-dropping-particle":"","parse-names":false,"suffix":""},{"dropping-particle":"","family":"Crusius","given":"J Bart A","non-dropping-particle":"","parse-names":false,"suffix":""},{"dropping-particle":"","family":"Horst-Bruinsma","given":"Irene E","non-dropping-particle":"van der","parse-names":false,"suffix":""},{"dropping-particle":"","family":"Herenius","given":"Marieke","non-dropping-particle":"","parse-names":false,"suffix":""},{"dropping-particle":"","family":"Weinblatt","given":"Michael E","non-dropping-particle":"","parse-names":false,"suffix":""},{"dropping-particle":"","family":"Shadick","given":"Nancy A","non-dropping-particle":"","parse-names":false,"suffix":""},{"dropping-particle":"","family":"Worthington","given":"Jane","non-dropping-particle":"","parse-names":false,"suffix":""},{"dropping-particle":"","family":"Batliwalla","given":"Franak","non-dropping-particle":"","parse-names":false,"suffix":""},{"dropping-particle":"","family":"Kern","given":"Marlena","non-dropping-particle":"","parse-names":false,"suffix":""},{"dropping-particle":"","family":"Morgan","given":"Ann W","non-dropping-particle":"","parse-names":false,"suffix":""},{"dropping-particle":"","family":"Wilson","given":"Anthony G","non-dropping-particle":"","parse-names":false,"suffix":""},{"dropping-particle":"","family":"Isaacs","given":"John D","non-dropping-particle":"","parse-names":false,"suffix":""},{"dropping-particle":"","family":"Hyrich","given":"Kimme","non-dropping-particle":"","parse-names":false,"suffix":""},{"dropping-particle":"","family":"Seldin","given":"Michael F","non-dropping-particle":"","parse-names":false,"suffix":""},{"dropping-particle":"","family":"Moreland","given":"Larry W","non-dropping-particle":"","parse-names":false,"suffix":""},{"dropping-particle":"","family":"Behrens","given":"Timothy W","non-dropping-particle":"","parse-names":false,"suffix":""},{"dropping-particle":"","family":"Allaart","given":"Cornelia F","non-dropping-particle":"","parse-names":false,"suffix":""},{"dropping-particle":"","family":"Criswell","given":"Lindsey A","non-dropping-particle":"","parse-names":false,"suffix":""},{"dropping-particle":"","family":"Huizinga","given":"Tom W J","non-dropping-particle":"","parse-names":false,"suffix":""},{"dropping-particle":"","family":"Tak","given":"Paul P","non-dropping-particle":"","parse-names":false,"suffix":""},{"dropping-particle":"","family":"Bridges","given":"S Louis","non-dropping-particle":"","parse-names":false,"suffix":""},{"dropping-particle":"","family":"Toes","given":"Rene E M","non-dropping-particle":"","parse-names":false,"suffix":""},{"dropping-particle":"","family":"Barton","given":"Anne","non-dropping-particle":"","parse-names":false,"suffix":""},{"dropping-particle":"","family":"Klareskog","given":"Lars","non-dropping-particle":"","parse-names":false,"suffix":""},{"dropping-particle":"","family":"Gregersen","given":"Peter K","non-dropping-particle":"","parse-names":false,"suffix":""},{"dropping-particle":"","family":"Karlson","given":"Elizabeth W","non-dropping-particle":"","parse-names":false,"suffix":""},{"dropping-particle":"","family":"Plenge","given":"Robert M","non-dropping-particle":"","parse-names":false,"suffix":""}],"container-title":"Arthritis and rheumatism","id":"ITEM-1","issue":"7","issued":{"date-parts":[["2010","7"]]},"page":"1849-61","title":"Rheumatoid arthritis risk allele PTPRC is also associated with response to anti-tumor necrosis factor alpha therapy.","type":"article-journal","volume":"62"},"uris":["http://www.mendeley.com/documents/?uuid=8370050c-21de-3011-8dea-3f25b8116ac9"]},{"id":"ITEM-2","itemData":{"DOI":"10.1007/s10753-012-9544-4","ISSN":"1573-2576","PMID":"23007924","abstract":"In this study, we investigated whether genetic variants known to be related with susceptibility to rheumatoid arthritis (RA) are also associated with response to therapy with anti-tumor necrosis factor (anti-TNF) biologics; 233 patients enrolled in the Consortium of Rheumatology Researchers of North America (CORRONA) RA registry were studied. Findings were combined with results from an international collaborative study (N = 1,283) in a meta-analysis (N = 1,516). Multivariate models investigating the association between single nucleotide polymorphisms (SNPs) and change in RA disease activity were adjusted for age, gender, concomitant methotrexate, and baseline disease activity. In the CORRONA cohort, nominal associations with disease activity improvement were observed for the rs1980422 SNP of the CD28 gene in multivariate models (coefficient -0.377, p = 0.005) but were not significant after adjustment for multiple comparisons (q = 0.10). In the meta-analysis, the only SNP with nominal associations with change in DAS28 was the rs2812378 SNP of the CCL21 gene (coefficient 1.9195, p = 0.0068). This association was not significant after adjustment for multiple comparisons (q = 0.143). We conclude that the established RA risk alleles studied were not significantly associated with response to anti-TNF biologics in the CORRONA cohort or the meta-analysis.","author":[{"dropping-particle":"","family":"Pappas","given":"Dimitrios A","non-dropping-particle":"","parse-names":false,"suffix":""},{"dropping-particle":"","family":"Oh","given":"Cheongeun","non-dropping-particle":"","parse-names":false,"suffix":""},{"dropping-particle":"","family":"Plenge","given":"Robert M","non-dropping-particle":"","parse-names":false,"suffix":""},{"dropping-particle":"","family":"Kremer","given":"Joel M","non-dropping-particle":"","parse-names":false,"suffix":""},{"dropping-particle":"","family":"Greenberg","given":"Jeffrey D","non-dropping-particle":"","parse-names":false,"suffix":""}],"container-title":"Inflammation","id":"ITEM-2","issue":"2","issued":{"date-parts":[["2013","4","25"]]},"page":"279-84","title":"Association of rheumatoid arthritis risk alleles with response to anti-TNF biologics: results from the CORRONA registry and meta-analysis.","type":"article-journal","volume":"36"},"uris":["http://www.mendeley.com/documents/?uuid=01790507-3b27-341b-a554-4d3a22a8195e"]}],"mendeley":{"formattedCitation":"&lt;sup&gt;449,450&lt;/sup&gt;","plainTextFormattedCitation":"449,450","previouslyFormattedCitation":"&lt;sup&gt;449,450&lt;/sup&gt;"},"properties":{"noteIndex":0},"schema":"https://github.com/citation-style-language/schema/raw/master/csl-citation.json"}</w:instrText>
      </w:r>
      <w:r w:rsidR="00D50410" w:rsidRPr="0082680A">
        <w:rPr>
          <w:color w:val="000000" w:themeColor="text1"/>
          <w:lang w:val="en-GB"/>
        </w:rPr>
        <w:fldChar w:fldCharType="separate"/>
      </w:r>
      <w:r w:rsidR="00426B19" w:rsidRPr="00426B19">
        <w:rPr>
          <w:noProof/>
          <w:color w:val="000000" w:themeColor="text1"/>
          <w:vertAlign w:val="superscript"/>
          <w:lang w:val="en-GB"/>
        </w:rPr>
        <w:t>449,450</w:t>
      </w:r>
      <w:r w:rsidR="00D50410" w:rsidRPr="0082680A">
        <w:rPr>
          <w:color w:val="000000" w:themeColor="text1"/>
          <w:lang w:val="en-GB"/>
        </w:rPr>
        <w:fldChar w:fldCharType="end"/>
      </w:r>
      <w:r w:rsidR="00C91CA4" w:rsidRPr="0082680A">
        <w:rPr>
          <w:color w:val="000000" w:themeColor="text1"/>
          <w:lang w:val="en-GB"/>
        </w:rPr>
        <w:t>.</w:t>
      </w:r>
      <w:r w:rsidR="00243603" w:rsidRPr="0082680A">
        <w:rPr>
          <w:color w:val="000000" w:themeColor="text1"/>
          <w:lang w:val="en-GB"/>
        </w:rPr>
        <w:t xml:space="preserve"> Another protein tyrosine phosphatase, PTPN2</w:t>
      </w:r>
      <w:r w:rsidR="004E07F8" w:rsidRPr="0082680A">
        <w:rPr>
          <w:color w:val="000000" w:themeColor="text1"/>
          <w:lang w:val="en-GB"/>
        </w:rPr>
        <w:t>2</w:t>
      </w:r>
      <w:r w:rsidR="00243603" w:rsidRPr="0082680A">
        <w:rPr>
          <w:color w:val="000000" w:themeColor="text1"/>
          <w:lang w:val="en-GB"/>
        </w:rPr>
        <w:t xml:space="preserve">, has been </w:t>
      </w:r>
      <w:r w:rsidR="00DD6C87" w:rsidRPr="0082680A">
        <w:rPr>
          <w:color w:val="000000" w:themeColor="text1"/>
          <w:lang w:val="en-GB"/>
        </w:rPr>
        <w:t xml:space="preserve">significantly associated with both </w:t>
      </w:r>
      <w:r w:rsidR="007121BC" w:rsidRPr="0082680A">
        <w:rPr>
          <w:color w:val="000000" w:themeColor="text1"/>
          <w:lang w:val="en-GB"/>
        </w:rPr>
        <w:t>SLE</w:t>
      </w:r>
      <w:r w:rsidR="00DD6C87" w:rsidRPr="0082680A">
        <w:rPr>
          <w:color w:val="000000" w:themeColor="text1"/>
          <w:lang w:val="en-GB"/>
        </w:rPr>
        <w:t xml:space="preserve"> and </w:t>
      </w:r>
      <w:r w:rsidR="007121BC" w:rsidRPr="0082680A">
        <w:rPr>
          <w:color w:val="000000" w:themeColor="text1"/>
          <w:lang w:val="en-GB"/>
        </w:rPr>
        <w:t>JIA</w:t>
      </w:r>
      <w:r w:rsidR="00DD6C87" w:rsidRPr="0082680A">
        <w:rPr>
          <w:color w:val="000000" w:themeColor="text1"/>
          <w:lang w:val="en-GB"/>
        </w:rPr>
        <w:t xml:space="preserve"> </w:t>
      </w:r>
      <w:r w:rsidR="00F21E0E" w:rsidRPr="0082680A">
        <w:rPr>
          <w:color w:val="000000" w:themeColor="text1"/>
          <w:lang w:val="en-GB"/>
        </w:rPr>
        <w:fldChar w:fldCharType="begin" w:fldLock="1"/>
      </w:r>
      <w:r w:rsidR="000507BA">
        <w:rPr>
          <w:color w:val="000000" w:themeColor="text1"/>
          <w:lang w:val="en-GB"/>
        </w:rPr>
        <w:instrText>ADDIN CSL_CITATION {"citationItems":[{"id":"ITEM-1","itemData":{"DOI":"10.1097/BOR.0000000000000205","ISSN":"1531-6963","PMID":"26218512","abstract":"PURPOSE OF REVIEW The field of systemic lupus erythematosus (SLE) genetics has been advancing rapidly in recent years. This review will summarize recent advances in SLE genetics. RECENT FINDINGS Genome-wide-association and follow-up studies have greatly expanded the list of associated polymorphisms, and much current work strives to integrate these polymorphisms into immune system biology and the pathogenic mediators involved in the disease. This review covers some current areas of interest, including genetic studies in non-European SLE patient populations, studies of pathogenic immune system subphenotypes such as type I interferon and autoantibodies, and a rapidly growing body of work investigating the functional consequences of the genetic polymorphisms associated with SLE. SUMMARY These studies provide a fascinating window into human SLE disease biology. As the work proceeds from genetic association signal to altered human biology, we move closer to tailoring interventions based upon an individual's genetic substrate.","author":[{"dropping-particle":"","family":"Niewold","given":"Timothy B","non-dropping-particle":"","parse-names":false,"suffix":""}],"container-title":"Current opinion in rheumatology","id":"ITEM-1","issue":"5","issued":{"date-parts":[["2015","9"]]},"page":"440-7","publisher":"NIH Public Access","title":"Advances in lupus genetics.","type":"article-journal","volume":"27"},"uris":["http://www.mendeley.com/documents/?uuid=5eaf9f93-542f-3b37-a00b-d2c809d5deb9"]},{"id":"ITEM-2","itemData":{"DOI":"10.1186/1546-0096-6-11","PMID":"18644131","author":[{"dropping-particle":"","family":"Prahalad","given":"Sampath","non-dropping-particle":"","parse-names":false,"suffix":""},{"dropping-particle":"","family":"Glass","given":"David N","non-dropping-particle":"","parse-names":false,"suffix":""}],"container-title":"Pediatric Rheumatology Online Journal","id":"ITEM-2","issued":{"date-parts":[["2008"]]},"page":"11","publisher":"BioMed Central","title":"A comprehensive review of the genetics of juvenile idiopathic arthritis","type":"article-journal","volume":"6"},"uris":["http://www.mendeley.com/documents/?uuid=f04a607a-ee67-3a3c-9708-a0e28d76bf89"]},{"id":"ITEM-3","itemData":{"DOI":"10.2174/138920207783591690","ISSN":"1389-2029","PMID":"19412418","abstract":"The HLA region encodes several molecules that play key roles in the immune system. Strong association between the HLA region and autoimmune disease (AID) has been established for over fifty years. Association of components of the HLA class II encoded HLA-DRB1-DQA1-DQB1 haplotype has been detected with several AIDs, including rheumatoid arthritis, type 1 diabetes and Graves' disease. Molecules encoded by this region play a key role in exogenous antigen presentation to CD4+ Th cells, indicating the importance of this pathway in AID initiation and progression. Although other components of the HLA class I and III regions have also been investigated for association with AID, apart from the association of HLA-B*27 with ankylosing spondylitis, it has been difficult to determine additional susceptibility loci independent of the strong linkage disequilibrium (LD) with the HLA class II genes. Recent advances in the statistical analysis of LD and the recruitment of large AID datasets have allowed investigation of the HLA class I and III regions to be re-visited. Association of the HLA class I region, independent of known HLA class II effects, has now been detected for several AIDs, including strong association of HLA-B with type 1 diabetes and HLA-C with multiple sclerosis and Graves' disease. These results provide further evidence of a possible role for bacterial or viral infection and CD8+ T cells in AID onset. The advances being made in determining the primary associations within the HLA region and AIDs will not only increase our understanding of the mechanisms behind disease pathogenesis but may also aid in the development of novel therapeutic targets in the future.","author":[{"dropping-particle":"","family":"Gough","given":"S C L","non-dropping-particle":"","parse-names":false,"suffix":""},{"dropping-particle":"","family":"Simmonds","given":"M J","non-dropping-particle":"","parse-names":false,"suffix":""}],"container-title":"Current genomics","id":"ITEM-3","issue":"7","issued":{"date-parts":[["2007","11"]]},"page":"453-65","publisher":"Bentham Science Publishers","title":"The HLA Region and Autoimmune Disease: Associations and Mechanisms of Action.","type":"article-journal","volume":"8"},"uris":["http://www.mendeley.com/documents/?uuid=25168c99-3c2e-3286-b795-6ccf98b64867"]}],"mendeley":{"formattedCitation":"&lt;sup&gt;393,403,416&lt;/sup&gt;","plainTextFormattedCitation":"393,403,416","previouslyFormattedCitation":"&lt;sup&gt;393,403,416&lt;/sup&gt;"},"properties":{"noteIndex":0},"schema":"https://github.com/citation-style-language/schema/raw/master/csl-citation.json"}</w:instrText>
      </w:r>
      <w:r w:rsidR="00F21E0E" w:rsidRPr="0082680A">
        <w:rPr>
          <w:color w:val="000000" w:themeColor="text1"/>
          <w:lang w:val="en-GB"/>
        </w:rPr>
        <w:fldChar w:fldCharType="separate"/>
      </w:r>
      <w:r w:rsidR="00426B19" w:rsidRPr="00426B19">
        <w:rPr>
          <w:noProof/>
          <w:color w:val="000000" w:themeColor="text1"/>
          <w:vertAlign w:val="superscript"/>
          <w:lang w:val="en-GB"/>
        </w:rPr>
        <w:t>393,403,416</w:t>
      </w:r>
      <w:r w:rsidR="00F21E0E" w:rsidRPr="0082680A">
        <w:rPr>
          <w:color w:val="000000" w:themeColor="text1"/>
          <w:lang w:val="en-GB"/>
        </w:rPr>
        <w:fldChar w:fldCharType="end"/>
      </w:r>
      <w:r w:rsidR="00DD6C87" w:rsidRPr="0082680A">
        <w:rPr>
          <w:color w:val="000000" w:themeColor="text1"/>
          <w:lang w:val="en-GB"/>
        </w:rPr>
        <w:t>. In</w:t>
      </w:r>
      <w:r w:rsidR="008726F8" w:rsidRPr="0082680A">
        <w:rPr>
          <w:color w:val="000000" w:themeColor="text1"/>
          <w:lang w:val="en-GB"/>
        </w:rPr>
        <w:t xml:space="preserve"> the</w:t>
      </w:r>
      <w:r w:rsidR="00736646">
        <w:rPr>
          <w:color w:val="000000" w:themeColor="text1"/>
          <w:lang w:val="en-GB"/>
        </w:rPr>
        <w:t xml:space="preserve"> </w:t>
      </w:r>
      <w:r w:rsidR="00DD6C87" w:rsidRPr="0082680A">
        <w:rPr>
          <w:color w:val="000000" w:themeColor="text1"/>
          <w:lang w:val="en-GB"/>
        </w:rPr>
        <w:t xml:space="preserve">GWAS </w:t>
      </w:r>
      <w:r w:rsidR="005D1D22" w:rsidRPr="0082680A">
        <w:rPr>
          <w:color w:val="000000" w:themeColor="text1"/>
          <w:lang w:val="en-GB"/>
        </w:rPr>
        <w:t>Catalog</w:t>
      </w:r>
      <w:r w:rsidR="008726F8" w:rsidRPr="0082680A">
        <w:rPr>
          <w:color w:val="000000" w:themeColor="text1"/>
          <w:lang w:val="en-GB"/>
        </w:rPr>
        <w:t xml:space="preserve"> datab</w:t>
      </w:r>
      <w:r w:rsidR="00117180" w:rsidRPr="0082680A">
        <w:rPr>
          <w:color w:val="000000" w:themeColor="text1"/>
          <w:lang w:val="en-GB"/>
        </w:rPr>
        <w:t>a</w:t>
      </w:r>
      <w:r w:rsidR="008726F8" w:rsidRPr="0082680A">
        <w:rPr>
          <w:color w:val="000000" w:themeColor="text1"/>
          <w:lang w:val="en-GB"/>
        </w:rPr>
        <w:t>se</w:t>
      </w:r>
      <w:r w:rsidR="00DD6C87" w:rsidRPr="0082680A">
        <w:rPr>
          <w:color w:val="000000" w:themeColor="text1"/>
          <w:lang w:val="en-GB"/>
        </w:rPr>
        <w:t xml:space="preserve">, mutations in </w:t>
      </w:r>
      <w:r w:rsidR="00DD6C87" w:rsidRPr="0082680A">
        <w:rPr>
          <w:i/>
          <w:color w:val="000000" w:themeColor="text1"/>
          <w:lang w:val="en-GB"/>
        </w:rPr>
        <w:t>PTPRC</w:t>
      </w:r>
      <w:r w:rsidR="00DD6C87" w:rsidRPr="0082680A">
        <w:rPr>
          <w:color w:val="000000" w:themeColor="text1"/>
          <w:lang w:val="en-GB"/>
        </w:rPr>
        <w:t xml:space="preserve"> have been associated with both </w:t>
      </w:r>
      <w:r w:rsidR="0001121F" w:rsidRPr="0082680A">
        <w:rPr>
          <w:color w:val="000000" w:themeColor="text1"/>
          <w:lang w:val="en-GB"/>
        </w:rPr>
        <w:t>RA and SLE</w:t>
      </w:r>
      <w:r w:rsidR="00666C92" w:rsidRPr="0082680A">
        <w:rPr>
          <w:color w:val="000000" w:themeColor="text1"/>
          <w:lang w:val="en-GB"/>
        </w:rPr>
        <w:t xml:space="preserve"> (Table </w:t>
      </w:r>
      <w:r w:rsidR="00066B5A">
        <w:rPr>
          <w:color w:val="000000" w:themeColor="text1"/>
          <w:lang w:val="en-GB"/>
        </w:rPr>
        <w:t>63</w:t>
      </w:r>
      <w:r w:rsidR="00666C92" w:rsidRPr="0082680A">
        <w:rPr>
          <w:color w:val="000000" w:themeColor="text1"/>
          <w:lang w:val="en-GB"/>
        </w:rPr>
        <w:t>)</w:t>
      </w:r>
      <w:r w:rsidR="0001121F" w:rsidRPr="0082680A">
        <w:rPr>
          <w:color w:val="000000" w:themeColor="text1"/>
          <w:lang w:val="en-GB"/>
        </w:rPr>
        <w:t xml:space="preserve">. </w:t>
      </w:r>
      <w:r w:rsidR="00666C92" w:rsidRPr="0082680A">
        <w:rPr>
          <w:color w:val="000000" w:themeColor="text1"/>
          <w:lang w:val="en-GB"/>
        </w:rPr>
        <w:t xml:space="preserve">In our prioritisation analysis, </w:t>
      </w:r>
      <w:r w:rsidR="00666C92" w:rsidRPr="0082680A">
        <w:rPr>
          <w:i/>
          <w:color w:val="000000" w:themeColor="text1"/>
          <w:lang w:val="en-GB"/>
        </w:rPr>
        <w:t>PTPRC</w:t>
      </w:r>
      <w:r w:rsidR="00666C92" w:rsidRPr="0082680A">
        <w:rPr>
          <w:color w:val="000000" w:themeColor="text1"/>
          <w:lang w:val="en-GB"/>
        </w:rPr>
        <w:t xml:space="preserve"> scored consistently mid-to-high on many of our regulatory measures, though it was not itself commonly differentially expressed. </w:t>
      </w:r>
    </w:p>
    <w:p w14:paraId="316F54B7" w14:textId="77777777" w:rsidR="00DA5132" w:rsidRPr="0082680A" w:rsidRDefault="00DA5132" w:rsidP="00DA5132">
      <w:pPr>
        <w:pStyle w:val="NoSpacing"/>
        <w:rPr>
          <w:lang w:val="en-GB"/>
        </w:rPr>
      </w:pPr>
      <w:r w:rsidRPr="0082680A">
        <w:rPr>
          <w:noProof/>
          <w:lang w:val="en-GB"/>
        </w:rPr>
        <w:lastRenderedPageBreak/>
        <w:drawing>
          <wp:inline distT="0" distB="0" distL="0" distR="0" wp14:anchorId="641B5B0F" wp14:editId="09F6CA30">
            <wp:extent cx="5075118" cy="3397296"/>
            <wp:effectExtent l="0" t="0" r="508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A_GWASInfo_CD40.pdf"/>
                    <pic:cNvPicPr/>
                  </pic:nvPicPr>
                  <pic:blipFill rotWithShape="1">
                    <a:blip r:embed="rId150">
                      <a:extLst>
                        <a:ext uri="{28A0092B-C50C-407E-A947-70E740481C1C}">
                          <a14:useLocalDpi xmlns:a14="http://schemas.microsoft.com/office/drawing/2010/main" val="0"/>
                        </a:ext>
                      </a:extLst>
                    </a:blip>
                    <a:srcRect b="9233"/>
                    <a:stretch/>
                  </pic:blipFill>
                  <pic:spPr bwMode="auto">
                    <a:xfrm>
                      <a:off x="0" y="0"/>
                      <a:ext cx="5096966" cy="3411921"/>
                    </a:xfrm>
                    <a:prstGeom prst="rect">
                      <a:avLst/>
                    </a:prstGeom>
                    <a:ln>
                      <a:noFill/>
                    </a:ln>
                    <a:extLst>
                      <a:ext uri="{53640926-AAD7-44D8-BBD7-CCE9431645EC}">
                        <a14:shadowObscured xmlns:a14="http://schemas.microsoft.com/office/drawing/2010/main"/>
                      </a:ext>
                    </a:extLst>
                  </pic:spPr>
                </pic:pic>
              </a:graphicData>
            </a:graphic>
          </wp:inline>
        </w:drawing>
      </w:r>
    </w:p>
    <w:p w14:paraId="2ECBDF76" w14:textId="30781D03" w:rsidR="00CC4064" w:rsidRPr="0082680A" w:rsidRDefault="00DA5132" w:rsidP="000E7FC5">
      <w:pPr>
        <w:pStyle w:val="Caption"/>
        <w:rPr>
          <w:b w:val="0"/>
          <w:i/>
          <w:lang w:val="en-GB"/>
        </w:rPr>
      </w:pPr>
      <w:bookmarkStart w:id="364" w:name="_Toc3225972"/>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58</w:t>
      </w:r>
      <w:r w:rsidR="00483095">
        <w:rPr>
          <w:lang w:val="en-GB"/>
        </w:rPr>
        <w:fldChar w:fldCharType="end"/>
      </w:r>
      <w:r w:rsidRPr="0082680A">
        <w:rPr>
          <w:lang w:val="en-GB"/>
        </w:rPr>
        <w:t xml:space="preserve">: </w:t>
      </w:r>
      <w:r w:rsidRPr="0082680A">
        <w:rPr>
          <w:b w:val="0"/>
          <w:lang w:val="en-GB"/>
        </w:rPr>
        <w:t xml:space="preserve">GWAS Catalog entries for SNPs associated with </w:t>
      </w:r>
      <w:r w:rsidRPr="0082680A">
        <w:rPr>
          <w:b w:val="0"/>
          <w:i/>
          <w:lang w:val="en-GB"/>
        </w:rPr>
        <w:t>CD40</w:t>
      </w:r>
      <w:bookmarkEnd w:id="364"/>
    </w:p>
    <w:p w14:paraId="1D40AAA9" w14:textId="54DFDC80" w:rsidR="00666C92" w:rsidRPr="0082680A" w:rsidRDefault="00666C92" w:rsidP="00666C92">
      <w:pPr>
        <w:rPr>
          <w:lang w:val="en-GB"/>
        </w:rPr>
      </w:pPr>
    </w:p>
    <w:p w14:paraId="2B1B02CD" w14:textId="77777777" w:rsidR="00666C92" w:rsidRPr="0082680A" w:rsidRDefault="00666C92" w:rsidP="00666C92">
      <w:pPr>
        <w:rPr>
          <w:lang w:val="en-GB"/>
        </w:rPr>
      </w:pPr>
    </w:p>
    <w:p w14:paraId="0E563E0A" w14:textId="77777777" w:rsidR="00523C90" w:rsidRPr="0082680A" w:rsidRDefault="00CC4064" w:rsidP="00523C90">
      <w:pPr>
        <w:pStyle w:val="NoSpacing"/>
        <w:rPr>
          <w:lang w:val="en-GB"/>
        </w:rPr>
      </w:pPr>
      <w:r w:rsidRPr="0082680A">
        <w:rPr>
          <w:noProof/>
          <w:lang w:val="en-GB"/>
        </w:rPr>
        <w:drawing>
          <wp:inline distT="0" distB="0" distL="0" distR="0" wp14:anchorId="5CFBDEB6" wp14:editId="2FF8C99E">
            <wp:extent cx="5050612" cy="2509594"/>
            <wp:effectExtent l="0" t="0" r="4445"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A_GWASInfo_TRAF1.pdf"/>
                    <pic:cNvPicPr/>
                  </pic:nvPicPr>
                  <pic:blipFill rotWithShape="1">
                    <a:blip r:embed="rId151">
                      <a:extLst>
                        <a:ext uri="{28A0092B-C50C-407E-A947-70E740481C1C}">
                          <a14:useLocalDpi xmlns:a14="http://schemas.microsoft.com/office/drawing/2010/main" val="0"/>
                        </a:ext>
                      </a:extLst>
                    </a:blip>
                    <a:srcRect b="32625"/>
                    <a:stretch/>
                  </pic:blipFill>
                  <pic:spPr bwMode="auto">
                    <a:xfrm>
                      <a:off x="0" y="0"/>
                      <a:ext cx="5072100" cy="2520271"/>
                    </a:xfrm>
                    <a:prstGeom prst="rect">
                      <a:avLst/>
                    </a:prstGeom>
                    <a:ln>
                      <a:noFill/>
                    </a:ln>
                    <a:extLst>
                      <a:ext uri="{53640926-AAD7-44D8-BBD7-CCE9431645EC}">
                        <a14:shadowObscured xmlns:a14="http://schemas.microsoft.com/office/drawing/2010/main"/>
                      </a:ext>
                    </a:extLst>
                  </pic:spPr>
                </pic:pic>
              </a:graphicData>
            </a:graphic>
          </wp:inline>
        </w:drawing>
      </w:r>
    </w:p>
    <w:p w14:paraId="53E83C91" w14:textId="544562AC" w:rsidR="00502947" w:rsidRPr="0082680A" w:rsidRDefault="00523C90" w:rsidP="00502947">
      <w:pPr>
        <w:pStyle w:val="Caption"/>
        <w:rPr>
          <w:b w:val="0"/>
          <w:i/>
          <w:lang w:val="en-GB"/>
        </w:rPr>
      </w:pPr>
      <w:bookmarkStart w:id="365" w:name="_Toc3225973"/>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59</w:t>
      </w:r>
      <w:r w:rsidR="00483095">
        <w:rPr>
          <w:lang w:val="en-GB"/>
        </w:rPr>
        <w:fldChar w:fldCharType="end"/>
      </w:r>
      <w:r w:rsidRPr="0082680A">
        <w:rPr>
          <w:lang w:val="en-GB"/>
        </w:rPr>
        <w:t xml:space="preserve">: </w:t>
      </w:r>
      <w:r w:rsidR="00850DAA" w:rsidRPr="0082680A">
        <w:rPr>
          <w:b w:val="0"/>
          <w:lang w:val="en-GB"/>
        </w:rPr>
        <w:t xml:space="preserve">GWAS Catalog entries for SNPs associated with </w:t>
      </w:r>
      <w:r w:rsidR="00850DAA" w:rsidRPr="0082680A">
        <w:rPr>
          <w:b w:val="0"/>
          <w:i/>
          <w:lang w:val="en-GB"/>
        </w:rPr>
        <w:t>TRAF1</w:t>
      </w:r>
      <w:bookmarkEnd w:id="365"/>
    </w:p>
    <w:p w14:paraId="62BE5CF0" w14:textId="77777777" w:rsidR="009E41F5" w:rsidRPr="0082680A" w:rsidRDefault="009E41F5" w:rsidP="009E41F5">
      <w:pPr>
        <w:pStyle w:val="NoSpacing"/>
        <w:rPr>
          <w:lang w:val="en-GB"/>
        </w:rPr>
      </w:pPr>
      <w:r w:rsidRPr="0082680A">
        <w:rPr>
          <w:noProof/>
          <w:lang w:val="en-GB"/>
        </w:rPr>
        <w:lastRenderedPageBreak/>
        <w:drawing>
          <wp:inline distT="0" distB="0" distL="0" distR="0" wp14:anchorId="457F0C3D" wp14:editId="1C3A91C9">
            <wp:extent cx="5039360" cy="3381828"/>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A_GWASInfo_CTLA4.pdf"/>
                    <pic:cNvPicPr/>
                  </pic:nvPicPr>
                  <pic:blipFill rotWithShape="1">
                    <a:blip r:embed="rId152">
                      <a:extLst>
                        <a:ext uri="{28A0092B-C50C-407E-A947-70E740481C1C}">
                          <a14:useLocalDpi xmlns:a14="http://schemas.microsoft.com/office/drawing/2010/main" val="0"/>
                        </a:ext>
                      </a:extLst>
                    </a:blip>
                    <a:srcRect b="9009"/>
                    <a:stretch/>
                  </pic:blipFill>
                  <pic:spPr bwMode="auto">
                    <a:xfrm>
                      <a:off x="0" y="0"/>
                      <a:ext cx="5039360" cy="3381828"/>
                    </a:xfrm>
                    <a:prstGeom prst="rect">
                      <a:avLst/>
                    </a:prstGeom>
                    <a:ln>
                      <a:noFill/>
                    </a:ln>
                    <a:extLst>
                      <a:ext uri="{53640926-AAD7-44D8-BBD7-CCE9431645EC}">
                        <a14:shadowObscured xmlns:a14="http://schemas.microsoft.com/office/drawing/2010/main"/>
                      </a:ext>
                    </a:extLst>
                  </pic:spPr>
                </pic:pic>
              </a:graphicData>
            </a:graphic>
          </wp:inline>
        </w:drawing>
      </w:r>
    </w:p>
    <w:p w14:paraId="1DE866AB" w14:textId="2CED7EC8" w:rsidR="00502947" w:rsidRPr="0082680A" w:rsidRDefault="009E41F5" w:rsidP="00502947">
      <w:pPr>
        <w:pStyle w:val="Caption"/>
        <w:rPr>
          <w:b w:val="0"/>
          <w:i/>
          <w:lang w:val="en-GB"/>
        </w:rPr>
      </w:pPr>
      <w:bookmarkStart w:id="366" w:name="_Toc3225974"/>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60</w:t>
      </w:r>
      <w:r w:rsidR="00483095">
        <w:rPr>
          <w:lang w:val="en-GB"/>
        </w:rPr>
        <w:fldChar w:fldCharType="end"/>
      </w:r>
      <w:r w:rsidRPr="0082680A">
        <w:rPr>
          <w:lang w:val="en-GB"/>
        </w:rPr>
        <w:t xml:space="preserve">: </w:t>
      </w:r>
      <w:r w:rsidRPr="0082680A">
        <w:rPr>
          <w:b w:val="0"/>
          <w:lang w:val="en-GB"/>
        </w:rPr>
        <w:t xml:space="preserve">GWAS Catalog entries for SNPs associated with </w:t>
      </w:r>
      <w:r w:rsidRPr="0082680A">
        <w:rPr>
          <w:b w:val="0"/>
          <w:i/>
          <w:lang w:val="en-GB"/>
        </w:rPr>
        <w:t>CTLA4</w:t>
      </w:r>
      <w:bookmarkEnd w:id="366"/>
    </w:p>
    <w:p w14:paraId="79C526EB" w14:textId="1B73001B" w:rsidR="00502947" w:rsidRPr="0082680A" w:rsidRDefault="00502947" w:rsidP="00502947">
      <w:pPr>
        <w:rPr>
          <w:lang w:val="en-GB"/>
        </w:rPr>
      </w:pPr>
    </w:p>
    <w:p w14:paraId="25D7D3AB" w14:textId="77777777" w:rsidR="00502947" w:rsidRPr="0082680A" w:rsidRDefault="00502947" w:rsidP="00502947">
      <w:pPr>
        <w:rPr>
          <w:lang w:val="en-GB"/>
        </w:rPr>
      </w:pPr>
    </w:p>
    <w:p w14:paraId="3E65CBD5" w14:textId="77777777" w:rsidR="004D151F" w:rsidRPr="0082680A" w:rsidRDefault="004D151F" w:rsidP="004D151F">
      <w:pPr>
        <w:pStyle w:val="NoSpacing"/>
        <w:rPr>
          <w:lang w:val="en-GB"/>
        </w:rPr>
      </w:pPr>
      <w:r w:rsidRPr="0082680A">
        <w:rPr>
          <w:noProof/>
          <w:lang w:val="en-GB"/>
        </w:rPr>
        <w:drawing>
          <wp:inline distT="0" distB="0" distL="0" distR="0" wp14:anchorId="56464BEF" wp14:editId="6D0A00A4">
            <wp:extent cx="5039360" cy="1548143"/>
            <wp:effectExtent l="0" t="0" r="254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A_GWASInfo_IRF1_IRF4.pdf"/>
                    <pic:cNvPicPr/>
                  </pic:nvPicPr>
                  <pic:blipFill rotWithShape="1">
                    <a:blip r:embed="rId153">
                      <a:extLst>
                        <a:ext uri="{28A0092B-C50C-407E-A947-70E740481C1C}">
                          <a14:useLocalDpi xmlns:a14="http://schemas.microsoft.com/office/drawing/2010/main" val="0"/>
                        </a:ext>
                      </a:extLst>
                    </a:blip>
                    <a:srcRect b="58403"/>
                    <a:stretch/>
                  </pic:blipFill>
                  <pic:spPr bwMode="auto">
                    <a:xfrm>
                      <a:off x="0" y="0"/>
                      <a:ext cx="5039360" cy="1548143"/>
                    </a:xfrm>
                    <a:prstGeom prst="rect">
                      <a:avLst/>
                    </a:prstGeom>
                    <a:ln>
                      <a:noFill/>
                    </a:ln>
                    <a:extLst>
                      <a:ext uri="{53640926-AAD7-44D8-BBD7-CCE9431645EC}">
                        <a14:shadowObscured xmlns:a14="http://schemas.microsoft.com/office/drawing/2010/main"/>
                      </a:ext>
                    </a:extLst>
                  </pic:spPr>
                </pic:pic>
              </a:graphicData>
            </a:graphic>
          </wp:inline>
        </w:drawing>
      </w:r>
    </w:p>
    <w:p w14:paraId="6A236FC7" w14:textId="0603D1CF" w:rsidR="000E7FC5" w:rsidRPr="0082680A" w:rsidRDefault="004D151F" w:rsidP="004D151F">
      <w:pPr>
        <w:pStyle w:val="Caption"/>
        <w:rPr>
          <w:b w:val="0"/>
          <w:lang w:val="en-GB"/>
        </w:rPr>
      </w:pPr>
      <w:bookmarkStart w:id="367" w:name="_Toc3225975"/>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61</w:t>
      </w:r>
      <w:r w:rsidR="00483095">
        <w:rPr>
          <w:lang w:val="en-GB"/>
        </w:rPr>
        <w:fldChar w:fldCharType="end"/>
      </w:r>
      <w:r w:rsidRPr="0082680A">
        <w:rPr>
          <w:lang w:val="en-GB"/>
        </w:rPr>
        <w:t xml:space="preserve">: </w:t>
      </w:r>
      <w:r w:rsidRPr="0082680A">
        <w:rPr>
          <w:b w:val="0"/>
          <w:lang w:val="en-GB"/>
        </w:rPr>
        <w:t xml:space="preserve">GWAS Catalog entries for SNPs associated with </w:t>
      </w:r>
      <w:r w:rsidRPr="0082680A">
        <w:rPr>
          <w:b w:val="0"/>
          <w:i/>
          <w:lang w:val="en-GB"/>
        </w:rPr>
        <w:t>IRF1</w:t>
      </w:r>
      <w:r w:rsidRPr="0082680A">
        <w:rPr>
          <w:b w:val="0"/>
          <w:lang w:val="en-GB"/>
        </w:rPr>
        <w:t xml:space="preserve"> and </w:t>
      </w:r>
      <w:r w:rsidRPr="0082680A">
        <w:rPr>
          <w:b w:val="0"/>
          <w:i/>
          <w:lang w:val="en-GB"/>
        </w:rPr>
        <w:t>IRF4</w:t>
      </w:r>
      <w:bookmarkEnd w:id="367"/>
    </w:p>
    <w:p w14:paraId="456C0D06" w14:textId="4A501772" w:rsidR="004D151F" w:rsidRPr="0082680A" w:rsidRDefault="000E7FC5" w:rsidP="000E7FC5">
      <w:pPr>
        <w:rPr>
          <w:iCs/>
          <w:color w:val="000000" w:themeColor="text1"/>
          <w:sz w:val="20"/>
          <w:szCs w:val="18"/>
          <w:lang w:val="en-GB"/>
        </w:rPr>
      </w:pPr>
      <w:r w:rsidRPr="0082680A">
        <w:rPr>
          <w:b/>
          <w:lang w:val="en-GB"/>
        </w:rPr>
        <w:br w:type="page"/>
      </w:r>
    </w:p>
    <w:p w14:paraId="05D1ABFF" w14:textId="77777777" w:rsidR="00ED48B0" w:rsidRPr="0082680A" w:rsidRDefault="009B750D" w:rsidP="00ED48B0">
      <w:pPr>
        <w:pStyle w:val="NoSpacing"/>
        <w:rPr>
          <w:lang w:val="en-GB"/>
        </w:rPr>
      </w:pPr>
      <w:r w:rsidRPr="0082680A">
        <w:rPr>
          <w:noProof/>
          <w:lang w:val="en-GB"/>
        </w:rPr>
        <w:lastRenderedPageBreak/>
        <w:drawing>
          <wp:inline distT="0" distB="0" distL="0" distR="0" wp14:anchorId="39240C34" wp14:editId="758E66E5">
            <wp:extent cx="4992914" cy="64457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A_GWASInfo_STAT4.pdf"/>
                    <pic:cNvPicPr/>
                  </pic:nvPicPr>
                  <pic:blipFill rotWithShape="1">
                    <a:blip r:embed="rId154">
                      <a:extLst>
                        <a:ext uri="{28A0092B-C50C-407E-A947-70E740481C1C}">
                          <a14:useLocalDpi xmlns:a14="http://schemas.microsoft.com/office/drawing/2010/main" val="0"/>
                        </a:ext>
                      </a:extLst>
                    </a:blip>
                    <a:srcRect b="9407"/>
                    <a:stretch/>
                  </pic:blipFill>
                  <pic:spPr bwMode="auto">
                    <a:xfrm>
                      <a:off x="0" y="0"/>
                      <a:ext cx="5000698" cy="6455819"/>
                    </a:xfrm>
                    <a:prstGeom prst="rect">
                      <a:avLst/>
                    </a:prstGeom>
                    <a:ln>
                      <a:noFill/>
                    </a:ln>
                    <a:extLst>
                      <a:ext uri="{53640926-AAD7-44D8-BBD7-CCE9431645EC}">
                        <a14:shadowObscured xmlns:a14="http://schemas.microsoft.com/office/drawing/2010/main"/>
                      </a:ext>
                    </a:extLst>
                  </pic:spPr>
                </pic:pic>
              </a:graphicData>
            </a:graphic>
          </wp:inline>
        </w:drawing>
      </w:r>
    </w:p>
    <w:p w14:paraId="3F4300B7" w14:textId="27D49177" w:rsidR="00736646" w:rsidRDefault="00ED48B0" w:rsidP="00736646">
      <w:pPr>
        <w:pStyle w:val="Caption"/>
        <w:rPr>
          <w:b w:val="0"/>
          <w:i/>
          <w:lang w:val="en-GB"/>
        </w:rPr>
      </w:pPr>
      <w:bookmarkStart w:id="368" w:name="_Toc3225976"/>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62</w:t>
      </w:r>
      <w:r w:rsidR="00483095">
        <w:rPr>
          <w:lang w:val="en-GB"/>
        </w:rPr>
        <w:fldChar w:fldCharType="end"/>
      </w:r>
      <w:r w:rsidRPr="0082680A">
        <w:rPr>
          <w:lang w:val="en-GB"/>
        </w:rPr>
        <w:t>:</w:t>
      </w:r>
      <w:r w:rsidRPr="0082680A">
        <w:rPr>
          <w:b w:val="0"/>
          <w:lang w:val="en-GB"/>
        </w:rPr>
        <w:t xml:space="preserve"> GWAS Catalog entries for SNPs associated with </w:t>
      </w:r>
      <w:r w:rsidRPr="0082680A">
        <w:rPr>
          <w:b w:val="0"/>
          <w:i/>
          <w:lang w:val="en-GB"/>
        </w:rPr>
        <w:t>STAT4</w:t>
      </w:r>
      <w:bookmarkEnd w:id="368"/>
    </w:p>
    <w:p w14:paraId="6C6E8F30" w14:textId="77777777" w:rsidR="00736646" w:rsidRDefault="00736646">
      <w:pPr>
        <w:rPr>
          <w:i/>
          <w:iCs/>
          <w:color w:val="000000" w:themeColor="text1"/>
          <w:szCs w:val="18"/>
          <w:lang w:val="en-GB"/>
        </w:rPr>
      </w:pPr>
      <w:r>
        <w:rPr>
          <w:b/>
          <w:i/>
          <w:lang w:val="en-GB"/>
        </w:rPr>
        <w:br w:type="page"/>
      </w:r>
    </w:p>
    <w:p w14:paraId="4CC49E18" w14:textId="77777777" w:rsidR="000E7FC5" w:rsidRPr="0082680A" w:rsidRDefault="000E7FC5" w:rsidP="000E7FC5">
      <w:pPr>
        <w:pStyle w:val="NoSpacing"/>
        <w:rPr>
          <w:lang w:val="en-GB"/>
        </w:rPr>
      </w:pPr>
      <w:r w:rsidRPr="0082680A">
        <w:rPr>
          <w:noProof/>
          <w:lang w:val="en-GB"/>
        </w:rPr>
        <w:lastRenderedPageBreak/>
        <w:drawing>
          <wp:inline distT="0" distB="0" distL="0" distR="0" wp14:anchorId="4A5CE4C9" wp14:editId="520A85AD">
            <wp:extent cx="5039360" cy="1258432"/>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A_GWASInfo_PTPRC.pdf"/>
                    <pic:cNvPicPr/>
                  </pic:nvPicPr>
                  <pic:blipFill rotWithShape="1">
                    <a:blip r:embed="rId155">
                      <a:extLst>
                        <a:ext uri="{28A0092B-C50C-407E-A947-70E740481C1C}">
                          <a14:useLocalDpi xmlns:a14="http://schemas.microsoft.com/office/drawing/2010/main" val="0"/>
                        </a:ext>
                      </a:extLst>
                    </a:blip>
                    <a:srcRect b="66141"/>
                    <a:stretch/>
                  </pic:blipFill>
                  <pic:spPr bwMode="auto">
                    <a:xfrm>
                      <a:off x="0" y="0"/>
                      <a:ext cx="5039360" cy="1258432"/>
                    </a:xfrm>
                    <a:prstGeom prst="rect">
                      <a:avLst/>
                    </a:prstGeom>
                    <a:ln>
                      <a:noFill/>
                    </a:ln>
                    <a:extLst>
                      <a:ext uri="{53640926-AAD7-44D8-BBD7-CCE9431645EC}">
                        <a14:shadowObscured xmlns:a14="http://schemas.microsoft.com/office/drawing/2010/main"/>
                      </a:ext>
                    </a:extLst>
                  </pic:spPr>
                </pic:pic>
              </a:graphicData>
            </a:graphic>
          </wp:inline>
        </w:drawing>
      </w:r>
    </w:p>
    <w:p w14:paraId="034882B9" w14:textId="60D75C48" w:rsidR="000E7FC5" w:rsidRPr="0082680A" w:rsidRDefault="000E7FC5" w:rsidP="000E7FC5">
      <w:pPr>
        <w:pStyle w:val="Caption"/>
        <w:rPr>
          <w:b w:val="0"/>
          <w:i/>
          <w:lang w:val="en-GB"/>
        </w:rPr>
      </w:pPr>
      <w:bookmarkStart w:id="369" w:name="_Toc3225977"/>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63</w:t>
      </w:r>
      <w:r w:rsidR="00483095">
        <w:rPr>
          <w:lang w:val="en-GB"/>
        </w:rPr>
        <w:fldChar w:fldCharType="end"/>
      </w:r>
      <w:r w:rsidRPr="0082680A">
        <w:rPr>
          <w:lang w:val="en-GB"/>
        </w:rPr>
        <w:t>:</w:t>
      </w:r>
      <w:r w:rsidRPr="0082680A">
        <w:rPr>
          <w:b w:val="0"/>
          <w:lang w:val="en-GB"/>
        </w:rPr>
        <w:t xml:space="preserve"> GWAS Catalog entries for SNPs associated with </w:t>
      </w:r>
      <w:r w:rsidRPr="0082680A">
        <w:rPr>
          <w:b w:val="0"/>
          <w:i/>
          <w:lang w:val="en-GB"/>
        </w:rPr>
        <w:t>PTPRC</w:t>
      </w:r>
      <w:bookmarkEnd w:id="369"/>
    </w:p>
    <w:p w14:paraId="411979F1" w14:textId="0967DCA9" w:rsidR="00502947" w:rsidRPr="0082680A" w:rsidRDefault="00502947" w:rsidP="00502947">
      <w:pPr>
        <w:rPr>
          <w:lang w:val="en-GB"/>
        </w:rPr>
      </w:pPr>
    </w:p>
    <w:p w14:paraId="7E86C51E" w14:textId="77777777" w:rsidR="00502947" w:rsidRPr="0082680A" w:rsidRDefault="00502947" w:rsidP="00502947">
      <w:pPr>
        <w:rPr>
          <w:lang w:val="en-GB"/>
        </w:rPr>
      </w:pPr>
    </w:p>
    <w:p w14:paraId="4ECC1E5A" w14:textId="0E441480" w:rsidR="00502947" w:rsidRPr="0082680A" w:rsidRDefault="00502947" w:rsidP="00502947">
      <w:pPr>
        <w:rPr>
          <w:lang w:val="en-GB"/>
        </w:rPr>
      </w:pPr>
      <w:r w:rsidRPr="0082680A">
        <w:rPr>
          <w:lang w:val="en-GB"/>
        </w:rPr>
        <w:t xml:space="preserve">Although </w:t>
      </w:r>
      <w:r w:rsidRPr="0082680A">
        <w:rPr>
          <w:i/>
          <w:lang w:val="en-GB"/>
        </w:rPr>
        <w:t xml:space="preserve">in vitro </w:t>
      </w:r>
      <w:r w:rsidRPr="0082680A">
        <w:rPr>
          <w:lang w:val="en-GB"/>
        </w:rPr>
        <w:t xml:space="preserve">analysis could not be completed within the timeline of this project, we can speculate about the candidates which would be most promising. Due to its strong genetic association with three autoimmune arthritides and its reported ability to affect the efficacy of known rheumatological drugs, </w:t>
      </w:r>
      <w:r w:rsidRPr="0082680A">
        <w:rPr>
          <w:i/>
          <w:lang w:val="en-GB"/>
        </w:rPr>
        <w:t>STAT4</w:t>
      </w:r>
      <w:r w:rsidRPr="0082680A">
        <w:rPr>
          <w:lang w:val="en-GB"/>
        </w:rPr>
        <w:t xml:space="preserve"> is a very good candidate. Additionally, manipulation of its expression has already been shown to rescue a systemic sclerosis phenotype in mice </w:t>
      </w:r>
      <w:r w:rsidRPr="0082680A">
        <w:rPr>
          <w:lang w:val="en-GB"/>
        </w:rPr>
        <w:fldChar w:fldCharType="begin" w:fldLock="1"/>
      </w:r>
      <w:r w:rsidR="000507BA">
        <w:rPr>
          <w:lang w:val="en-GB"/>
        </w:rPr>
        <w:instrText>ADDIN CSL_CITATION {"citationItems":[{"id":"ITEM-1","itemData":{"DOI":"10.1002/art.30171","abstract":"Objective. The transcription factor STAT-4 has recently been identified as a genetic susceptibility factor in systemic sclerosis (SSc) and other autoimmune diseases. The aim of this study was to investigate the contribution of STAT-4 in the development of a fibrotic phenotype in 2 different mouse models of experimental dermal fibrosis. Methods. STAT-4-deficient (stat4 /) mice and their wild-type littermates (stat4 /) were injected with bleomycin or NaCl. Infiltrating leukocytes, T cells, B cells, and monocytes were quantified in the lesional skin of stat4 / and stat4 / mice. Inflammatory and profibrotic cytokines were measured in sera and lesional skin samples from stat4 / and stat4 / mice. The outcome of mice lacking STAT-4 was also investigated in the tight skin 1 (TSK-1) mouse model. Results. Stat4 / mice were protected against bleomycin-induced dermal fibrosis, with a reduction in dermal thickening (mean SEM 65 3% decrease; P 0.03), hydroxyproline content (68 5% decrease ; P 0.02), and myofibroblast counts (71 6% decrease; P 0.005). Moreover, the number of infiltrating leukocytes, especially T cells, was significantly decreased in the lesional skin of stat4 / mice (mean SEM 63 5% reduction in T cell count; P 0.02). Stat4 / mice also displayed decreased levels of inflam-matory cytokines such as tumor necrosis factor , interleukin-6 (IL-6), IL-2, and interferon-in lesional skin. Consistent with a primary role of STAT-4 in inflammation, STAT-4 deficiency did not ameliorate fibrosis in TSK-1 mice. Conclusion. The results of this study demonstrate that the transcription factor STAT-4 exerts potent pro-fibrotic effects by controlling T cell activation and proliferation and cytokine release. These findings confirm the results of genetics studies on the role of STAT-4 in the development of SSc.","author":[{"dropping-particle":"","family":"Avouac","given":"Jérôme","non-dropping-particle":"","parse-names":false,"suffix":""},{"dropping-particle":"","family":"Fürnrohr","given":"Barbara G","non-dropping-particle":"","parse-names":false,"suffix":""},{"dropping-particle":"","family":"Tomcik","given":"Michal","non-dropping-particle":"","parse-names":false,"suffix":""},{"dropping-particle":"","family":"Palumbo","given":"Katrin","non-dropping-particle":"","parse-names":false,"suffix":""},{"dropping-particle":"","family":"Zerr","given":"Pawel","non-dropping-particle":"","parse-names":false,"suffix":""},{"dropping-particle":"","family":"Horn","given":"Angelika","non-dropping-particle":"","parse-names":false,"suffix":""},{"dropping-particle":"","family":"Dees","given":"Clara","non-dropping-particle":"","parse-names":false,"suffix":""},{"dropping-particle":"","family":"Akhmetshina","given":"Alfiya","non-dropping-particle":"","parse-names":false,"suffix":""},{"dropping-particle":"","family":"Beyer","given":"Christian","non-dropping-particle":"","parse-names":false,"suffix":""},{"dropping-particle":"","family":"Distler","given":"Oliver","non-dropping-particle":"","parse-names":false,"suffix":""},{"dropping-particle":"","family":"Schett","given":"Georg","non-dropping-particle":"","parse-names":false,"suffix":""},{"dropping-particle":"","family":"Allanore","given":"Yannick","non-dropping-particle":"","parse-names":false,"suffix":""},{"dropping-particle":"","family":"Distler","given":"Jörg H W","non-dropping-particle":"","parse-names":false,"suffix":""}],"container-title":"ARTHRITIS &amp; RHEUMATISM","id":"ITEM-1","issue":"3","issued":{"date-parts":[["2011"]]},"page":"800-809","title":"Inactivation of the Transcription Factor STAT-4 Prevents Inflammation-Driven Fibrosis in Animal Models of Systemic Sclerosis","type":"article-journal","volume":"63"},"uris":["http://www.mendeley.com/documents/?uuid=2ac95e2f-e009-3d3a-8a66-f43f13566d93"]}],"mendeley":{"formattedCitation":"&lt;sup&gt;451&lt;/sup&gt;","plainTextFormattedCitation":"451","previouslyFormattedCitation":"&lt;sup&gt;451&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451</w:t>
      </w:r>
      <w:r w:rsidRPr="0082680A">
        <w:rPr>
          <w:lang w:val="en-GB"/>
        </w:rPr>
        <w:fldChar w:fldCharType="end"/>
      </w:r>
      <w:r w:rsidRPr="0082680A">
        <w:rPr>
          <w:lang w:val="en-GB"/>
        </w:rPr>
        <w:t xml:space="preserve">. </w:t>
      </w:r>
      <w:r w:rsidRPr="0082680A">
        <w:rPr>
          <w:i/>
          <w:lang w:val="en-GB"/>
        </w:rPr>
        <w:t xml:space="preserve">TRAF1 </w:t>
      </w:r>
      <w:r w:rsidRPr="0082680A">
        <w:rPr>
          <w:lang w:val="en-GB"/>
        </w:rPr>
        <w:t xml:space="preserve">is also a promising candidate, showing consistent upregulation in our datasets and is a known to function upstream of co-top scoring gene </w:t>
      </w:r>
      <w:r w:rsidRPr="0082680A">
        <w:rPr>
          <w:i/>
          <w:lang w:val="en-GB"/>
        </w:rPr>
        <w:t xml:space="preserve">CD40. </w:t>
      </w:r>
      <w:r w:rsidRPr="0082680A">
        <w:rPr>
          <w:lang w:val="en-GB"/>
        </w:rPr>
        <w:t>Since their function is so closely related, it would be particularly interesting to investigate these two genes in combination.</w:t>
      </w:r>
    </w:p>
    <w:p w14:paraId="091D5357" w14:textId="77777777" w:rsidR="00502947" w:rsidRPr="0082680A" w:rsidRDefault="00502947" w:rsidP="00502947">
      <w:pPr>
        <w:rPr>
          <w:lang w:val="en-GB"/>
        </w:rPr>
      </w:pPr>
    </w:p>
    <w:p w14:paraId="46900FA4" w14:textId="32F4F0B8" w:rsidR="00FD3B4C" w:rsidRPr="0082680A" w:rsidRDefault="00FD3B4C" w:rsidP="00FD3B4C">
      <w:pPr>
        <w:rPr>
          <w:lang w:val="en-GB"/>
        </w:rPr>
      </w:pPr>
      <w:r w:rsidRPr="0082680A">
        <w:rPr>
          <w:lang w:val="en-GB"/>
        </w:rPr>
        <w:br w:type="page"/>
      </w:r>
    </w:p>
    <w:p w14:paraId="6264C2F4" w14:textId="46474651" w:rsidR="00381BB6" w:rsidRPr="00842FD0" w:rsidRDefault="00381BB6" w:rsidP="00842FD0">
      <w:pPr>
        <w:pStyle w:val="Heading2"/>
      </w:pPr>
      <w:bookmarkStart w:id="370" w:name="_ph5al3c3rzmh" w:colFirst="0" w:colLast="0"/>
      <w:bookmarkStart w:id="371" w:name="_Toc3211436"/>
      <w:bookmarkEnd w:id="370"/>
      <w:r w:rsidRPr="00842FD0">
        <w:lastRenderedPageBreak/>
        <w:t>Discussion</w:t>
      </w:r>
      <w:bookmarkEnd w:id="371"/>
    </w:p>
    <w:p w14:paraId="37617515" w14:textId="3CB82916" w:rsidR="00666C92" w:rsidRPr="0082680A" w:rsidRDefault="007F6265" w:rsidP="00666C92">
      <w:pPr>
        <w:rPr>
          <w:lang w:val="en-GB"/>
        </w:rPr>
      </w:pPr>
      <w:r w:rsidRPr="0082680A">
        <w:rPr>
          <w:lang w:val="en-GB"/>
        </w:rPr>
        <w:t>We</w:t>
      </w:r>
      <w:r w:rsidR="00E40EDC" w:rsidRPr="0082680A">
        <w:rPr>
          <w:lang w:val="en-GB"/>
        </w:rPr>
        <w:t xml:space="preserve"> </w:t>
      </w:r>
      <w:r w:rsidRPr="0082680A">
        <w:rPr>
          <w:lang w:val="en-GB"/>
        </w:rPr>
        <w:t xml:space="preserve">identified a common theme </w:t>
      </w:r>
      <w:r w:rsidR="00E40EDC" w:rsidRPr="0082680A">
        <w:rPr>
          <w:lang w:val="en-GB"/>
        </w:rPr>
        <w:t xml:space="preserve">across both the genetics and the physical presentation of rheumatological conditions presenting with arthritis. Our hypothesis was that these conditions shared a </w:t>
      </w:r>
      <w:r w:rsidRPr="0082680A">
        <w:rPr>
          <w:lang w:val="en-GB"/>
        </w:rPr>
        <w:t>common mechanism of joint arthritis</w:t>
      </w:r>
      <w:r w:rsidR="00E40EDC" w:rsidRPr="0082680A">
        <w:rPr>
          <w:lang w:val="en-GB"/>
        </w:rPr>
        <w:t xml:space="preserve"> that is specific to </w:t>
      </w:r>
      <w:r w:rsidRPr="0082680A">
        <w:rPr>
          <w:lang w:val="en-GB"/>
        </w:rPr>
        <w:t xml:space="preserve">autoimmune conditions, rather than non-autoimmune causes of arthritis such as osteoarthritis. Subsequently, we believed our methodological pipeline was perfectly placed to extract those autoimmune-specific upstream drivers. Using transcription data from rheumatoid and psoriatic arthritis synovial tissue, we identified a common DEG list of 424 genes filtered to exclude those common to osteoarthritis, tendinopathy, and RA and PA blood. This common gene list enriched for RA GWAS and Malacards gene </w:t>
      </w:r>
      <w:proofErr w:type="gramStart"/>
      <w:r w:rsidRPr="0082680A">
        <w:rPr>
          <w:lang w:val="en-GB"/>
        </w:rPr>
        <w:t>list, and</w:t>
      </w:r>
      <w:proofErr w:type="gramEnd"/>
      <w:r w:rsidRPr="0082680A">
        <w:rPr>
          <w:lang w:val="en-GB"/>
        </w:rPr>
        <w:t xml:space="preserve"> showed a significant upregulation of immune and inflammation pathways. After expanding the gene list to include first degree protein interaction partners, we rebuilt the network using </w:t>
      </w:r>
      <w:r w:rsidR="00CA39AD" w:rsidRPr="0082680A">
        <w:rPr>
          <w:lang w:val="en-GB"/>
        </w:rPr>
        <w:t>strongly coexpressed</w:t>
      </w:r>
      <w:r w:rsidRPr="0082680A">
        <w:rPr>
          <w:lang w:val="en-GB"/>
        </w:rPr>
        <w:t xml:space="preserve"> edges</w:t>
      </w:r>
      <w:r w:rsidR="00CA39AD" w:rsidRPr="0082680A">
        <w:rPr>
          <w:lang w:val="en-GB"/>
        </w:rPr>
        <w:t xml:space="preserve"> which were common across input datasets</w:t>
      </w:r>
      <w:r w:rsidRPr="0082680A">
        <w:rPr>
          <w:lang w:val="en-GB"/>
        </w:rPr>
        <w:t xml:space="preserve">. These were again filtered to remove commonalities between controls, osteoarthritis, tendinopathy, and RA and PA blood. The largest connected component of this network was a tightly coexpressed module of 271 nodes and 426 edges. This module enriched for </w:t>
      </w:r>
      <w:r w:rsidR="00FC36C4" w:rsidRPr="0082680A">
        <w:rPr>
          <w:lang w:val="en-GB"/>
        </w:rPr>
        <w:t>GWA</w:t>
      </w:r>
      <w:r w:rsidR="00915B35">
        <w:rPr>
          <w:lang w:val="en-GB"/>
        </w:rPr>
        <w:t>S</w:t>
      </w:r>
      <w:r w:rsidR="00FC36C4" w:rsidRPr="0082680A">
        <w:rPr>
          <w:lang w:val="en-GB"/>
        </w:rPr>
        <w:t xml:space="preserve"> </w:t>
      </w:r>
      <w:r w:rsidRPr="0082680A">
        <w:rPr>
          <w:lang w:val="en-GB"/>
        </w:rPr>
        <w:t xml:space="preserve">hits associated with five autoimmune arthritis conditions, including three not included in the original input data. </w:t>
      </w:r>
      <w:r w:rsidR="00CA39AD" w:rsidRPr="0082680A">
        <w:rPr>
          <w:lang w:val="en-GB"/>
        </w:rPr>
        <w:t>The common coexpression module also enriched highly for immune and inflammation pathways, in some cases more significantly than the original DEG list, despite being smaller in size</w:t>
      </w:r>
      <w:r w:rsidR="00EF136C" w:rsidRPr="0082680A">
        <w:rPr>
          <w:lang w:val="en-GB"/>
        </w:rPr>
        <w:t xml:space="preserve">, indicating the addition of network analysis </w:t>
      </w:r>
      <w:r w:rsidR="00DD30A5" w:rsidRPr="0082680A">
        <w:rPr>
          <w:lang w:val="en-GB"/>
        </w:rPr>
        <w:t xml:space="preserve">produced a more concentrated and biologically relevant gene list than simple common differential expression. After applying prioritisation scoring, the top 8 candidates were assessed for their viability as upstream drivers of autoimmune arthritis. A number of these genes </w:t>
      </w:r>
      <w:r w:rsidR="00117180" w:rsidRPr="0082680A">
        <w:rPr>
          <w:lang w:val="en-GB"/>
        </w:rPr>
        <w:t xml:space="preserve">have been documented to associate with </w:t>
      </w:r>
      <w:r w:rsidR="00652790" w:rsidRPr="0082680A">
        <w:rPr>
          <w:lang w:val="en-GB"/>
        </w:rPr>
        <w:t xml:space="preserve">autoimmune arthritis GWA </w:t>
      </w:r>
      <w:r w:rsidR="00117180" w:rsidRPr="0082680A">
        <w:rPr>
          <w:lang w:val="en-GB"/>
        </w:rPr>
        <w:t>variants</w:t>
      </w:r>
      <w:r w:rsidR="00652790" w:rsidRPr="0082680A">
        <w:rPr>
          <w:lang w:val="en-GB"/>
        </w:rPr>
        <w:t xml:space="preserve">, </w:t>
      </w:r>
      <w:r w:rsidR="00701571" w:rsidRPr="0082680A">
        <w:rPr>
          <w:lang w:val="en-GB"/>
        </w:rPr>
        <w:t xml:space="preserve">as well as being associated with </w:t>
      </w:r>
      <w:r w:rsidR="004458D5" w:rsidRPr="0082680A">
        <w:rPr>
          <w:lang w:val="en-GB"/>
        </w:rPr>
        <w:t xml:space="preserve">pre-existing drugs for autoimmune arthritis conditions. Overall, we were able to show that our methodology isolated a coexpression network module which enriches highly for known upstream </w:t>
      </w:r>
      <w:r w:rsidR="00D21BAF" w:rsidRPr="0082680A">
        <w:rPr>
          <w:lang w:val="en-GB"/>
        </w:rPr>
        <w:t>candidates for autoimmune arthritides, as well as a number of promising candidates.</w:t>
      </w:r>
    </w:p>
    <w:p w14:paraId="61C147D3" w14:textId="4EED479D" w:rsidR="00D21BAF" w:rsidRPr="0082680A" w:rsidRDefault="00D21BAF" w:rsidP="00666C92">
      <w:pPr>
        <w:rPr>
          <w:lang w:val="en-GB"/>
        </w:rPr>
      </w:pPr>
    </w:p>
    <w:p w14:paraId="7FE12354" w14:textId="277C2360" w:rsidR="00D21BAF" w:rsidRPr="0082680A" w:rsidRDefault="00D21BAF" w:rsidP="00666C92">
      <w:pPr>
        <w:rPr>
          <w:lang w:val="en-GB"/>
        </w:rPr>
      </w:pPr>
      <w:r w:rsidRPr="0082680A">
        <w:rPr>
          <w:lang w:val="en-GB"/>
        </w:rPr>
        <w:t xml:space="preserve">Unfortunately, </w:t>
      </w:r>
      <w:r w:rsidRPr="0082680A">
        <w:rPr>
          <w:i/>
          <w:lang w:val="en-GB"/>
        </w:rPr>
        <w:t>in vitro/vivo</w:t>
      </w:r>
      <w:r w:rsidRPr="0082680A">
        <w:rPr>
          <w:lang w:val="en-GB"/>
        </w:rPr>
        <w:t xml:space="preserve"> validation of this application was not possible during the time frame of this project. </w:t>
      </w:r>
      <w:r w:rsidR="00727C66" w:rsidRPr="0082680A">
        <w:rPr>
          <w:lang w:val="en-GB"/>
        </w:rPr>
        <w:t xml:space="preserve">However, the </w:t>
      </w:r>
      <w:proofErr w:type="gramStart"/>
      <w:r w:rsidR="00727C66" w:rsidRPr="0082680A">
        <w:rPr>
          <w:i/>
          <w:lang w:val="en-GB"/>
        </w:rPr>
        <w:t>in silico</w:t>
      </w:r>
      <w:proofErr w:type="gramEnd"/>
      <w:r w:rsidR="00727C66" w:rsidRPr="0082680A">
        <w:rPr>
          <w:lang w:val="en-GB"/>
        </w:rPr>
        <w:t xml:space="preserve"> enrich</w:t>
      </w:r>
      <w:r w:rsidR="00117180" w:rsidRPr="0082680A">
        <w:rPr>
          <w:lang w:val="en-GB"/>
        </w:rPr>
        <w:t>ment of</w:t>
      </w:r>
      <w:r w:rsidR="00727C66" w:rsidRPr="0082680A">
        <w:rPr>
          <w:lang w:val="en-GB"/>
        </w:rPr>
        <w:t xml:space="preserve"> GWA candidates indicates that there are a</w:t>
      </w:r>
      <w:r w:rsidR="00117180" w:rsidRPr="0082680A">
        <w:rPr>
          <w:lang w:val="en-GB"/>
        </w:rPr>
        <w:t xml:space="preserve"> significant</w:t>
      </w:r>
      <w:r w:rsidR="00727C66" w:rsidRPr="0082680A">
        <w:rPr>
          <w:lang w:val="en-GB"/>
        </w:rPr>
        <w:t xml:space="preserve"> number of </w:t>
      </w:r>
      <w:r w:rsidR="00117180" w:rsidRPr="0082680A">
        <w:rPr>
          <w:lang w:val="en-GB"/>
        </w:rPr>
        <w:t xml:space="preserve">genetic associations </w:t>
      </w:r>
      <w:r w:rsidR="00727C66" w:rsidRPr="0082680A">
        <w:rPr>
          <w:lang w:val="en-GB"/>
        </w:rPr>
        <w:t xml:space="preserve">within the network module, and therefore subsequent </w:t>
      </w:r>
      <w:r w:rsidR="00117180" w:rsidRPr="0082680A">
        <w:rPr>
          <w:lang w:val="en-GB"/>
        </w:rPr>
        <w:t>investigation of</w:t>
      </w:r>
      <w:r w:rsidR="00815FD6" w:rsidRPr="0082680A">
        <w:rPr>
          <w:lang w:val="en-GB"/>
        </w:rPr>
        <w:t xml:space="preserve"> upstream drivers of autoimmune arthritis</w:t>
      </w:r>
      <w:r w:rsidR="00117180" w:rsidRPr="0082680A">
        <w:rPr>
          <w:lang w:val="en-GB"/>
        </w:rPr>
        <w:t xml:space="preserve"> is promising</w:t>
      </w:r>
      <w:r w:rsidR="00815FD6" w:rsidRPr="0082680A">
        <w:rPr>
          <w:lang w:val="en-GB"/>
        </w:rPr>
        <w:t xml:space="preserve">. Unlike the previous two applications, which were </w:t>
      </w:r>
      <w:r w:rsidR="00BA10DC" w:rsidRPr="0082680A">
        <w:rPr>
          <w:lang w:val="en-GB"/>
        </w:rPr>
        <w:t>predominantly neuron</w:t>
      </w:r>
      <w:r w:rsidR="00815FD6" w:rsidRPr="0082680A">
        <w:rPr>
          <w:lang w:val="en-GB"/>
        </w:rPr>
        <w:t xml:space="preserve">-based, </w:t>
      </w:r>
      <w:r w:rsidR="00815FD6" w:rsidRPr="0082680A">
        <w:rPr>
          <w:i/>
          <w:lang w:val="en-GB"/>
        </w:rPr>
        <w:t>in silico</w:t>
      </w:r>
      <w:r w:rsidR="00815FD6" w:rsidRPr="0082680A">
        <w:rPr>
          <w:lang w:val="en-GB"/>
        </w:rPr>
        <w:t xml:space="preserve"> work would require </w:t>
      </w:r>
      <w:r w:rsidR="00BA10DC" w:rsidRPr="0082680A">
        <w:rPr>
          <w:lang w:val="en-GB"/>
        </w:rPr>
        <w:t xml:space="preserve">a cellular model of quite a complex number of cells to replicate the environment of an arthritic joint. </w:t>
      </w:r>
      <w:r w:rsidR="005C522E" w:rsidRPr="0082680A">
        <w:rPr>
          <w:lang w:val="en-GB"/>
        </w:rPr>
        <w:t xml:space="preserve">An alternative validation could be to investigate the effectiveness of our arthritis signature at predicating </w:t>
      </w:r>
      <w:r w:rsidR="004A3FEA" w:rsidRPr="0082680A">
        <w:rPr>
          <w:lang w:val="en-GB"/>
        </w:rPr>
        <w:t>drug candidates</w:t>
      </w:r>
      <w:r w:rsidR="00D0571E" w:rsidRPr="0082680A">
        <w:rPr>
          <w:lang w:val="en-GB"/>
        </w:rPr>
        <w:t xml:space="preserve">; a </w:t>
      </w:r>
      <w:r w:rsidR="00D0571E" w:rsidRPr="0082680A">
        <w:rPr>
          <w:lang w:val="en-GB"/>
        </w:rPr>
        <w:lastRenderedPageBreak/>
        <w:t xml:space="preserve">number of tools are in development which are able to take a signature member list and make predictions of potential drugs </w:t>
      </w:r>
      <w:r w:rsidR="00D0571E" w:rsidRPr="0082680A">
        <w:rPr>
          <w:lang w:val="en-GB"/>
        </w:rPr>
        <w:fldChar w:fldCharType="begin" w:fldLock="1"/>
      </w:r>
      <w:r w:rsidR="000507BA">
        <w:rPr>
          <w:lang w:val="en-GB"/>
        </w:rPr>
        <w:instrText>ADDIN CSL_CITATION {"citationItems":[{"id":"ITEM-1","itemData":{"DOI":"10.1038/npjsba.2016.15","ISSN":"2056-7189","abstract":"A new search engine can help scientists identify small molecules that will alter gene expression patterns in human cells. The resource, known as L1000CDS2, can also predict drug targets for some 20,000 compounds. A US team led by Avi Ma’ayan from the Icahn School of Medicine at Mount Sinai developed the search engine, which improves previous methods for interrogating chemicals in the LINCS L1000 database, a large library of compound-induced gene expression signatures. As a proof-of-principle, the researchers used L1000CDS2 to identify a chemical called kenpaullone as a potential inhibitor of Ebola virus in human cells—a finding they confirmed in lab experiments. The authors suggest the search engine can aid in discovering new uses for old drugs, plus help predict candidate agents for many complex diseases.","author":[{"dropping-particle":"","family":"Duan","given":"Qiaonan","non-dropping-particle":"","parse-names":false,"suffix":""},{"dropping-particle":"","family":"Reid","given":"St Patrick","non-dropping-particle":"","parse-names":false,"suffix":""},{"dropping-particle":"","family":"Clark","given":"Neil R","non-dropping-particle":"","parse-names":false,"suffix":""},{"dropping-particle":"","family":"Wang","given":"Zichen","non-dropping-particle":"","parse-names":false,"suffix":""},{"dropping-particle":"","family":"Fernandez","given":"Nicolas F","non-dropping-particle":"","parse-names":false,"suffix":""},{"dropping-particle":"","family":"Rouillard","given":"Andrew D","non-dropping-particle":"","parse-names":false,"suffix":""},{"dropping-particle":"","family":"Readhead","given":"Ben","non-dropping-particle":"","parse-names":false,"suffix":""},{"dropping-particle":"","family":"Tritsch","given":"Sarah R","non-dropping-particle":"","parse-names":false,"suffix":""},{"dropping-particle":"","family":"Hodos","given":"Rachel","non-dropping-particle":"","parse-names":false,"suffix":""},{"dropping-particle":"","family":"Hafner","given":"Marc","non-dropping-particle":"","parse-names":false,"suffix":""},{"dropping-particle":"","family":"Niepel","given":"Mario","non-dropping-particle":"","parse-names":false,"suffix":""},{"dropping-particle":"","family":"Sorger","given":"Peter K","non-dropping-particle":"","parse-names":false,"suffix":""},{"dropping-particle":"","family":"Dudley","given":"Joel T","non-dropping-particle":"","parse-names":false,"suffix":""},{"dropping-particle":"","family":"Bavari","given":"Sina","non-dropping-particle":"","parse-names":false,"suffix":""},{"dropping-particle":"","family":"Panchal","given":"Rekha G","non-dropping-particle":"","parse-names":false,"suffix":""},{"dropping-particle":"","family":"Ma’ayan","given":"Avi","non-dropping-particle":"","parse-names":false,"suffix":""}],"container-title":"npj Systems Biology and Applications","id":"ITEM-1","issue":"1","issued":{"date-parts":[["2016","12","4"]]},"page":"16015","publisher":"Nature Publishing Group","title":"L1000CDS2: LINCS L1000 characteristic direction signatures search engine","type":"article-journal","volume":"2"},"uris":["http://www.mendeley.com/documents/?uuid=73e39942-3187-3f8c-827e-141cefd0c2ff"]},{"id":"ITEM-2","itemData":{"DOI":"10.1093/bioinformatics/btv313","ISSN":"1367-4803","PMID":"25990557","abstract":"UNLABELLED We report the creation of Drug Signatures Database (DSigDB), a new gene set resource that relates drugs/compounds and their target genes, for gene set enrichment analysis (GSEA). DSigDB currently holds 22 527 gene sets, consists of 17 389 unique compounds covering 19 531 genes. We also developed an online DSigDB resource that allows users to search, view and download drugs/compounds and gene sets. DSigDB gene sets provide seamless integration to GSEA software for linking gene expressions with drugs/compounds for drug repurposing and translational research. AVAILABILITY AND IMPLEMENTATION DSigDB is freely available for non-commercial use at http://tanlab.ucdenver.edu/DSigDB. SUPPLEMENTARY INFORMATION Supplementary data are available at Bioinformatics online. CONTACT aikchoon.tan@ucdenver.edu.","author":[{"dropping-particle":"","family":"Yoo","given":"Minjae","non-dropping-particle":"","parse-names":false,"suffix":""},{"dropping-particle":"","family":"Shin","given":"Jimin","non-dropping-particle":"","parse-names":false,"suffix":""},{"dropping-particle":"","family":"Kim","given":"Jihye","non-dropping-particle":"","parse-names":false,"suffix":""},{"dropping-particle":"","family":"Ryall","given":"Karen A.","non-dropping-particle":"","parse-names":false,"suffix":""},{"dropping-particle":"","family":"Lee","given":"Kyubum","non-dropping-particle":"","parse-names":false,"suffix":""},{"dropping-particle":"","family":"Lee","given":"Sunwon","non-dropping-particle":"","parse-names":false,"suffix":""},{"dropping-particle":"","family":"Jeon","given":"Minji","non-dropping-particle":"","parse-names":false,"suffix":""},{"dropping-particle":"","family":"Kang","given":"Jaewoo","non-dropping-particle":"","parse-names":false,"suffix":""},{"dropping-particle":"","family":"Tan","given":"Aik Choon","non-dropping-particle":"","parse-names":false,"suffix":""}],"container-title":"Bioinformatics","id":"ITEM-2","issue":"18","issued":{"date-parts":[["2015","9","15"]]},"page":"3069-3071","title":"DSigDB: drug signatures database for gene set analysis: Fig. 1.","type":"article-journal","volume":"31"},"uris":["http://www.mendeley.com/documents/?uuid=e1e1b407-aa34-34e8-8d8d-2cf02b4d92ec"]},{"id":"ITEM-3","itemData":{"DOI":"10.1371/journal.pone.0177743","ISSN":"1932-6203","PMID":"28562632","abstract":"Computational drug repositioning has been proved as an effective approach to develop new drug uses. However, currently existing strategies strongly rely on drug response gene signatures which scattered in separated or individual experimental data, and resulted in low efficient outputs. So, a fully drug response gene signatures database will be very helpful to these methods. We collected drug response microarray data and annotated related drug and targets information from public databases and scientific literature. By selecting top 500 up-regulated and down-regulated genes as drug signatures, we manually established the DrugSig database. Currently DrugSig contains more than 1300 drugs, 7000 microarray and 800 targets. Moreover, we developed the signature based and target based functions to aid drug repositioning. The constructed database can serve as a resource to quicken computational drug repositioning. Database URL: http://biotechlab.fudan.edu.cn/database/drugsig/.","author":[{"dropping-particle":"","family":"Wu","given":"Hongyu","non-dropping-particle":"","parse-names":false,"suffix":""},{"dropping-particle":"","family":"Huang","given":"Jinjiang","non-dropping-particle":"","parse-names":false,"suffix":""},{"dropping-particle":"","family":"Zhong","given":"Yang","non-dropping-particle":"","parse-names":false,"suffix":""},{"dropping-particle":"","family":"Huang","given":"Qingshan","non-dropping-particle":"","parse-names":false,"suffix":""}],"container-title":"PloS one","id":"ITEM-3","issue":"5","issued":{"date-parts":[["2017"]]},"page":"e0177743","publisher":"Public Library of Science","title":"DrugSig: A resource for computational drug repositioning utilizing gene expression signatures.","type":"article-journal","volume":"12"},"uris":["http://www.mendeley.com/documents/?uuid=c430cb6b-27f6-3118-a0c0-06ee28e88728"]}],"mendeley":{"formattedCitation":"&lt;sup&gt;452–454&lt;/sup&gt;","plainTextFormattedCitation":"452–454","previouslyFormattedCitation":"&lt;sup&gt;452–454&lt;/sup&gt;"},"properties":{"noteIndex":0},"schema":"https://github.com/citation-style-language/schema/raw/master/csl-citation.json"}</w:instrText>
      </w:r>
      <w:r w:rsidR="00D0571E" w:rsidRPr="0082680A">
        <w:rPr>
          <w:lang w:val="en-GB"/>
        </w:rPr>
        <w:fldChar w:fldCharType="separate"/>
      </w:r>
      <w:r w:rsidR="00426B19" w:rsidRPr="00426B19">
        <w:rPr>
          <w:noProof/>
          <w:vertAlign w:val="superscript"/>
          <w:lang w:val="en-GB"/>
        </w:rPr>
        <w:t>452–454</w:t>
      </w:r>
      <w:r w:rsidR="00D0571E" w:rsidRPr="0082680A">
        <w:rPr>
          <w:lang w:val="en-GB"/>
        </w:rPr>
        <w:fldChar w:fldCharType="end"/>
      </w:r>
      <w:r w:rsidR="004A3FEA" w:rsidRPr="0082680A">
        <w:rPr>
          <w:lang w:val="en-GB"/>
        </w:rPr>
        <w:t xml:space="preserve">. Neurodegenerative diseases do not typically </w:t>
      </w:r>
      <w:r w:rsidR="008A2D85" w:rsidRPr="0082680A">
        <w:rPr>
          <w:lang w:val="en-GB"/>
        </w:rPr>
        <w:t>possess</w:t>
      </w:r>
      <w:r w:rsidR="004A3FEA" w:rsidRPr="0082680A">
        <w:rPr>
          <w:lang w:val="en-GB"/>
        </w:rPr>
        <w:t xml:space="preserve"> known or effective medications. Arthritis</w:t>
      </w:r>
      <w:r w:rsidR="0080318D" w:rsidRPr="0082680A">
        <w:rPr>
          <w:lang w:val="en-GB"/>
        </w:rPr>
        <w:t>,</w:t>
      </w:r>
      <w:r w:rsidR="004A3FEA" w:rsidRPr="0082680A">
        <w:rPr>
          <w:lang w:val="en-GB"/>
        </w:rPr>
        <w:t xml:space="preserve"> on the other hand</w:t>
      </w:r>
      <w:r w:rsidR="0080318D" w:rsidRPr="0082680A">
        <w:rPr>
          <w:lang w:val="en-GB"/>
        </w:rPr>
        <w:t>,</w:t>
      </w:r>
      <w:r w:rsidR="004A3FEA" w:rsidRPr="0082680A">
        <w:rPr>
          <w:lang w:val="en-GB"/>
        </w:rPr>
        <w:t xml:space="preserve"> </w:t>
      </w:r>
      <w:r w:rsidR="0080318D" w:rsidRPr="0082680A">
        <w:rPr>
          <w:lang w:val="en-GB"/>
        </w:rPr>
        <w:t>h</w:t>
      </w:r>
      <w:r w:rsidR="004A3FEA" w:rsidRPr="0082680A">
        <w:rPr>
          <w:lang w:val="en-GB"/>
        </w:rPr>
        <w:t xml:space="preserve">as a wide range of medications which are known to be effective at controlling </w:t>
      </w:r>
      <w:r w:rsidR="00F066EC" w:rsidRPr="0082680A">
        <w:rPr>
          <w:lang w:val="en-GB"/>
        </w:rPr>
        <w:t>immune/inflammati</w:t>
      </w:r>
      <w:r w:rsidR="00FE7B05" w:rsidRPr="0082680A">
        <w:rPr>
          <w:lang w:val="en-GB"/>
        </w:rPr>
        <w:t>on processes</w:t>
      </w:r>
      <w:r w:rsidR="00F066EC" w:rsidRPr="0082680A">
        <w:rPr>
          <w:lang w:val="en-GB"/>
        </w:rPr>
        <w:t xml:space="preserve">. </w:t>
      </w:r>
      <w:r w:rsidR="0080318D" w:rsidRPr="0082680A">
        <w:rPr>
          <w:lang w:val="en-GB"/>
        </w:rPr>
        <w:t>This provides an</w:t>
      </w:r>
      <w:r w:rsidR="00F066EC" w:rsidRPr="0082680A">
        <w:rPr>
          <w:lang w:val="en-GB"/>
        </w:rPr>
        <w:t xml:space="preserve"> opportunity to </w:t>
      </w:r>
      <w:r w:rsidR="00FE7B05" w:rsidRPr="0082680A">
        <w:rPr>
          <w:lang w:val="en-GB"/>
        </w:rPr>
        <w:t xml:space="preserve">further </w:t>
      </w:r>
      <w:r w:rsidR="001A0E19" w:rsidRPr="0082680A">
        <w:rPr>
          <w:lang w:val="en-GB"/>
        </w:rPr>
        <w:t>validate</w:t>
      </w:r>
      <w:r w:rsidR="004B059A" w:rsidRPr="0082680A">
        <w:rPr>
          <w:lang w:val="en-GB"/>
        </w:rPr>
        <w:t xml:space="preserve"> our signature </w:t>
      </w:r>
      <w:r w:rsidR="00FE7B05" w:rsidRPr="0082680A">
        <w:rPr>
          <w:lang w:val="en-GB"/>
        </w:rPr>
        <w:t xml:space="preserve">using </w:t>
      </w:r>
      <w:r w:rsidR="001A0E19" w:rsidRPr="0082680A">
        <w:rPr>
          <w:lang w:val="en-GB"/>
        </w:rPr>
        <w:t xml:space="preserve">signature-based drug prediction methodologies. </w:t>
      </w:r>
      <w:r w:rsidR="00DA0CAA" w:rsidRPr="0082680A">
        <w:rPr>
          <w:lang w:val="en-GB"/>
        </w:rPr>
        <w:t xml:space="preserve">Such a methodology is currently being built within our lab, </w:t>
      </w:r>
      <w:r w:rsidR="00C24E1B" w:rsidRPr="0082680A">
        <w:rPr>
          <w:lang w:val="en-GB"/>
        </w:rPr>
        <w:t xml:space="preserve">therefore future work on will include assessment of our signature at drug-prediction based upon this </w:t>
      </w:r>
      <w:r w:rsidR="00A211F8" w:rsidRPr="0082680A">
        <w:rPr>
          <w:lang w:val="en-GB"/>
        </w:rPr>
        <w:t>system.</w:t>
      </w:r>
    </w:p>
    <w:p w14:paraId="39347528" w14:textId="2AB44286" w:rsidR="00381BB6" w:rsidRPr="0082680A" w:rsidRDefault="00381BB6" w:rsidP="00871D6B">
      <w:pPr>
        <w:rPr>
          <w:lang w:val="en-GB"/>
        </w:rPr>
      </w:pPr>
    </w:p>
    <w:p w14:paraId="4DFFCB94" w14:textId="061C29C7" w:rsidR="002B6A3F" w:rsidRDefault="002B6A3F">
      <w:pPr>
        <w:rPr>
          <w:lang w:val="en-GB"/>
        </w:rPr>
      </w:pPr>
      <w:r w:rsidRPr="0082680A">
        <w:rPr>
          <w:lang w:val="en-GB"/>
        </w:rPr>
        <w:br w:type="page"/>
      </w:r>
    </w:p>
    <w:p w14:paraId="017B7B1B" w14:textId="6F4111C0" w:rsidR="00BF40EA" w:rsidRDefault="00BF40EA" w:rsidP="00BF40EA">
      <w:pPr>
        <w:pStyle w:val="Heading1"/>
        <w:ind w:left="0"/>
        <w:rPr>
          <w:lang w:val="en-GB"/>
        </w:rPr>
      </w:pPr>
      <w:bookmarkStart w:id="372" w:name="_Toc3211437"/>
      <w:r>
        <w:rPr>
          <w:lang w:val="en-GB"/>
        </w:rPr>
        <w:lastRenderedPageBreak/>
        <w:t>Chapter 5: Review of Pipeline</w:t>
      </w:r>
      <w:bookmarkEnd w:id="372"/>
    </w:p>
    <w:p w14:paraId="2E52F56D" w14:textId="3FBD4326" w:rsidR="00BF40EA" w:rsidRDefault="00BF40EA" w:rsidP="00BF40EA">
      <w:pPr>
        <w:pStyle w:val="Heading2"/>
      </w:pPr>
      <w:bookmarkStart w:id="373" w:name="_Toc3211438"/>
      <w:r>
        <w:t>Introduction</w:t>
      </w:r>
      <w:bookmarkEnd w:id="373"/>
    </w:p>
    <w:p w14:paraId="5AC5D77A" w14:textId="67202DD5" w:rsidR="00413A9D" w:rsidRDefault="004C4829" w:rsidP="00413A9D">
      <w:pPr>
        <w:rPr>
          <w:lang w:val="en-GB"/>
        </w:rPr>
      </w:pPr>
      <w:r>
        <w:rPr>
          <w:lang w:val="en-GB"/>
        </w:rPr>
        <w:t>For any novel methodology, we must establish how successful the method is at achieving its goal, as well as any potential weaknesses it has demonstrated through testing. The aim of this chapter is to address some questions which were raised after application to the three test cases. Namely, these questions were:</w:t>
      </w:r>
    </w:p>
    <w:p w14:paraId="60B11938" w14:textId="224ACD93" w:rsidR="004C4829" w:rsidRDefault="004C4829" w:rsidP="004C4829">
      <w:pPr>
        <w:pStyle w:val="ListParagraph"/>
        <w:numPr>
          <w:ilvl w:val="0"/>
          <w:numId w:val="35"/>
        </w:numPr>
        <w:rPr>
          <w:lang w:val="en-GB"/>
        </w:rPr>
      </w:pPr>
      <w:r>
        <w:rPr>
          <w:lang w:val="en-GB"/>
        </w:rPr>
        <w:t>If other individuals wish to apply this methodological pipeline to their own problem and data, what is the range of possible datasets one can input?</w:t>
      </w:r>
    </w:p>
    <w:p w14:paraId="2ABD462A" w14:textId="77777777" w:rsidR="004C4829" w:rsidRDefault="004C4829" w:rsidP="004C4829">
      <w:pPr>
        <w:pStyle w:val="ListParagraph"/>
        <w:rPr>
          <w:lang w:val="en-GB"/>
        </w:rPr>
      </w:pPr>
    </w:p>
    <w:p w14:paraId="7F0279EC" w14:textId="69BAB127" w:rsidR="004C4829" w:rsidRPr="004C4829" w:rsidRDefault="004C4829" w:rsidP="004C4829">
      <w:pPr>
        <w:pStyle w:val="ListParagraph"/>
        <w:numPr>
          <w:ilvl w:val="0"/>
          <w:numId w:val="35"/>
        </w:numPr>
        <w:rPr>
          <w:lang w:val="en-GB"/>
        </w:rPr>
      </w:pPr>
      <w:r>
        <w:rPr>
          <w:lang w:val="en-GB"/>
        </w:rPr>
        <w:t>In general, how differentially expressed are the DEGs which are identified in the early stages of the pipeline?</w:t>
      </w:r>
    </w:p>
    <w:p w14:paraId="15E7F72F" w14:textId="77777777" w:rsidR="004C4829" w:rsidRPr="004C4829" w:rsidRDefault="004C4829" w:rsidP="004C4829">
      <w:pPr>
        <w:pStyle w:val="ListParagraph"/>
        <w:rPr>
          <w:lang w:val="en-GB"/>
        </w:rPr>
      </w:pPr>
    </w:p>
    <w:p w14:paraId="3F30806B" w14:textId="788F08A0" w:rsidR="004C4829" w:rsidRPr="004C4829" w:rsidRDefault="004C4829" w:rsidP="004C4829">
      <w:pPr>
        <w:pStyle w:val="ListParagraph"/>
        <w:numPr>
          <w:ilvl w:val="0"/>
          <w:numId w:val="35"/>
        </w:numPr>
        <w:rPr>
          <w:lang w:val="en-GB"/>
        </w:rPr>
      </w:pPr>
      <w:r>
        <w:rPr>
          <w:lang w:val="en-GB"/>
        </w:rPr>
        <w:t>How similar or different are the output gene or protein lists for the three experiments? Could you be picking up a general “disease” signal?</w:t>
      </w:r>
    </w:p>
    <w:p w14:paraId="0F4028F2" w14:textId="06507029" w:rsidR="00BF40EA" w:rsidRDefault="00BF40EA" w:rsidP="00BF40EA">
      <w:pPr>
        <w:pStyle w:val="Heading2"/>
      </w:pPr>
      <w:bookmarkStart w:id="374" w:name="_Toc3211439"/>
      <w:r>
        <w:t>Number of Input Datasets</w:t>
      </w:r>
      <w:bookmarkEnd w:id="374"/>
    </w:p>
    <w:p w14:paraId="7D39BCE5" w14:textId="09AFE375" w:rsidR="00483095" w:rsidRPr="0082680A" w:rsidRDefault="00EE4DB2" w:rsidP="00483095">
      <w:pPr>
        <w:rPr>
          <w:lang w:val="en-GB"/>
        </w:rPr>
      </w:pPr>
      <w:r>
        <w:rPr>
          <w:lang w:val="en-GB"/>
        </w:rPr>
        <w:t>If the pipeline we have developed is to be used by other parties in their own analysis, it is of benefit</w:t>
      </w:r>
      <w:r w:rsidRPr="0082680A">
        <w:rPr>
          <w:lang w:val="en-GB"/>
        </w:rPr>
        <w:t xml:space="preserve"> to conduct a more detailed investigation into the </w:t>
      </w:r>
      <w:r>
        <w:rPr>
          <w:lang w:val="en-GB"/>
        </w:rPr>
        <w:t>range of dataset numbers that are possible</w:t>
      </w:r>
      <w:r w:rsidRPr="0082680A">
        <w:rPr>
          <w:lang w:val="en-GB"/>
        </w:rPr>
        <w:t xml:space="preserve">. From the experience we have gained </w:t>
      </w:r>
      <w:r>
        <w:rPr>
          <w:lang w:val="en-GB"/>
        </w:rPr>
        <w:t>in our own work</w:t>
      </w:r>
      <w:r w:rsidRPr="0082680A">
        <w:rPr>
          <w:lang w:val="en-GB"/>
        </w:rPr>
        <w:t xml:space="preserve">, the pipeline is successful with between 5 and 12 input datasets, however </w:t>
      </w:r>
      <w:r>
        <w:rPr>
          <w:lang w:val="en-GB"/>
        </w:rPr>
        <w:t>we are unaware as to whether the pipeline is viable at dataset numbers lower or higher than this range.</w:t>
      </w:r>
      <w:r w:rsidR="00483095">
        <w:rPr>
          <w:lang w:val="en-GB"/>
        </w:rPr>
        <w:t xml:space="preserve"> With fewer datasets</w:t>
      </w:r>
      <w:r w:rsidR="00483095" w:rsidRPr="0082680A">
        <w:rPr>
          <w:lang w:val="en-GB"/>
        </w:rPr>
        <w:t xml:space="preserve">, identification of DEGS and common edges is more likely, however if some of these datasets do not pass quality control at the coexpression stage, you are left with very few datasets to represent the phenotype. At the higher end, you are likely to lose a number of false positives due to the nature of overlapping results. At some number of datasets, it is likely that all commonality is lost. Subsequently, </w:t>
      </w:r>
      <w:r w:rsidR="00483095">
        <w:rPr>
          <w:lang w:val="en-GB"/>
        </w:rPr>
        <w:t>is beneficial</w:t>
      </w:r>
      <w:r w:rsidR="00483095" w:rsidRPr="0082680A">
        <w:rPr>
          <w:lang w:val="en-GB"/>
        </w:rPr>
        <w:t xml:space="preserve"> to set out guidelines indicating the optimum number of datasets, so that there is room for loss of datasets, but also not too many that signal is lost.</w:t>
      </w:r>
    </w:p>
    <w:p w14:paraId="7EEA492B" w14:textId="77777777" w:rsidR="00EE4DB2" w:rsidRDefault="00EE4DB2" w:rsidP="00EE4DB2">
      <w:pPr>
        <w:rPr>
          <w:lang w:val="en-GB"/>
        </w:rPr>
      </w:pPr>
    </w:p>
    <w:p w14:paraId="74A300CB" w14:textId="4629E723" w:rsidR="00FF7277" w:rsidRDefault="009C1480">
      <w:pPr>
        <w:rPr>
          <w:lang w:val="en-GB"/>
        </w:rPr>
      </w:pPr>
      <w:r>
        <w:rPr>
          <w:lang w:val="en-GB"/>
        </w:rPr>
        <w:t xml:space="preserve">To investigate this question, we utilised the datasets from our Parkinson’s disease application. We applied the pipeline to a subset of three, six, and the full twelve datasets to build a crude distribution of the pipeline outputs, as well as to assess the effect on changing dataset numbers on the practicality of running the pipeline. By building a distribution from these dataset numbers, we </w:t>
      </w:r>
      <w:r w:rsidR="00AA7BB2">
        <w:rPr>
          <w:lang w:val="en-GB"/>
        </w:rPr>
        <w:t xml:space="preserve">aimed </w:t>
      </w:r>
      <w:r>
        <w:rPr>
          <w:lang w:val="en-GB"/>
        </w:rPr>
        <w:t xml:space="preserve">to extrapolate the trends of these </w:t>
      </w:r>
      <w:r>
        <w:rPr>
          <w:lang w:val="en-GB"/>
        </w:rPr>
        <w:lastRenderedPageBreak/>
        <w:t xml:space="preserve">outputs, and potentially identify an approximate number of datasets at which the pipeline </w:t>
      </w:r>
      <w:r w:rsidR="00AA7BB2">
        <w:rPr>
          <w:lang w:val="en-GB"/>
        </w:rPr>
        <w:t>is likely to lose</w:t>
      </w:r>
      <w:r>
        <w:rPr>
          <w:lang w:val="en-GB"/>
        </w:rPr>
        <w:t xml:space="preserve"> </w:t>
      </w:r>
      <w:r w:rsidR="00AA7BB2">
        <w:rPr>
          <w:lang w:val="en-GB"/>
        </w:rPr>
        <w:t>viability</w:t>
      </w:r>
      <w:r>
        <w:rPr>
          <w:lang w:val="en-GB"/>
        </w:rPr>
        <w:t>.</w:t>
      </w:r>
    </w:p>
    <w:p w14:paraId="4DF6E7C1" w14:textId="2659270E" w:rsidR="009C1480" w:rsidRDefault="009C1480" w:rsidP="009C1480">
      <w:pPr>
        <w:pStyle w:val="Heading3"/>
        <w:rPr>
          <w:lang w:val="en-GB"/>
        </w:rPr>
      </w:pPr>
      <w:bookmarkStart w:id="375" w:name="_Toc3211440"/>
      <w:r>
        <w:rPr>
          <w:lang w:val="en-GB"/>
        </w:rPr>
        <w:t>Dataset</w:t>
      </w:r>
      <w:r w:rsidR="00AA7BB2">
        <w:rPr>
          <w:lang w:val="en-GB"/>
        </w:rPr>
        <w:t xml:space="preserve"> Subset Selection</w:t>
      </w:r>
      <w:bookmarkEnd w:id="375"/>
    </w:p>
    <w:p w14:paraId="54C4DD19" w14:textId="71F89708" w:rsidR="00653881" w:rsidRDefault="00653881" w:rsidP="00EE4DB2">
      <w:pPr>
        <w:rPr>
          <w:lang w:val="en-GB"/>
        </w:rPr>
      </w:pPr>
      <w:r>
        <w:rPr>
          <w:lang w:val="en-GB"/>
        </w:rPr>
        <w:t xml:space="preserve">To ensure </w:t>
      </w:r>
      <w:r w:rsidR="004C4829">
        <w:rPr>
          <w:lang w:val="en-GB"/>
        </w:rPr>
        <w:t>the subsets of data were sufficiently representative of the full analysis,</w:t>
      </w:r>
      <w:r>
        <w:rPr>
          <w:lang w:val="en-GB"/>
        </w:rPr>
        <w:t xml:space="preserve"> the </w:t>
      </w:r>
      <w:r w:rsidR="00AA7BB2">
        <w:rPr>
          <w:lang w:val="en-GB"/>
        </w:rPr>
        <w:t>fold change values</w:t>
      </w:r>
      <w:r>
        <w:rPr>
          <w:lang w:val="en-GB"/>
        </w:rPr>
        <w:t xml:space="preserve"> for all genes in </w:t>
      </w:r>
      <w:r w:rsidR="00FF7277">
        <w:rPr>
          <w:lang w:val="en-GB"/>
        </w:rPr>
        <w:t xml:space="preserve">both patients and control samples for </w:t>
      </w:r>
      <w:r>
        <w:rPr>
          <w:lang w:val="en-GB"/>
        </w:rPr>
        <w:t>each of the 12 datasets were visualised using both heatmaps and cluster dendrograms.</w:t>
      </w:r>
      <w:r w:rsidR="009C1480">
        <w:rPr>
          <w:lang w:val="en-GB"/>
        </w:rPr>
        <w:t xml:space="preserve"> </w:t>
      </w:r>
      <w:r>
        <w:rPr>
          <w:lang w:val="en-GB"/>
        </w:rPr>
        <w:t>These visualisations were used to ensure any datasets which appear as outliers (for reasons other than platform) are not included in the analysis.</w:t>
      </w:r>
    </w:p>
    <w:p w14:paraId="3F77D09F" w14:textId="77777777" w:rsidR="00653881" w:rsidRDefault="00653881" w:rsidP="00EE4DB2">
      <w:pPr>
        <w:rPr>
          <w:lang w:val="en-GB"/>
        </w:rPr>
      </w:pPr>
    </w:p>
    <w:p w14:paraId="3BC7298A" w14:textId="2A8374EB" w:rsidR="00653881" w:rsidRDefault="00653881" w:rsidP="00EE4DB2">
      <w:pPr>
        <w:rPr>
          <w:lang w:val="en-GB"/>
        </w:rPr>
      </w:pPr>
      <w:r>
        <w:rPr>
          <w:lang w:val="en-GB"/>
        </w:rPr>
        <w:t xml:space="preserve">On visualising gene expression via heatmap, there was little indication that any datasets were clear outliers, except for </w:t>
      </w:r>
      <w:r w:rsidR="00497EE0" w:rsidRPr="00497EE0">
        <w:rPr>
          <w:lang w:val="en-GB"/>
        </w:rPr>
        <w:t xml:space="preserve">GSE69719, </w:t>
      </w:r>
      <w:r w:rsidR="00AA7BB2">
        <w:rPr>
          <w:lang w:val="en-GB"/>
        </w:rPr>
        <w:t>the single RNA-Seq dataset</w:t>
      </w:r>
      <w:r w:rsidR="00382926">
        <w:rPr>
          <w:lang w:val="en-GB"/>
        </w:rPr>
        <w:t xml:space="preserve"> (Figure </w:t>
      </w:r>
      <w:r w:rsidR="00066B5A">
        <w:rPr>
          <w:lang w:val="en-GB"/>
        </w:rPr>
        <w:t>20</w:t>
      </w:r>
      <w:r w:rsidR="00382926">
        <w:rPr>
          <w:lang w:val="en-GB"/>
        </w:rPr>
        <w:t>)</w:t>
      </w:r>
      <w:r w:rsidR="00497EE0" w:rsidRPr="00497EE0">
        <w:rPr>
          <w:lang w:val="en-GB"/>
        </w:rPr>
        <w:t>.</w:t>
      </w:r>
      <w:r w:rsidR="00382926">
        <w:rPr>
          <w:lang w:val="en-GB"/>
        </w:rPr>
        <w:t xml:space="preserve"> </w:t>
      </w:r>
      <w:r w:rsidR="00AA7BB2">
        <w:rPr>
          <w:lang w:val="en-GB"/>
        </w:rPr>
        <w:t>The separation of RNA-Seq was expected as it is known that RNA-Seq has a more dynamic range of fold-change values than microarray</w:t>
      </w:r>
      <w:r w:rsidR="0050527E">
        <w:rPr>
          <w:lang w:val="en-GB"/>
        </w:rPr>
        <w:t xml:space="preserve"> </w:t>
      </w:r>
      <w:r w:rsidR="0050527E">
        <w:rPr>
          <w:lang w:val="en-GB"/>
        </w:rPr>
        <w:fldChar w:fldCharType="begin" w:fldLock="1"/>
      </w:r>
      <w:r w:rsidR="000507BA">
        <w:rPr>
          <w:lang w:val="en-GB"/>
        </w:rPr>
        <w:instrText>ADDIN CSL_CITATION {"citationItems":[{"id":"ITEM-1","itemData":{"DOI":"10.1371/journal.pone.0078644","ISSN":"1932-6203","abstract":"To demonstrate the benefits of RNA-Seq over microarray in transcriptome profiling, both RNA-Seq and microarray analyses were performed on RNA samples from a human T cell activation experiment. In contrast to other reports, our analyses focused on the difference, rather than similarity, between RNA-Seq and microarray technologies in transcriptome profiling. A comparison of data sets derived from RNA-Seq and Affymetrix platforms using the same set of samples showed a high correlation between gene expression profiles generated by the two platforms. However, it also demonstrated that RNA-Seq was superior in detecting low abundance transcripts, differentiating biologically critical isoforms, and allowing the identification of genetic variants. RNA-Seq also demonstrated a broader dynamic range than microarray, which allowed for the detection of more differentially expressed genes with higher fold-change. Analysis of the two datasets also showed the benefit derived from avoidance of technical issues inherent to microarray probe performance such as cross-hybridization, non-specific hybridization and limited detection range of individual probes. Because RNA-Seq does not rely on a pre-designed complement sequence detection probe, it is devoid of issues associated with probe redundancy and annotation, which simplified interpretation of the data. Despite the superior benefits of RNA-Seq, microarrays are still the more common choice of researchers when conducting transcriptional profiling experiments. This is likely because RNA-Seq sequencing technology is new to most researchers, more expensive than microarray, data storage is more challenging and analysis is more complex. We expect that once these barriers are overcome, the RNA-Seq platform will become the predominant tool for transcriptome analysis.","author":[{"dropping-particle":"","family":"Zhao","given":"Shanrong","non-dropping-particle":"","parse-names":false,"suffix":""},{"dropping-particle":"","family":"Fung-Leung","given":"Wai-Ping","non-dropping-particle":"","parse-names":false,"suffix":""},{"dropping-particle":"","family":"Bittner","given":"Anton","non-dropping-particle":"","parse-names":false,"suffix":""},{"dropping-particle":"","family":"Ngo","given":"Karen","non-dropping-particle":"","parse-names":false,"suffix":""},{"dropping-particle":"","family":"Liu","given":"Xuejun","non-dropping-particle":"","parse-names":false,"suffix":""}],"container-title":"PLoS ONE","editor":[{"dropping-particle":"","family":"Zhang","given":"Shu-Dong","non-dropping-particle":"","parse-names":false,"suffix":""}],"id":"ITEM-1","issue":"1","issued":{"date-parts":[["2014","1","16"]]},"page":"e78644","publisher":"Public Library of Science","title":"Comparison of RNA-Seq and Microarray in Transcriptome Profiling of Activated T Cells","type":"article-journal","volume":"9"},"uris":["http://www.mendeley.com/documents/?uuid=8b85e2c6-c5f2-3d67-af8b-e6a484d1b2e7"]}],"mendeley":{"formattedCitation":"&lt;sup&gt;92&lt;/sup&gt;","plainTextFormattedCitation":"92","previouslyFormattedCitation":"&lt;sup&gt;92&lt;/sup&gt;"},"properties":{"noteIndex":0},"schema":"https://github.com/citation-style-language/schema/raw/master/csl-citation.json"}</w:instrText>
      </w:r>
      <w:r w:rsidR="0050527E">
        <w:rPr>
          <w:lang w:val="en-GB"/>
        </w:rPr>
        <w:fldChar w:fldCharType="separate"/>
      </w:r>
      <w:r w:rsidR="00426B19" w:rsidRPr="00426B19">
        <w:rPr>
          <w:noProof/>
          <w:vertAlign w:val="superscript"/>
          <w:lang w:val="en-GB"/>
        </w:rPr>
        <w:t>92</w:t>
      </w:r>
      <w:r w:rsidR="0050527E">
        <w:rPr>
          <w:lang w:val="en-GB"/>
        </w:rPr>
        <w:fldChar w:fldCharType="end"/>
      </w:r>
      <w:r w:rsidR="00AA7BB2">
        <w:rPr>
          <w:lang w:val="en-GB"/>
        </w:rPr>
        <w:t xml:space="preserve">. Subsequently, we reanalysed the clustering based on a binary “upregulated” or “downregulated” assignment for each gene, the function </w:t>
      </w:r>
      <w:proofErr w:type="spellStart"/>
      <w:r w:rsidR="00AA7BB2">
        <w:rPr>
          <w:i/>
          <w:lang w:val="en-GB"/>
        </w:rPr>
        <w:t>colour_clusters</w:t>
      </w:r>
      <w:proofErr w:type="spellEnd"/>
      <w:r w:rsidR="00AA7BB2">
        <w:rPr>
          <w:lang w:val="en-GB"/>
        </w:rPr>
        <w:t xml:space="preserve"> from the package </w:t>
      </w:r>
      <w:proofErr w:type="spellStart"/>
      <w:r w:rsidR="00AA7BB2">
        <w:rPr>
          <w:i/>
          <w:lang w:val="en-GB"/>
        </w:rPr>
        <w:t>dendroextras</w:t>
      </w:r>
      <w:proofErr w:type="spellEnd"/>
      <w:r w:rsidR="00AA7BB2">
        <w:rPr>
          <w:lang w:val="en-GB"/>
        </w:rPr>
        <w:t xml:space="preserve"> was applied to a matrix of values where a positive value of 1 was given if the gene was upregulated compared to controls, and a negative value of -1 if downregulated. By applying this data transformation, we expected to see the effect of the RNA-Seq platform reduced</w:t>
      </w:r>
      <w:r w:rsidR="00FD6251">
        <w:rPr>
          <w:lang w:val="en-GB"/>
        </w:rPr>
        <w:t>, as the specific fold change values were not being analysed, instead only their relationship to the control data. As expected, clustering on the binary data revealed few differences between the datasets, whether due to platform, tissue or disease group</w:t>
      </w:r>
      <w:r w:rsidR="00066B5A">
        <w:rPr>
          <w:lang w:val="en-GB"/>
        </w:rPr>
        <w:t xml:space="preserve"> (Figure 21)</w:t>
      </w:r>
      <w:r w:rsidR="00FD6251">
        <w:rPr>
          <w:lang w:val="en-GB"/>
        </w:rPr>
        <w:t xml:space="preserve">. One dataset, GSE7621, clustered somewhat separately, despite being sporadic patients analysed on a microarray platform. </w:t>
      </w:r>
    </w:p>
    <w:p w14:paraId="48F75BE0" w14:textId="548C7FAF" w:rsidR="00FD6251" w:rsidRDefault="00FD6251" w:rsidP="00EE4DB2">
      <w:pPr>
        <w:rPr>
          <w:lang w:val="en-GB"/>
        </w:rPr>
      </w:pPr>
    </w:p>
    <w:p w14:paraId="2D0B3837" w14:textId="6E32ACE6" w:rsidR="00FD6251" w:rsidRDefault="00FD6251" w:rsidP="00EE4DB2">
      <w:pPr>
        <w:rPr>
          <w:lang w:val="en-GB"/>
        </w:rPr>
      </w:pPr>
      <w:r>
        <w:rPr>
          <w:lang w:val="en-GB"/>
        </w:rPr>
        <w:t>After review of these results,</w:t>
      </w:r>
      <w:r w:rsidR="0050527E">
        <w:rPr>
          <w:lang w:val="en-GB"/>
        </w:rPr>
        <w:t xml:space="preserve"> the dataset selections were as depicted in Table 6</w:t>
      </w:r>
      <w:r w:rsidR="00066B5A">
        <w:rPr>
          <w:lang w:val="en-GB"/>
        </w:rPr>
        <w:t>4</w:t>
      </w:r>
      <w:r w:rsidR="0050527E">
        <w:rPr>
          <w:lang w:val="en-GB"/>
        </w:rPr>
        <w:t>.</w:t>
      </w:r>
      <w:r>
        <w:rPr>
          <w:lang w:val="en-GB"/>
        </w:rPr>
        <w:t xml:space="preserve"> </w:t>
      </w:r>
      <w:r w:rsidR="00541D3B">
        <w:rPr>
          <w:lang w:val="en-GB"/>
        </w:rPr>
        <w:t>These were chosen as we wanted to take a wide variety of datasets to ensure we were not biasing our results towards similar structured datasets.</w:t>
      </w:r>
    </w:p>
    <w:p w14:paraId="4E8902FB" w14:textId="62A992C0" w:rsidR="009C1480" w:rsidRDefault="009C1480" w:rsidP="00EE4DB2">
      <w:pPr>
        <w:rPr>
          <w:lang w:val="en-GB"/>
        </w:rPr>
      </w:pPr>
    </w:p>
    <w:p w14:paraId="1E6FA9D1" w14:textId="77777777" w:rsidR="00C2083B" w:rsidRDefault="00C2083B" w:rsidP="00EE4DB2">
      <w:pPr>
        <w:rPr>
          <w:lang w:val="en-GB"/>
        </w:rPr>
      </w:pPr>
    </w:p>
    <w:p w14:paraId="7DA3B344" w14:textId="691A2E82" w:rsidR="00497EE0" w:rsidRDefault="009C1480" w:rsidP="00497EE0">
      <w:pPr>
        <w:keepNext/>
      </w:pPr>
      <w:r>
        <w:rPr>
          <w:noProof/>
          <w:lang w:val="en-GB"/>
        </w:rPr>
        <w:lastRenderedPageBreak/>
        <w:drawing>
          <wp:inline distT="0" distB="0" distL="0" distR="0" wp14:anchorId="42F37205" wp14:editId="0B4E94F7">
            <wp:extent cx="4999857" cy="5689600"/>
            <wp:effectExtent l="0" t="0" r="444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llGenesFCHeatmap.pdf"/>
                    <pic:cNvPicPr/>
                  </pic:nvPicPr>
                  <pic:blipFill rotWithShape="1">
                    <a:blip r:embed="rId156">
                      <a:extLst>
                        <a:ext uri="{28A0092B-C50C-407E-A947-70E740481C1C}">
                          <a14:useLocalDpi xmlns:a14="http://schemas.microsoft.com/office/drawing/2010/main" val="0"/>
                        </a:ext>
                      </a:extLst>
                    </a:blip>
                    <a:srcRect l="18361" r="19865"/>
                    <a:stretch/>
                  </pic:blipFill>
                  <pic:spPr bwMode="auto">
                    <a:xfrm>
                      <a:off x="0" y="0"/>
                      <a:ext cx="5017779" cy="5709994"/>
                    </a:xfrm>
                    <a:prstGeom prst="rect">
                      <a:avLst/>
                    </a:prstGeom>
                    <a:ln>
                      <a:noFill/>
                    </a:ln>
                    <a:extLst>
                      <a:ext uri="{53640926-AAD7-44D8-BBD7-CCE9431645EC}">
                        <a14:shadowObscured xmlns:a14="http://schemas.microsoft.com/office/drawing/2010/main"/>
                      </a:ext>
                    </a:extLst>
                  </pic:spPr>
                </pic:pic>
              </a:graphicData>
            </a:graphic>
          </wp:inline>
        </w:drawing>
      </w:r>
    </w:p>
    <w:p w14:paraId="4936180C" w14:textId="7B761805" w:rsidR="00FD6251" w:rsidRDefault="00497EE0" w:rsidP="00497EE0">
      <w:pPr>
        <w:pStyle w:val="Caption"/>
        <w:rPr>
          <w:b w:val="0"/>
        </w:rPr>
      </w:pPr>
      <w:bookmarkStart w:id="376" w:name="_Toc3226016"/>
      <w:r>
        <w:t xml:space="preserve">Figure </w:t>
      </w:r>
      <w:r w:rsidR="002C3F01">
        <w:rPr>
          <w:noProof/>
        </w:rPr>
        <w:fldChar w:fldCharType="begin"/>
      </w:r>
      <w:r w:rsidR="002C3F01">
        <w:rPr>
          <w:noProof/>
        </w:rPr>
        <w:instrText xml:space="preserve"> SEQ Figure \* ARABIC </w:instrText>
      </w:r>
      <w:r w:rsidR="002C3F01">
        <w:rPr>
          <w:noProof/>
        </w:rPr>
        <w:fldChar w:fldCharType="separate"/>
      </w:r>
      <w:r w:rsidR="00066B5A">
        <w:rPr>
          <w:noProof/>
        </w:rPr>
        <w:t>20</w:t>
      </w:r>
      <w:r w:rsidR="002C3F01">
        <w:rPr>
          <w:noProof/>
        </w:rPr>
        <w:fldChar w:fldCharType="end"/>
      </w:r>
      <w:r>
        <w:t xml:space="preserve">: A clustered heatmap for all PD datasets. </w:t>
      </w:r>
      <w:r>
        <w:rPr>
          <w:b w:val="0"/>
        </w:rPr>
        <w:t xml:space="preserve">Datasets were clustered based on columns (i.e. by datasets). Greyscale row indicates tissue source (SN, FC or </w:t>
      </w:r>
      <w:proofErr w:type="gramStart"/>
      <w:r>
        <w:rPr>
          <w:b w:val="0"/>
        </w:rPr>
        <w:t>other</w:t>
      </w:r>
      <w:proofErr w:type="gramEnd"/>
      <w:r>
        <w:rPr>
          <w:b w:val="0"/>
        </w:rPr>
        <w:t xml:space="preserve"> midbrain area). Magenta row indicates the platform. Salmon row indicates whether the datasets contained sporadic or LRRK2 datasets. Clustering indicated a separation of the dataset GSE69719</w:t>
      </w:r>
      <w:r w:rsidR="00AA7BB2">
        <w:rPr>
          <w:b w:val="0"/>
        </w:rPr>
        <w:t>.</w:t>
      </w:r>
      <w:r w:rsidR="00FF7277">
        <w:rPr>
          <w:b w:val="0"/>
        </w:rPr>
        <w:t xml:space="preserve"> Blue values are downregulated, cream values are upregulated.</w:t>
      </w:r>
      <w:bookmarkEnd w:id="376"/>
    </w:p>
    <w:p w14:paraId="6C3098A3" w14:textId="77777777" w:rsidR="00FD6251" w:rsidRDefault="00FD6251">
      <w:pPr>
        <w:rPr>
          <w:iCs/>
          <w:color w:val="000000" w:themeColor="text1"/>
          <w:szCs w:val="18"/>
        </w:rPr>
      </w:pPr>
      <w:r>
        <w:rPr>
          <w:b/>
        </w:rPr>
        <w:br w:type="page"/>
      </w:r>
    </w:p>
    <w:p w14:paraId="3AF599AE" w14:textId="7B157263" w:rsidR="00FD6251" w:rsidRDefault="00FD6251" w:rsidP="00FF7277">
      <w:pPr>
        <w:pStyle w:val="NoSpacing"/>
        <w:jc w:val="right"/>
        <w:rPr>
          <w:lang w:val="en-GB"/>
        </w:rPr>
      </w:pPr>
      <w:r>
        <w:rPr>
          <w:noProof/>
          <w:lang w:val="en-GB"/>
        </w:rPr>
        <w:lastRenderedPageBreak/>
        <w:drawing>
          <wp:inline distT="0" distB="0" distL="0" distR="0" wp14:anchorId="00D2396E" wp14:editId="1BF1CF02">
            <wp:extent cx="903705" cy="909053"/>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llGenesFCHeatmap.pdf"/>
                    <pic:cNvPicPr/>
                  </pic:nvPicPr>
                  <pic:blipFill rotWithShape="1">
                    <a:blip r:embed="rId157">
                      <a:extLst>
                        <a:ext uri="{28A0092B-C50C-407E-A947-70E740481C1C}">
                          <a14:useLocalDpi xmlns:a14="http://schemas.microsoft.com/office/drawing/2010/main" val="0"/>
                        </a:ext>
                      </a:extLst>
                    </a:blip>
                    <a:srcRect l="18425" r="69531" b="82765"/>
                    <a:stretch/>
                  </pic:blipFill>
                  <pic:spPr bwMode="auto">
                    <a:xfrm>
                      <a:off x="0" y="0"/>
                      <a:ext cx="906024" cy="911385"/>
                    </a:xfrm>
                    <a:prstGeom prst="rect">
                      <a:avLst/>
                    </a:prstGeom>
                    <a:ln>
                      <a:noFill/>
                    </a:ln>
                    <a:extLst>
                      <a:ext uri="{53640926-AAD7-44D8-BBD7-CCE9431645EC}">
                        <a14:shadowObscured xmlns:a14="http://schemas.microsoft.com/office/drawing/2010/main"/>
                      </a:ext>
                    </a:extLst>
                  </pic:spPr>
                </pic:pic>
              </a:graphicData>
            </a:graphic>
          </wp:inline>
        </w:drawing>
      </w:r>
    </w:p>
    <w:p w14:paraId="55692474" w14:textId="64F928E5" w:rsidR="00382926" w:rsidRDefault="00382926" w:rsidP="00FF7277">
      <w:pPr>
        <w:pStyle w:val="NoSpacing"/>
        <w:rPr>
          <w:lang w:val="en-GB"/>
        </w:rPr>
      </w:pPr>
      <w:r>
        <w:rPr>
          <w:noProof/>
          <w:lang w:val="en-GB"/>
        </w:rPr>
        <w:drawing>
          <wp:inline distT="0" distB="0" distL="0" distR="0" wp14:anchorId="3C7CE8D6" wp14:editId="01AE789D">
            <wp:extent cx="4996007" cy="2712018"/>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luster2.pdf"/>
                    <pic:cNvPicPr/>
                  </pic:nvPicPr>
                  <pic:blipFill rotWithShape="1">
                    <a:blip r:embed="rId158">
                      <a:extLst>
                        <a:ext uri="{28A0092B-C50C-407E-A947-70E740481C1C}">
                          <a14:useLocalDpi xmlns:a14="http://schemas.microsoft.com/office/drawing/2010/main" val="0"/>
                        </a:ext>
                      </a:extLst>
                    </a:blip>
                    <a:srcRect t="13757" r="9068" b="16475"/>
                    <a:stretch/>
                  </pic:blipFill>
                  <pic:spPr bwMode="auto">
                    <a:xfrm>
                      <a:off x="0" y="0"/>
                      <a:ext cx="5035032" cy="2733202"/>
                    </a:xfrm>
                    <a:prstGeom prst="rect">
                      <a:avLst/>
                    </a:prstGeom>
                    <a:ln>
                      <a:noFill/>
                    </a:ln>
                    <a:extLst>
                      <a:ext uri="{53640926-AAD7-44D8-BBD7-CCE9431645EC}">
                        <a14:shadowObscured xmlns:a14="http://schemas.microsoft.com/office/drawing/2010/main"/>
                      </a:ext>
                    </a:extLst>
                  </pic:spPr>
                </pic:pic>
              </a:graphicData>
            </a:graphic>
          </wp:inline>
        </w:drawing>
      </w:r>
    </w:p>
    <w:p w14:paraId="3A62FA66" w14:textId="0D094300" w:rsidR="00174D80" w:rsidRPr="00C2083B" w:rsidRDefault="00C2083B" w:rsidP="00C2083B">
      <w:pPr>
        <w:rPr>
          <w:lang w:val="en-GB"/>
        </w:rPr>
      </w:pPr>
      <w:r>
        <w:rPr>
          <w:noProof/>
          <w:lang w:val="en-GB"/>
        </w:rPr>
        <w:drawing>
          <wp:inline distT="0" distB="0" distL="0" distR="0" wp14:anchorId="4209AFE5" wp14:editId="12958483">
            <wp:extent cx="5471647" cy="528734"/>
            <wp:effectExtent l="0" t="0" r="254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luster4.pdf"/>
                    <pic:cNvPicPr/>
                  </pic:nvPicPr>
                  <pic:blipFill rotWithShape="1">
                    <a:blip r:embed="rId159">
                      <a:extLst>
                        <a:ext uri="{28A0092B-C50C-407E-A947-70E740481C1C}">
                          <a14:useLocalDpi xmlns:a14="http://schemas.microsoft.com/office/drawing/2010/main" val="0"/>
                        </a:ext>
                      </a:extLst>
                    </a:blip>
                    <a:srcRect t="80252" b="6091"/>
                    <a:stretch/>
                  </pic:blipFill>
                  <pic:spPr bwMode="auto">
                    <a:xfrm>
                      <a:off x="0" y="0"/>
                      <a:ext cx="5536509" cy="53500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7229"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
        <w:gridCol w:w="602"/>
        <w:gridCol w:w="603"/>
        <w:gridCol w:w="602"/>
        <w:gridCol w:w="603"/>
        <w:gridCol w:w="602"/>
        <w:gridCol w:w="602"/>
        <w:gridCol w:w="603"/>
        <w:gridCol w:w="602"/>
        <w:gridCol w:w="603"/>
        <w:gridCol w:w="602"/>
        <w:gridCol w:w="603"/>
      </w:tblGrid>
      <w:tr w:rsidR="00C2083B" w14:paraId="3400BDD7" w14:textId="2F649B1C" w:rsidTr="00C2083B">
        <w:tc>
          <w:tcPr>
            <w:tcW w:w="602" w:type="dxa"/>
            <w:shd w:val="clear" w:color="auto" w:fill="FFA07A"/>
          </w:tcPr>
          <w:p w14:paraId="2901D094" w14:textId="77777777" w:rsidR="00C2083B" w:rsidRDefault="00C2083B" w:rsidP="00174D80">
            <w:pPr>
              <w:keepNext/>
            </w:pPr>
          </w:p>
        </w:tc>
        <w:tc>
          <w:tcPr>
            <w:tcW w:w="602" w:type="dxa"/>
            <w:shd w:val="clear" w:color="auto" w:fill="FFA07A"/>
          </w:tcPr>
          <w:p w14:paraId="45AB8386" w14:textId="77777777" w:rsidR="00C2083B" w:rsidRDefault="00C2083B" w:rsidP="00174D80">
            <w:pPr>
              <w:keepNext/>
            </w:pPr>
          </w:p>
        </w:tc>
        <w:tc>
          <w:tcPr>
            <w:tcW w:w="603" w:type="dxa"/>
            <w:shd w:val="clear" w:color="auto" w:fill="CD8162"/>
          </w:tcPr>
          <w:p w14:paraId="5FE189A3" w14:textId="77777777" w:rsidR="00C2083B" w:rsidRDefault="00C2083B" w:rsidP="00174D80">
            <w:pPr>
              <w:keepNext/>
            </w:pPr>
          </w:p>
        </w:tc>
        <w:tc>
          <w:tcPr>
            <w:tcW w:w="602" w:type="dxa"/>
            <w:shd w:val="clear" w:color="auto" w:fill="FFA07A"/>
          </w:tcPr>
          <w:p w14:paraId="6A6A29E0" w14:textId="77777777" w:rsidR="00C2083B" w:rsidRDefault="00C2083B" w:rsidP="00174D80">
            <w:pPr>
              <w:keepNext/>
            </w:pPr>
          </w:p>
        </w:tc>
        <w:tc>
          <w:tcPr>
            <w:tcW w:w="603" w:type="dxa"/>
            <w:shd w:val="clear" w:color="auto" w:fill="FFA07A"/>
          </w:tcPr>
          <w:p w14:paraId="05D5534A" w14:textId="77777777" w:rsidR="00C2083B" w:rsidRDefault="00C2083B" w:rsidP="00174D80">
            <w:pPr>
              <w:keepNext/>
            </w:pPr>
          </w:p>
        </w:tc>
        <w:tc>
          <w:tcPr>
            <w:tcW w:w="602" w:type="dxa"/>
            <w:shd w:val="clear" w:color="auto" w:fill="FFA07A"/>
          </w:tcPr>
          <w:p w14:paraId="63E8FA59" w14:textId="77777777" w:rsidR="00C2083B" w:rsidRDefault="00C2083B" w:rsidP="00174D80">
            <w:pPr>
              <w:keepNext/>
            </w:pPr>
          </w:p>
        </w:tc>
        <w:tc>
          <w:tcPr>
            <w:tcW w:w="602" w:type="dxa"/>
            <w:shd w:val="clear" w:color="auto" w:fill="FFA07A"/>
          </w:tcPr>
          <w:p w14:paraId="7BD91892" w14:textId="77777777" w:rsidR="00C2083B" w:rsidRDefault="00C2083B" w:rsidP="00174D80">
            <w:pPr>
              <w:keepNext/>
            </w:pPr>
          </w:p>
        </w:tc>
        <w:tc>
          <w:tcPr>
            <w:tcW w:w="603" w:type="dxa"/>
            <w:shd w:val="clear" w:color="auto" w:fill="FFA07A"/>
          </w:tcPr>
          <w:p w14:paraId="52909CFD" w14:textId="77777777" w:rsidR="00C2083B" w:rsidRDefault="00C2083B" w:rsidP="00174D80">
            <w:pPr>
              <w:keepNext/>
            </w:pPr>
          </w:p>
        </w:tc>
        <w:tc>
          <w:tcPr>
            <w:tcW w:w="602" w:type="dxa"/>
            <w:shd w:val="clear" w:color="auto" w:fill="FFA07A"/>
          </w:tcPr>
          <w:p w14:paraId="10E36ACF" w14:textId="77777777" w:rsidR="00C2083B" w:rsidRDefault="00C2083B" w:rsidP="00174D80">
            <w:pPr>
              <w:keepNext/>
            </w:pPr>
          </w:p>
        </w:tc>
        <w:tc>
          <w:tcPr>
            <w:tcW w:w="603" w:type="dxa"/>
            <w:shd w:val="clear" w:color="auto" w:fill="CD8162"/>
          </w:tcPr>
          <w:p w14:paraId="7F8532F4" w14:textId="77777777" w:rsidR="00C2083B" w:rsidRDefault="00C2083B" w:rsidP="00174D80">
            <w:pPr>
              <w:keepNext/>
            </w:pPr>
          </w:p>
        </w:tc>
        <w:tc>
          <w:tcPr>
            <w:tcW w:w="602" w:type="dxa"/>
            <w:shd w:val="clear" w:color="auto" w:fill="FFA07A"/>
          </w:tcPr>
          <w:p w14:paraId="0C0FF9D9" w14:textId="77777777" w:rsidR="00C2083B" w:rsidRDefault="00C2083B" w:rsidP="00174D80">
            <w:pPr>
              <w:keepNext/>
            </w:pPr>
          </w:p>
        </w:tc>
        <w:tc>
          <w:tcPr>
            <w:tcW w:w="603" w:type="dxa"/>
            <w:shd w:val="clear" w:color="auto" w:fill="FFA07A"/>
          </w:tcPr>
          <w:p w14:paraId="419F570A" w14:textId="77777777" w:rsidR="00C2083B" w:rsidRDefault="00C2083B" w:rsidP="00174D80">
            <w:pPr>
              <w:keepNext/>
            </w:pPr>
          </w:p>
        </w:tc>
      </w:tr>
      <w:tr w:rsidR="00C2083B" w14:paraId="42B4540C" w14:textId="18DAFA9E" w:rsidTr="00C2083B">
        <w:tc>
          <w:tcPr>
            <w:tcW w:w="602" w:type="dxa"/>
            <w:shd w:val="clear" w:color="auto" w:fill="8C2152"/>
          </w:tcPr>
          <w:p w14:paraId="419BD28E" w14:textId="77777777" w:rsidR="00C2083B" w:rsidRDefault="00C2083B" w:rsidP="00174D80">
            <w:pPr>
              <w:keepNext/>
            </w:pPr>
          </w:p>
        </w:tc>
        <w:tc>
          <w:tcPr>
            <w:tcW w:w="602" w:type="dxa"/>
            <w:shd w:val="clear" w:color="auto" w:fill="CD3278"/>
          </w:tcPr>
          <w:p w14:paraId="11E966B5" w14:textId="77777777" w:rsidR="00C2083B" w:rsidRDefault="00C2083B" w:rsidP="00174D80">
            <w:pPr>
              <w:keepNext/>
            </w:pPr>
          </w:p>
        </w:tc>
        <w:tc>
          <w:tcPr>
            <w:tcW w:w="603" w:type="dxa"/>
            <w:shd w:val="clear" w:color="auto" w:fill="8C2152"/>
          </w:tcPr>
          <w:p w14:paraId="4215EE6B" w14:textId="77777777" w:rsidR="00C2083B" w:rsidRDefault="00C2083B" w:rsidP="00174D80">
            <w:pPr>
              <w:keepNext/>
            </w:pPr>
          </w:p>
        </w:tc>
        <w:tc>
          <w:tcPr>
            <w:tcW w:w="602" w:type="dxa"/>
            <w:shd w:val="clear" w:color="auto" w:fill="8C2152"/>
          </w:tcPr>
          <w:p w14:paraId="5E684F58" w14:textId="77777777" w:rsidR="00C2083B" w:rsidRDefault="00C2083B" w:rsidP="00174D80">
            <w:pPr>
              <w:keepNext/>
            </w:pPr>
          </w:p>
        </w:tc>
        <w:tc>
          <w:tcPr>
            <w:tcW w:w="603" w:type="dxa"/>
            <w:shd w:val="clear" w:color="auto" w:fill="8C2152"/>
          </w:tcPr>
          <w:p w14:paraId="62B8BFF4" w14:textId="77777777" w:rsidR="00C2083B" w:rsidRDefault="00C2083B" w:rsidP="00174D80">
            <w:pPr>
              <w:keepNext/>
            </w:pPr>
          </w:p>
        </w:tc>
        <w:tc>
          <w:tcPr>
            <w:tcW w:w="602" w:type="dxa"/>
            <w:shd w:val="clear" w:color="auto" w:fill="8C2152"/>
          </w:tcPr>
          <w:p w14:paraId="64A8DD70" w14:textId="77777777" w:rsidR="00C2083B" w:rsidRDefault="00C2083B" w:rsidP="00174D80">
            <w:pPr>
              <w:keepNext/>
            </w:pPr>
          </w:p>
        </w:tc>
        <w:tc>
          <w:tcPr>
            <w:tcW w:w="602" w:type="dxa"/>
            <w:shd w:val="clear" w:color="auto" w:fill="8C2152"/>
          </w:tcPr>
          <w:p w14:paraId="3D43FDCF" w14:textId="77777777" w:rsidR="00C2083B" w:rsidRDefault="00C2083B" w:rsidP="00174D80">
            <w:pPr>
              <w:keepNext/>
            </w:pPr>
          </w:p>
        </w:tc>
        <w:tc>
          <w:tcPr>
            <w:tcW w:w="603" w:type="dxa"/>
            <w:shd w:val="clear" w:color="auto" w:fill="8C2152"/>
          </w:tcPr>
          <w:p w14:paraId="746CCC28" w14:textId="77777777" w:rsidR="00C2083B" w:rsidRDefault="00C2083B" w:rsidP="00174D80">
            <w:pPr>
              <w:keepNext/>
            </w:pPr>
          </w:p>
        </w:tc>
        <w:tc>
          <w:tcPr>
            <w:tcW w:w="602" w:type="dxa"/>
            <w:shd w:val="clear" w:color="auto" w:fill="8C2152"/>
          </w:tcPr>
          <w:p w14:paraId="0CE11232" w14:textId="77777777" w:rsidR="00C2083B" w:rsidRDefault="00C2083B" w:rsidP="00174D80">
            <w:pPr>
              <w:keepNext/>
            </w:pPr>
          </w:p>
        </w:tc>
        <w:tc>
          <w:tcPr>
            <w:tcW w:w="603" w:type="dxa"/>
            <w:shd w:val="clear" w:color="auto" w:fill="8C2152"/>
          </w:tcPr>
          <w:p w14:paraId="3183BECA" w14:textId="77777777" w:rsidR="00C2083B" w:rsidRDefault="00C2083B" w:rsidP="00174D80">
            <w:pPr>
              <w:keepNext/>
            </w:pPr>
          </w:p>
        </w:tc>
        <w:tc>
          <w:tcPr>
            <w:tcW w:w="602" w:type="dxa"/>
            <w:shd w:val="clear" w:color="auto" w:fill="8C2152"/>
          </w:tcPr>
          <w:p w14:paraId="263B0ED2" w14:textId="77777777" w:rsidR="00C2083B" w:rsidRDefault="00C2083B" w:rsidP="00174D80">
            <w:pPr>
              <w:keepNext/>
            </w:pPr>
          </w:p>
        </w:tc>
        <w:tc>
          <w:tcPr>
            <w:tcW w:w="603" w:type="dxa"/>
            <w:shd w:val="clear" w:color="auto" w:fill="8C2152"/>
          </w:tcPr>
          <w:p w14:paraId="23CD4D07" w14:textId="77777777" w:rsidR="00C2083B" w:rsidRDefault="00C2083B" w:rsidP="00174D80">
            <w:pPr>
              <w:keepNext/>
            </w:pPr>
          </w:p>
        </w:tc>
      </w:tr>
      <w:tr w:rsidR="00C2083B" w14:paraId="4B480D7E" w14:textId="1610BFEA" w:rsidTr="00C2083B">
        <w:tc>
          <w:tcPr>
            <w:tcW w:w="602" w:type="dxa"/>
            <w:shd w:val="clear" w:color="auto" w:fill="404040"/>
          </w:tcPr>
          <w:p w14:paraId="2A3B8745" w14:textId="77777777" w:rsidR="00C2083B" w:rsidRDefault="00C2083B" w:rsidP="00174D80">
            <w:pPr>
              <w:keepNext/>
            </w:pPr>
          </w:p>
        </w:tc>
        <w:tc>
          <w:tcPr>
            <w:tcW w:w="602" w:type="dxa"/>
            <w:shd w:val="clear" w:color="auto" w:fill="CCCCCC"/>
          </w:tcPr>
          <w:p w14:paraId="48C11E89" w14:textId="77777777" w:rsidR="00C2083B" w:rsidRDefault="00C2083B" w:rsidP="00174D80">
            <w:pPr>
              <w:keepNext/>
            </w:pPr>
          </w:p>
        </w:tc>
        <w:tc>
          <w:tcPr>
            <w:tcW w:w="603" w:type="dxa"/>
            <w:shd w:val="clear" w:color="auto" w:fill="999999"/>
          </w:tcPr>
          <w:p w14:paraId="33BD37A6" w14:textId="77777777" w:rsidR="00C2083B" w:rsidRDefault="00C2083B" w:rsidP="00174D80">
            <w:pPr>
              <w:keepNext/>
            </w:pPr>
          </w:p>
        </w:tc>
        <w:tc>
          <w:tcPr>
            <w:tcW w:w="602" w:type="dxa"/>
            <w:shd w:val="clear" w:color="auto" w:fill="404040"/>
          </w:tcPr>
          <w:p w14:paraId="7D0CB8E3" w14:textId="77777777" w:rsidR="00C2083B" w:rsidRDefault="00C2083B" w:rsidP="00174D80">
            <w:pPr>
              <w:keepNext/>
            </w:pPr>
          </w:p>
        </w:tc>
        <w:tc>
          <w:tcPr>
            <w:tcW w:w="603" w:type="dxa"/>
            <w:shd w:val="clear" w:color="auto" w:fill="404040"/>
          </w:tcPr>
          <w:p w14:paraId="6C1DD7A5" w14:textId="77777777" w:rsidR="00C2083B" w:rsidRDefault="00C2083B" w:rsidP="00174D80">
            <w:pPr>
              <w:keepNext/>
            </w:pPr>
          </w:p>
        </w:tc>
        <w:tc>
          <w:tcPr>
            <w:tcW w:w="602" w:type="dxa"/>
            <w:shd w:val="clear" w:color="auto" w:fill="999999"/>
          </w:tcPr>
          <w:p w14:paraId="4FE6C675" w14:textId="77777777" w:rsidR="00C2083B" w:rsidRDefault="00C2083B" w:rsidP="00174D80">
            <w:pPr>
              <w:keepNext/>
            </w:pPr>
          </w:p>
        </w:tc>
        <w:tc>
          <w:tcPr>
            <w:tcW w:w="602" w:type="dxa"/>
            <w:shd w:val="clear" w:color="auto" w:fill="404040"/>
          </w:tcPr>
          <w:p w14:paraId="63585789" w14:textId="77777777" w:rsidR="00C2083B" w:rsidRDefault="00C2083B" w:rsidP="00174D80">
            <w:pPr>
              <w:keepNext/>
            </w:pPr>
          </w:p>
        </w:tc>
        <w:tc>
          <w:tcPr>
            <w:tcW w:w="603" w:type="dxa"/>
            <w:shd w:val="clear" w:color="auto" w:fill="999999"/>
          </w:tcPr>
          <w:p w14:paraId="4F23053A" w14:textId="77777777" w:rsidR="00C2083B" w:rsidRDefault="00C2083B" w:rsidP="00174D80">
            <w:pPr>
              <w:keepNext/>
            </w:pPr>
          </w:p>
        </w:tc>
        <w:tc>
          <w:tcPr>
            <w:tcW w:w="602" w:type="dxa"/>
            <w:shd w:val="clear" w:color="auto" w:fill="CCCCCC"/>
          </w:tcPr>
          <w:p w14:paraId="0D8C4F7A" w14:textId="77777777" w:rsidR="00C2083B" w:rsidRDefault="00C2083B" w:rsidP="00174D80">
            <w:pPr>
              <w:keepNext/>
            </w:pPr>
          </w:p>
        </w:tc>
        <w:tc>
          <w:tcPr>
            <w:tcW w:w="603" w:type="dxa"/>
            <w:shd w:val="clear" w:color="auto" w:fill="999999"/>
          </w:tcPr>
          <w:p w14:paraId="5AD1A0C8" w14:textId="77777777" w:rsidR="00C2083B" w:rsidRDefault="00C2083B" w:rsidP="00174D80">
            <w:pPr>
              <w:keepNext/>
            </w:pPr>
          </w:p>
        </w:tc>
        <w:tc>
          <w:tcPr>
            <w:tcW w:w="602" w:type="dxa"/>
            <w:shd w:val="clear" w:color="auto" w:fill="404040"/>
          </w:tcPr>
          <w:p w14:paraId="371211F7" w14:textId="77777777" w:rsidR="00C2083B" w:rsidRDefault="00C2083B" w:rsidP="00174D80">
            <w:pPr>
              <w:keepNext/>
            </w:pPr>
          </w:p>
        </w:tc>
        <w:tc>
          <w:tcPr>
            <w:tcW w:w="603" w:type="dxa"/>
            <w:shd w:val="clear" w:color="auto" w:fill="CCCCCC"/>
          </w:tcPr>
          <w:p w14:paraId="1B9F3A98" w14:textId="77777777" w:rsidR="00C2083B" w:rsidRDefault="00C2083B" w:rsidP="00174D80">
            <w:pPr>
              <w:keepNext/>
            </w:pPr>
          </w:p>
        </w:tc>
      </w:tr>
    </w:tbl>
    <w:p w14:paraId="6A9ADB60" w14:textId="77777777" w:rsidR="00174D80" w:rsidRDefault="00174D80" w:rsidP="00174D80">
      <w:pPr>
        <w:keepNext/>
      </w:pPr>
    </w:p>
    <w:p w14:paraId="651C24CB" w14:textId="6BD123ED" w:rsidR="00382926" w:rsidRDefault="00174D80" w:rsidP="00174D80">
      <w:pPr>
        <w:pStyle w:val="Caption"/>
        <w:rPr>
          <w:b w:val="0"/>
        </w:rPr>
      </w:pPr>
      <w:bookmarkStart w:id="377" w:name="_Toc3226017"/>
      <w:r>
        <w:t xml:space="preserve">Figure </w:t>
      </w:r>
      <w:r w:rsidR="002C3F01">
        <w:rPr>
          <w:noProof/>
        </w:rPr>
        <w:fldChar w:fldCharType="begin"/>
      </w:r>
      <w:r w:rsidR="002C3F01">
        <w:rPr>
          <w:noProof/>
        </w:rPr>
        <w:instrText xml:space="preserve"> SEQ Figure \* ARABIC </w:instrText>
      </w:r>
      <w:r w:rsidR="002C3F01">
        <w:rPr>
          <w:noProof/>
        </w:rPr>
        <w:fldChar w:fldCharType="separate"/>
      </w:r>
      <w:r w:rsidR="00066B5A">
        <w:rPr>
          <w:noProof/>
        </w:rPr>
        <w:t>21</w:t>
      </w:r>
      <w:r w:rsidR="002C3F01">
        <w:rPr>
          <w:noProof/>
        </w:rPr>
        <w:fldChar w:fldCharType="end"/>
      </w:r>
      <w:r>
        <w:t xml:space="preserve">: Dendrogram of datasets clustered based on up- or down-regulation of genes. </w:t>
      </w:r>
      <w:r w:rsidR="00FF7277">
        <w:rPr>
          <w:b w:val="0"/>
        </w:rPr>
        <w:t xml:space="preserve">Greyscale row indicates tissue source (SN, FC or </w:t>
      </w:r>
      <w:proofErr w:type="gramStart"/>
      <w:r w:rsidR="00FF7277">
        <w:rPr>
          <w:b w:val="0"/>
        </w:rPr>
        <w:t>other</w:t>
      </w:r>
      <w:proofErr w:type="gramEnd"/>
      <w:r w:rsidR="00FF7277">
        <w:rPr>
          <w:b w:val="0"/>
        </w:rPr>
        <w:t xml:space="preserve"> midbrain area). Magenta row indicates the platform. Salmon row indicates whether the datasets contained sporadic or LRRK2 datasets. Clustering indicated a separation of the dataset GSE7621.</w:t>
      </w:r>
      <w:bookmarkEnd w:id="377"/>
    </w:p>
    <w:p w14:paraId="12951BE5" w14:textId="77777777" w:rsidR="0050527E" w:rsidRDefault="00FF7277" w:rsidP="0050527E">
      <w:pPr>
        <w:keepNext/>
      </w:pPr>
      <w:r>
        <w:rPr>
          <w:noProof/>
        </w:rPr>
        <w:lastRenderedPageBreak/>
        <w:drawing>
          <wp:inline distT="0" distB="0" distL="0" distR="0" wp14:anchorId="2D47D886" wp14:editId="14474822">
            <wp:extent cx="5001456" cy="3176337"/>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atasetTable.pdf"/>
                    <pic:cNvPicPr/>
                  </pic:nvPicPr>
                  <pic:blipFill rotWithShape="1">
                    <a:blip r:embed="rId160">
                      <a:extLst>
                        <a:ext uri="{28A0092B-C50C-407E-A947-70E740481C1C}">
                          <a14:useLocalDpi xmlns:a14="http://schemas.microsoft.com/office/drawing/2010/main" val="0"/>
                        </a:ext>
                      </a:extLst>
                    </a:blip>
                    <a:srcRect b="6491"/>
                    <a:stretch/>
                  </pic:blipFill>
                  <pic:spPr bwMode="auto">
                    <a:xfrm>
                      <a:off x="0" y="0"/>
                      <a:ext cx="5012436" cy="3183310"/>
                    </a:xfrm>
                    <a:prstGeom prst="rect">
                      <a:avLst/>
                    </a:prstGeom>
                    <a:ln>
                      <a:noFill/>
                    </a:ln>
                    <a:extLst>
                      <a:ext uri="{53640926-AAD7-44D8-BBD7-CCE9431645EC}">
                        <a14:shadowObscured xmlns:a14="http://schemas.microsoft.com/office/drawing/2010/main"/>
                      </a:ext>
                    </a:extLst>
                  </pic:spPr>
                </pic:pic>
              </a:graphicData>
            </a:graphic>
          </wp:inline>
        </w:drawing>
      </w:r>
    </w:p>
    <w:p w14:paraId="6FA2521D" w14:textId="1077F8BA" w:rsidR="0050527E" w:rsidRPr="00FF7277" w:rsidRDefault="0050527E" w:rsidP="0050527E">
      <w:pPr>
        <w:pStyle w:val="Caption"/>
        <w:rPr>
          <w:b w:val="0"/>
        </w:rPr>
      </w:pPr>
      <w:bookmarkStart w:id="378" w:name="_Toc3225978"/>
      <w:r>
        <w:t xml:space="preserve">Table </w:t>
      </w:r>
      <w:fldSimple w:instr=" SEQ Table \* ARABIC ">
        <w:r w:rsidR="00066B5A">
          <w:rPr>
            <w:noProof/>
          </w:rPr>
          <w:t>64</w:t>
        </w:r>
      </w:fldSimple>
      <w:r>
        <w:t xml:space="preserve">: Dataset selection for 3, 6, and 12 dataset analysis. </w:t>
      </w:r>
      <w:r>
        <w:rPr>
          <w:b w:val="0"/>
        </w:rPr>
        <w:t xml:space="preserve">Highlighted datasets indicate the progression from three to six to twelve datasets. </w:t>
      </w:r>
      <w:r w:rsidRPr="0050527E">
        <w:rPr>
          <w:b w:val="0"/>
          <w:i/>
        </w:rPr>
        <w:t>Tissue</w:t>
      </w:r>
      <w:r>
        <w:rPr>
          <w:b w:val="0"/>
        </w:rPr>
        <w:t xml:space="preserve">, </w:t>
      </w:r>
      <w:r w:rsidRPr="0050527E">
        <w:rPr>
          <w:b w:val="0"/>
          <w:i/>
        </w:rPr>
        <w:t>Platform</w:t>
      </w:r>
      <w:r>
        <w:rPr>
          <w:b w:val="0"/>
        </w:rPr>
        <w:t xml:space="preserve">, and </w:t>
      </w:r>
      <w:r w:rsidRPr="0050527E">
        <w:rPr>
          <w:b w:val="0"/>
          <w:i/>
        </w:rPr>
        <w:t>Disease Group</w:t>
      </w:r>
      <w:r>
        <w:rPr>
          <w:b w:val="0"/>
        </w:rPr>
        <w:t xml:space="preserve"> indicate the mix of backgrounds used for each analysis.</w:t>
      </w:r>
      <w:bookmarkEnd w:id="378"/>
    </w:p>
    <w:p w14:paraId="614A872E" w14:textId="0776B249" w:rsidR="00FF7277" w:rsidRPr="0050527E" w:rsidRDefault="00FF7277" w:rsidP="0050527E">
      <w:pPr>
        <w:pStyle w:val="Caption"/>
        <w:rPr>
          <w:b w:val="0"/>
        </w:rPr>
      </w:pPr>
    </w:p>
    <w:p w14:paraId="00839A28" w14:textId="1E16BFB7" w:rsidR="00FF7277" w:rsidRDefault="0050527E" w:rsidP="0050527E">
      <w:pPr>
        <w:pStyle w:val="Heading3"/>
        <w:rPr>
          <w:lang w:val="en-GB"/>
        </w:rPr>
      </w:pPr>
      <w:bookmarkStart w:id="379" w:name="_Toc3211441"/>
      <w:r>
        <w:rPr>
          <w:lang w:val="en-GB"/>
        </w:rPr>
        <w:t>Results</w:t>
      </w:r>
      <w:bookmarkEnd w:id="379"/>
    </w:p>
    <w:p w14:paraId="41A0DAAA" w14:textId="48CBD753" w:rsidR="0050527E" w:rsidRPr="0050527E" w:rsidRDefault="0050527E" w:rsidP="0050527E">
      <w:pPr>
        <w:rPr>
          <w:lang w:val="en-GB"/>
        </w:rPr>
      </w:pPr>
      <w:r>
        <w:rPr>
          <w:lang w:val="en-GB"/>
        </w:rPr>
        <w:t xml:space="preserve">The pipeline was applied to the 3-dataset and 6-dataset combinations exactly as described in Chapter 3. </w:t>
      </w:r>
      <w:r w:rsidR="002F1E6E">
        <w:rPr>
          <w:lang w:val="en-GB"/>
        </w:rPr>
        <w:t xml:space="preserve">Results can be found in Table </w:t>
      </w:r>
      <w:r w:rsidR="00625724">
        <w:rPr>
          <w:lang w:val="en-GB"/>
        </w:rPr>
        <w:t>6</w:t>
      </w:r>
      <w:r w:rsidR="00066B5A">
        <w:rPr>
          <w:lang w:val="en-GB"/>
        </w:rPr>
        <w:t>5</w:t>
      </w:r>
      <w:r w:rsidR="002F1E6E">
        <w:rPr>
          <w:lang w:val="en-GB"/>
        </w:rPr>
        <w:t>.</w:t>
      </w:r>
      <w:r w:rsidR="00625724">
        <w:rPr>
          <w:lang w:val="en-GB"/>
        </w:rPr>
        <w:t xml:space="preserve"> Results indicate that as the numbers of input datasets doubles, the rate in which DEGs, PPI nodes and common coexpression nodes are generate also decreases exponentially. For example, increasing from 3 to 6 datasets resulted in a reduction of approximately 50% of DEGs, whereas from 6 to 12 datasets resulted in a reduction of approximately 86% of genes. Graphs of these values alongside a predictive linear model suggest that due to values for DEGs and coexpression modules, a maximum input of less than 13 datasets is recommended (Figure 22). It is also worth noting that although 3 dataset analysis is possible, it significantly increases computation time and power and may pose problems from a resource availability perspective.</w:t>
      </w:r>
    </w:p>
    <w:p w14:paraId="7BD2BC2A" w14:textId="77777777" w:rsidR="00382926" w:rsidRDefault="00382926" w:rsidP="00EE4DB2">
      <w:pPr>
        <w:rPr>
          <w:lang w:val="en-GB"/>
        </w:rPr>
      </w:pPr>
    </w:p>
    <w:p w14:paraId="0DCD3AEE" w14:textId="77777777" w:rsidR="00483095" w:rsidRDefault="00483095" w:rsidP="00483095">
      <w:pPr>
        <w:keepNext/>
      </w:pPr>
      <w:r>
        <w:rPr>
          <w:noProof/>
          <w:lang w:val="en-GB"/>
        </w:rPr>
        <w:lastRenderedPageBreak/>
        <w:drawing>
          <wp:inline distT="0" distB="0" distL="0" distR="0" wp14:anchorId="7DB9F48A" wp14:editId="7A5CF182">
            <wp:extent cx="5039360" cy="2462400"/>
            <wp:effectExtent l="0" t="0" r="2540" b="190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Results_Table.pdf"/>
                    <pic:cNvPicPr/>
                  </pic:nvPicPr>
                  <pic:blipFill rotWithShape="1">
                    <a:blip r:embed="rId161">
                      <a:extLst>
                        <a:ext uri="{28A0092B-C50C-407E-A947-70E740481C1C}">
                          <a14:useLocalDpi xmlns:a14="http://schemas.microsoft.com/office/drawing/2010/main" val="0"/>
                        </a:ext>
                      </a:extLst>
                    </a:blip>
                    <a:srcRect b="28162"/>
                    <a:stretch/>
                  </pic:blipFill>
                  <pic:spPr bwMode="auto">
                    <a:xfrm>
                      <a:off x="0" y="0"/>
                      <a:ext cx="5039360" cy="2462400"/>
                    </a:xfrm>
                    <a:prstGeom prst="rect">
                      <a:avLst/>
                    </a:prstGeom>
                    <a:ln>
                      <a:noFill/>
                    </a:ln>
                    <a:extLst>
                      <a:ext uri="{53640926-AAD7-44D8-BBD7-CCE9431645EC}">
                        <a14:shadowObscured xmlns:a14="http://schemas.microsoft.com/office/drawing/2010/main"/>
                      </a:ext>
                    </a:extLst>
                  </pic:spPr>
                </pic:pic>
              </a:graphicData>
            </a:graphic>
          </wp:inline>
        </w:drawing>
      </w:r>
    </w:p>
    <w:p w14:paraId="2D5811C1" w14:textId="49E00797" w:rsidR="00382926" w:rsidRPr="00483095" w:rsidRDefault="00483095" w:rsidP="00483095">
      <w:pPr>
        <w:pStyle w:val="Caption"/>
        <w:rPr>
          <w:b w:val="0"/>
          <w:lang w:val="en-GB"/>
        </w:rPr>
      </w:pPr>
      <w:bookmarkStart w:id="380" w:name="_Toc3225979"/>
      <w:r>
        <w:t xml:space="preserve">Table </w:t>
      </w:r>
      <w:fldSimple w:instr=" SEQ Table \* ARABIC ">
        <w:r w:rsidR="00066B5A">
          <w:rPr>
            <w:noProof/>
          </w:rPr>
          <w:t>65</w:t>
        </w:r>
      </w:fldSimple>
      <w:r>
        <w:t>: Results of application of pipeline to 3, 6, and 12 input datasets:</w:t>
      </w:r>
      <w:r>
        <w:rPr>
          <w:b w:val="0"/>
        </w:rPr>
        <w:t xml:space="preserve"> Results indicate a </w:t>
      </w:r>
      <w:r w:rsidR="00625724">
        <w:rPr>
          <w:b w:val="0"/>
        </w:rPr>
        <w:t>clear pattern of reduction in number of DEGs, PPI nodes and common coexpression nodes as the number of input datasets is doubled.</w:t>
      </w:r>
      <w:bookmarkEnd w:id="380"/>
      <w:r w:rsidR="00625724">
        <w:rPr>
          <w:b w:val="0"/>
        </w:rPr>
        <w:t xml:space="preserve"> </w:t>
      </w:r>
    </w:p>
    <w:p w14:paraId="513BE181" w14:textId="0DB108CE" w:rsidR="00382926" w:rsidRDefault="00483095" w:rsidP="00EE4DB2">
      <w:pPr>
        <w:rPr>
          <w:lang w:val="en-GB"/>
        </w:rPr>
      </w:pPr>
      <w:r>
        <w:rPr>
          <w:lang w:val="en-GB"/>
        </w:rPr>
        <w:br w:type="page"/>
      </w:r>
    </w:p>
    <w:p w14:paraId="56EB951B" w14:textId="5C76C67A" w:rsidR="00EE4DB2" w:rsidRDefault="00066B5A" w:rsidP="00483095">
      <w:pPr>
        <w:pStyle w:val="NoSpacing"/>
        <w:jc w:val="center"/>
        <w:rPr>
          <w:lang w:val="en-GB"/>
        </w:rPr>
      </w:pPr>
      <w:r w:rsidRPr="00066B5A">
        <w:rPr>
          <w:noProof/>
          <w:lang w:val="en-GB"/>
        </w:rPr>
        <w:lastRenderedPageBreak/>
        <mc:AlternateContent>
          <mc:Choice Requires="wps">
            <w:drawing>
              <wp:anchor distT="0" distB="0" distL="114300" distR="114300" simplePos="0" relativeHeight="251932672" behindDoc="0" locked="0" layoutInCell="1" allowOverlap="1" wp14:anchorId="693C2BB9" wp14:editId="6B49A8EB">
                <wp:simplePos x="0" y="0"/>
                <wp:positionH relativeFrom="column">
                  <wp:posOffset>351790</wp:posOffset>
                </wp:positionH>
                <wp:positionV relativeFrom="paragraph">
                  <wp:posOffset>2441575</wp:posOffset>
                </wp:positionV>
                <wp:extent cx="226060" cy="265430"/>
                <wp:effectExtent l="0" t="0" r="2540" b="1270"/>
                <wp:wrapNone/>
                <wp:docPr id="354" name="Text Box 354"/>
                <wp:cNvGraphicFramePr/>
                <a:graphic xmlns:a="http://schemas.openxmlformats.org/drawingml/2006/main">
                  <a:graphicData uri="http://schemas.microsoft.com/office/word/2010/wordprocessingShape">
                    <wps:wsp>
                      <wps:cNvSpPr txBox="1"/>
                      <wps:spPr>
                        <a:xfrm>
                          <a:off x="0" y="0"/>
                          <a:ext cx="226060" cy="265430"/>
                        </a:xfrm>
                        <a:prstGeom prst="rect">
                          <a:avLst/>
                        </a:prstGeom>
                        <a:solidFill>
                          <a:schemeClr val="lt1"/>
                        </a:solidFill>
                        <a:ln w="6350">
                          <a:noFill/>
                        </a:ln>
                      </wps:spPr>
                      <wps:txbx>
                        <w:txbxContent>
                          <w:p w14:paraId="4D69086F" w14:textId="77777777" w:rsidR="00C2072C" w:rsidRPr="00F917A2" w:rsidRDefault="00C2072C" w:rsidP="00066B5A">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C2BB9" id="Text Box 354" o:spid="_x0000_s1033" type="#_x0000_t202" style="position:absolute;left:0;text-align:left;margin-left:27.7pt;margin-top:192.25pt;width:17.8pt;height:20.9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" fillcolor="white [3201]" stroked="f" strokeweight=".5pt">
                <v:textbox>
                  <w:txbxContent>
                    <w:p w14:paraId="4D69086F" w14:textId="77777777" w:rsidR="00C2072C" w:rsidRPr="00F917A2" w:rsidRDefault="00C2072C" w:rsidP="00066B5A">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066B5A">
        <w:rPr>
          <w:noProof/>
          <w:lang w:val="en-GB"/>
        </w:rPr>
        <mc:AlternateContent>
          <mc:Choice Requires="wps">
            <w:drawing>
              <wp:anchor distT="0" distB="0" distL="114300" distR="114300" simplePos="0" relativeHeight="251931648" behindDoc="0" locked="0" layoutInCell="1" allowOverlap="1" wp14:anchorId="4F730ED6" wp14:editId="4586C14C">
                <wp:simplePos x="0" y="0"/>
                <wp:positionH relativeFrom="column">
                  <wp:posOffset>349885</wp:posOffset>
                </wp:positionH>
                <wp:positionV relativeFrom="paragraph">
                  <wp:posOffset>-635</wp:posOffset>
                </wp:positionV>
                <wp:extent cx="226060" cy="265430"/>
                <wp:effectExtent l="0" t="0" r="2540" b="1270"/>
                <wp:wrapNone/>
                <wp:docPr id="335" name="Text Box 335"/>
                <wp:cNvGraphicFramePr/>
                <a:graphic xmlns:a="http://schemas.openxmlformats.org/drawingml/2006/main">
                  <a:graphicData uri="http://schemas.microsoft.com/office/word/2010/wordprocessingShape">
                    <wps:wsp>
                      <wps:cNvSpPr txBox="1"/>
                      <wps:spPr>
                        <a:xfrm>
                          <a:off x="0" y="0"/>
                          <a:ext cx="226060" cy="265430"/>
                        </a:xfrm>
                        <a:prstGeom prst="rect">
                          <a:avLst/>
                        </a:prstGeom>
                        <a:solidFill>
                          <a:schemeClr val="lt1"/>
                        </a:solidFill>
                        <a:ln w="6350">
                          <a:noFill/>
                        </a:ln>
                      </wps:spPr>
                      <wps:txbx>
                        <w:txbxContent>
                          <w:p w14:paraId="53719234" w14:textId="77777777" w:rsidR="00C2072C" w:rsidRPr="00F917A2" w:rsidRDefault="00C2072C" w:rsidP="00066B5A">
                            <w:pPr>
                              <w:rPr>
                                <w:rFonts w:asciiTheme="majorHAnsi" w:hAnsiTheme="majorHAnsi" w:cstheme="majorHAnsi"/>
                                <w:lang w:val="en-US"/>
                              </w:rPr>
                            </w:pPr>
                            <w:r w:rsidRPr="00F917A2">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30ED6" id="Text Box 335" o:spid="_x0000_s1034" type="#_x0000_t202" style="position:absolute;left:0;text-align:left;margin-left:27.55pt;margin-top:-.05pt;width:17.8pt;height:20.9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" fillcolor="white [3201]" stroked="f" strokeweight=".5pt">
                <v:textbox>
                  <w:txbxContent>
                    <w:p w14:paraId="53719234" w14:textId="77777777" w:rsidR="00C2072C" w:rsidRPr="00F917A2" w:rsidRDefault="00C2072C" w:rsidP="00066B5A">
                      <w:pPr>
                        <w:rPr>
                          <w:rFonts w:asciiTheme="majorHAnsi" w:hAnsiTheme="majorHAnsi" w:cstheme="majorHAnsi"/>
                          <w:lang w:val="en-US"/>
                        </w:rPr>
                      </w:pPr>
                      <w:r w:rsidRPr="00F917A2">
                        <w:rPr>
                          <w:rFonts w:asciiTheme="majorHAnsi" w:hAnsiTheme="majorHAnsi" w:cstheme="majorHAnsi"/>
                          <w:lang w:val="en-US"/>
                        </w:rPr>
                        <w:t>A</w:t>
                      </w:r>
                    </w:p>
                  </w:txbxContent>
                </v:textbox>
              </v:shape>
            </w:pict>
          </mc:Fallback>
        </mc:AlternateContent>
      </w:r>
      <w:r w:rsidR="00483095">
        <w:rPr>
          <w:noProof/>
          <w:lang w:val="en-GB"/>
        </w:rPr>
        <w:drawing>
          <wp:inline distT="0" distB="0" distL="0" distR="0" wp14:anchorId="6BA1AC2A" wp14:editId="5360184B">
            <wp:extent cx="4023826" cy="260640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ult_DEGs.pdf"/>
                    <pic:cNvPicPr/>
                  </pic:nvPicPr>
                  <pic:blipFill rotWithShape="1">
                    <a:blip r:embed="rId162">
                      <a:extLst>
                        <a:ext uri="{28A0092B-C50C-407E-A947-70E740481C1C}">
                          <a14:useLocalDpi xmlns:a14="http://schemas.microsoft.com/office/drawing/2010/main" val="0"/>
                        </a:ext>
                      </a:extLst>
                    </a:blip>
                    <a:srcRect t="7702" r="1730" b="2332"/>
                    <a:stretch/>
                  </pic:blipFill>
                  <pic:spPr bwMode="auto">
                    <a:xfrm>
                      <a:off x="0" y="0"/>
                      <a:ext cx="4045969" cy="2620743"/>
                    </a:xfrm>
                    <a:prstGeom prst="rect">
                      <a:avLst/>
                    </a:prstGeom>
                    <a:ln>
                      <a:noFill/>
                    </a:ln>
                    <a:extLst>
                      <a:ext uri="{53640926-AAD7-44D8-BBD7-CCE9431645EC}">
                        <a14:shadowObscured xmlns:a14="http://schemas.microsoft.com/office/drawing/2010/main"/>
                      </a:ext>
                    </a:extLst>
                  </pic:spPr>
                </pic:pic>
              </a:graphicData>
            </a:graphic>
          </wp:inline>
        </w:drawing>
      </w:r>
    </w:p>
    <w:p w14:paraId="04AC38F0" w14:textId="53A9194D" w:rsidR="00483095" w:rsidRDefault="00066B5A" w:rsidP="00483095">
      <w:pPr>
        <w:pStyle w:val="NoSpacing"/>
        <w:jc w:val="center"/>
        <w:rPr>
          <w:lang w:val="en-GB"/>
        </w:rPr>
      </w:pPr>
      <w:r w:rsidRPr="00066B5A">
        <w:rPr>
          <w:noProof/>
          <w:lang w:val="en-GB"/>
        </w:rPr>
        <mc:AlternateContent>
          <mc:Choice Requires="wps">
            <w:drawing>
              <wp:anchor distT="0" distB="0" distL="114300" distR="114300" simplePos="0" relativeHeight="251933696" behindDoc="0" locked="0" layoutInCell="1" allowOverlap="1" wp14:anchorId="21E80D86" wp14:editId="2AEA5283">
                <wp:simplePos x="0" y="0"/>
                <wp:positionH relativeFrom="column">
                  <wp:posOffset>351437</wp:posOffset>
                </wp:positionH>
                <wp:positionV relativeFrom="paragraph">
                  <wp:posOffset>2420762</wp:posOffset>
                </wp:positionV>
                <wp:extent cx="226060" cy="265430"/>
                <wp:effectExtent l="0" t="0" r="2540" b="1270"/>
                <wp:wrapNone/>
                <wp:docPr id="355" name="Text Box 355"/>
                <wp:cNvGraphicFramePr/>
                <a:graphic xmlns:a="http://schemas.openxmlformats.org/drawingml/2006/main">
                  <a:graphicData uri="http://schemas.microsoft.com/office/word/2010/wordprocessingShape">
                    <wps:wsp>
                      <wps:cNvSpPr txBox="1"/>
                      <wps:spPr>
                        <a:xfrm>
                          <a:off x="0" y="0"/>
                          <a:ext cx="226060" cy="265430"/>
                        </a:xfrm>
                        <a:prstGeom prst="rect">
                          <a:avLst/>
                        </a:prstGeom>
                        <a:solidFill>
                          <a:schemeClr val="lt1"/>
                        </a:solidFill>
                        <a:ln w="6350">
                          <a:noFill/>
                        </a:ln>
                      </wps:spPr>
                      <wps:txbx>
                        <w:txbxContent>
                          <w:p w14:paraId="1DCA455E" w14:textId="77777777" w:rsidR="00C2072C" w:rsidRPr="00F917A2" w:rsidRDefault="00C2072C" w:rsidP="00066B5A">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80D86" id="Text Box 355" o:spid="_x0000_s1035" type="#_x0000_t202" style="position:absolute;left:0;text-align:left;margin-left:27.65pt;margin-top:190.6pt;width:17.8pt;height:20.9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" fillcolor="white [3201]" stroked="f" strokeweight=".5pt">
                <v:textbox>
                  <w:txbxContent>
                    <w:p w14:paraId="1DCA455E" w14:textId="77777777" w:rsidR="00C2072C" w:rsidRPr="00F917A2" w:rsidRDefault="00C2072C" w:rsidP="00066B5A">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483095">
        <w:rPr>
          <w:noProof/>
          <w:lang w:val="en-GB"/>
        </w:rPr>
        <w:drawing>
          <wp:inline distT="0" distB="0" distL="0" distR="0" wp14:anchorId="07619619" wp14:editId="36CB9084">
            <wp:extent cx="4024630" cy="2584800"/>
            <wp:effectExtent l="0" t="0" r="127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esult_PPI.pdf"/>
                    <pic:cNvPicPr/>
                  </pic:nvPicPr>
                  <pic:blipFill rotWithShape="1">
                    <a:blip r:embed="rId163">
                      <a:extLst>
                        <a:ext uri="{28A0092B-C50C-407E-A947-70E740481C1C}">
                          <a14:useLocalDpi xmlns:a14="http://schemas.microsoft.com/office/drawing/2010/main" val="0"/>
                        </a:ext>
                      </a:extLst>
                    </a:blip>
                    <a:srcRect t="8198" r="1722" b="2592"/>
                    <a:stretch/>
                  </pic:blipFill>
                  <pic:spPr bwMode="auto">
                    <a:xfrm>
                      <a:off x="0" y="0"/>
                      <a:ext cx="4044425" cy="2597513"/>
                    </a:xfrm>
                    <a:prstGeom prst="rect">
                      <a:avLst/>
                    </a:prstGeom>
                    <a:ln>
                      <a:noFill/>
                    </a:ln>
                    <a:extLst>
                      <a:ext uri="{53640926-AAD7-44D8-BBD7-CCE9431645EC}">
                        <a14:shadowObscured xmlns:a14="http://schemas.microsoft.com/office/drawing/2010/main"/>
                      </a:ext>
                    </a:extLst>
                  </pic:spPr>
                </pic:pic>
              </a:graphicData>
            </a:graphic>
          </wp:inline>
        </w:drawing>
      </w:r>
    </w:p>
    <w:p w14:paraId="1F297ABF" w14:textId="77777777" w:rsidR="00483095" w:rsidRDefault="00483095" w:rsidP="00483095">
      <w:pPr>
        <w:pStyle w:val="NoSpacing"/>
        <w:keepNext/>
        <w:jc w:val="center"/>
      </w:pPr>
      <w:r>
        <w:rPr>
          <w:noProof/>
          <w:lang w:val="en-GB"/>
        </w:rPr>
        <w:drawing>
          <wp:inline distT="0" distB="0" distL="0" distR="0" wp14:anchorId="198CD7F1" wp14:editId="098C12E7">
            <wp:extent cx="4024630" cy="2642400"/>
            <wp:effectExtent l="0" t="0" r="127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Result_CCM.pdf"/>
                    <pic:cNvPicPr/>
                  </pic:nvPicPr>
                  <pic:blipFill rotWithShape="1">
                    <a:blip r:embed="rId164">
                      <a:extLst>
                        <a:ext uri="{28A0092B-C50C-407E-A947-70E740481C1C}">
                          <a14:useLocalDpi xmlns:a14="http://schemas.microsoft.com/office/drawing/2010/main" val="0"/>
                        </a:ext>
                      </a:extLst>
                    </a:blip>
                    <a:srcRect t="6957" r="1733" b="1856"/>
                    <a:stretch/>
                  </pic:blipFill>
                  <pic:spPr bwMode="auto">
                    <a:xfrm>
                      <a:off x="0" y="0"/>
                      <a:ext cx="4025123" cy="2642724"/>
                    </a:xfrm>
                    <a:prstGeom prst="rect">
                      <a:avLst/>
                    </a:prstGeom>
                    <a:ln>
                      <a:noFill/>
                    </a:ln>
                    <a:extLst>
                      <a:ext uri="{53640926-AAD7-44D8-BBD7-CCE9431645EC}">
                        <a14:shadowObscured xmlns:a14="http://schemas.microsoft.com/office/drawing/2010/main"/>
                      </a:ext>
                    </a:extLst>
                  </pic:spPr>
                </pic:pic>
              </a:graphicData>
            </a:graphic>
          </wp:inline>
        </w:drawing>
      </w:r>
    </w:p>
    <w:p w14:paraId="555A7D19" w14:textId="30AA44DC" w:rsidR="00483095" w:rsidRPr="00625724" w:rsidRDefault="00483095" w:rsidP="00625724">
      <w:pPr>
        <w:pStyle w:val="Caption"/>
        <w:rPr>
          <w:b w:val="0"/>
          <w:lang w:val="en-GB"/>
        </w:rPr>
      </w:pPr>
      <w:bookmarkStart w:id="381" w:name="_Toc3226018"/>
      <w:r>
        <w:t xml:space="preserve">Figure </w:t>
      </w:r>
      <w:fldSimple w:instr=" SEQ Figure \* ARABIC ">
        <w:r w:rsidR="00066B5A">
          <w:rPr>
            <w:noProof/>
          </w:rPr>
          <w:t>22</w:t>
        </w:r>
      </w:fldSimple>
      <w:r>
        <w:t>: Plots indicating minimum and maximum numbers of input datasets:</w:t>
      </w:r>
      <w:r>
        <w:rPr>
          <w:b w:val="0"/>
        </w:rPr>
        <w:t xml:space="preserve"> Plot A represents numbers of common </w:t>
      </w:r>
      <w:proofErr w:type="gramStart"/>
      <w:r>
        <w:rPr>
          <w:b w:val="0"/>
        </w:rPr>
        <w:t>DEGs, and</w:t>
      </w:r>
      <w:proofErr w:type="gramEnd"/>
      <w:r>
        <w:rPr>
          <w:b w:val="0"/>
        </w:rPr>
        <w:t xml:space="preserve"> indicates a maximum input dataset value of 12 datasets. Plot B represents the PPI network, and indicates a slightly higher value of less than 16 datasets. Plot C represents common coexpression module, and also indicates a value of less than 13 datasets. Red lines indicate linear models of the 3 reported values for each plot.</w:t>
      </w:r>
      <w:bookmarkEnd w:id="381"/>
      <w:r>
        <w:rPr>
          <w:lang w:val="en-GB"/>
        </w:rPr>
        <w:br w:type="page"/>
      </w:r>
    </w:p>
    <w:p w14:paraId="5DA2B74D" w14:textId="6D6B579B" w:rsidR="00BF40EA" w:rsidRDefault="00EE4DB2" w:rsidP="00BF40EA">
      <w:pPr>
        <w:pStyle w:val="Heading2"/>
      </w:pPr>
      <w:bookmarkStart w:id="382" w:name="_Toc3211442"/>
      <w:r>
        <w:lastRenderedPageBreak/>
        <w:t>Differential Expression of Genes</w:t>
      </w:r>
      <w:bookmarkEnd w:id="382"/>
    </w:p>
    <w:p w14:paraId="4A0CCE78" w14:textId="64EC4844" w:rsidR="002F1E6E" w:rsidRDefault="002F1E6E" w:rsidP="002F1E6E">
      <w:pPr>
        <w:rPr>
          <w:lang w:val="en-GB"/>
        </w:rPr>
      </w:pPr>
      <w:r>
        <w:rPr>
          <w:lang w:val="en-GB"/>
        </w:rPr>
        <w:t xml:space="preserve">As our definition of gene differential expression is </w:t>
      </w:r>
      <w:r w:rsidR="00F917A2">
        <w:rPr>
          <w:lang w:val="en-GB"/>
        </w:rPr>
        <w:t>unconventional</w:t>
      </w:r>
      <w:r>
        <w:rPr>
          <w:lang w:val="en-GB"/>
        </w:rPr>
        <w:t>, we decided to investigate the variability of expression for these genes in each application. The log2 fold change values of each gene across the input datasets were plotted as boxplots (Figure 2</w:t>
      </w:r>
      <w:r w:rsidR="00066B5A">
        <w:rPr>
          <w:lang w:val="en-GB"/>
        </w:rPr>
        <w:t>3</w:t>
      </w:r>
      <w:r>
        <w:rPr>
          <w:lang w:val="en-GB"/>
        </w:rPr>
        <w:t xml:space="preserve">). From these plots we can see that the consistency in gene expression can be quite variable, most probably due to the small size of input datasets. </w:t>
      </w:r>
      <w:r w:rsidR="00F917A2">
        <w:rPr>
          <w:lang w:val="en-GB"/>
        </w:rPr>
        <w:t>There are some clear outliers, such as in the Parkinson’s datasets (Figure 2</w:t>
      </w:r>
      <w:r w:rsidR="00066B5A">
        <w:rPr>
          <w:lang w:val="en-GB"/>
        </w:rPr>
        <w:t>3</w:t>
      </w:r>
      <w:r w:rsidR="00F917A2">
        <w:rPr>
          <w:lang w:val="en-GB"/>
        </w:rPr>
        <w:t xml:space="preserve">B). What is clear is that these genes do not conform to the standard practice of fold change thresholds, however this is not necessarily an issue; arbitrarily assigned thresholds such as fold change and P-value have been criticised, as it allows a degree of subjectivity to be introduced into the assignment of a gene’s value </w:t>
      </w:r>
      <w:r w:rsidR="00F917A2">
        <w:rPr>
          <w:lang w:val="en-GB"/>
        </w:rPr>
        <w:fldChar w:fldCharType="begin" w:fldLock="1"/>
      </w:r>
      <w:r w:rsidR="000507BA">
        <w:rPr>
          <w:lang w:val="en-GB"/>
        </w:rPr>
        <w:instrText>ADDIN CSL_CITATION {"citationItems":[{"id":"ITEM-1","itemData":{"DOI":"10.1186/1471-2105-13-S2-S11","ISSN":"1471-2105","PMID":"22536862","abstract":"BACKGROUND As context is important to gene expression, so is the preprocessing of microarray to transcriptomics. Microarray data suffers from several normalization and significance problems. Arbitrary fold change (FC) cut-offs of &gt;2 and significance p-values of &lt;0.02 lead data collection to look only at genes which vary wildly amongst other genes. Therefore, questions arise as to whether the biology or the statistical cutoff are more important within the interpretation. In this paper, we reanalyzed a zebrafish (D. rerio) microarray data set using GeneSpring and different differential gene expression cut-offs and found the data interpretation was drastically different. Furthermore, despite the advances in microarray technology, the array captures a large portion of genes known but yet still leaving large voids in the number of genes assayed, such as leptin a pleiotropic hormone directly related to hypoxia-induced angiogenesis. RESULTS The data strongly suggests that the number of differentially expressed genes is more up-regulated than down-regulated, with many genes indicating conserved signalling to previously known functions. Recapitulated data from Marques et al. (2008) was similar but surprisingly different with some genes showing unexpected signalling which may be a product of tissue (heart) or that the intended response was transient. CONCLUSIONS Our analyses suggest that based on the chosen statistical or fold change cut-off; microarray analysis can provide essentially more than one answer, implying data interpretation as more of an art than a science, with follow up gene expression studies a must. Furthermore, gene chip annotation and development needs to maintain pace with not only new genomes being sequenced but also novel genes that are crucial to the overall gene chips interpretation.","author":[{"dropping-particle":"","family":"Dalman","given":"Mark R","non-dropping-particle":"","parse-names":false,"suffix":""},{"dropping-particle":"","family":"Deeter","given":"Anthony","non-dropping-particle":"","parse-names":false,"suffix":""},{"dropping-particle":"","family":"Nimishakavi","given":"Gayathri","non-dropping-particle":"","parse-names":false,"suffix":""},{"dropping-particle":"","family":"Duan","given":"Zhong-Hui","non-dropping-particle":"","parse-names":false,"suffix":""}],"container-title":"BMC bioinformatics","id":"ITEM-1","issue":"Suppl 2","issued":{"date-parts":[["2012","3","13"]]},"page":"S11","publisher":"BioMed Central","title":"Fold change and p-value cutoffs significantly alter microarray interpretations.","type":"article-journal","volume":"13 Suppl 2"},"uris":["http://www.mendeley.com/documents/?uuid=c94bd34e-d529-3763-9add-c186f942fbad"]}],"mendeley":{"formattedCitation":"&lt;sup&gt;455&lt;/sup&gt;","plainTextFormattedCitation":"455","previouslyFormattedCitation":"&lt;sup&gt;455&lt;/sup&gt;"},"properties":{"noteIndex":0},"schema":"https://github.com/citation-style-language/schema/raw/master/csl-citation.json"}</w:instrText>
      </w:r>
      <w:r w:rsidR="00F917A2">
        <w:rPr>
          <w:lang w:val="en-GB"/>
        </w:rPr>
        <w:fldChar w:fldCharType="separate"/>
      </w:r>
      <w:r w:rsidR="00426B19" w:rsidRPr="00426B19">
        <w:rPr>
          <w:noProof/>
          <w:vertAlign w:val="superscript"/>
          <w:lang w:val="en-GB"/>
        </w:rPr>
        <w:t>455</w:t>
      </w:r>
      <w:r w:rsidR="00F917A2">
        <w:rPr>
          <w:lang w:val="en-GB"/>
        </w:rPr>
        <w:fldChar w:fldCharType="end"/>
      </w:r>
      <w:r w:rsidR="00F917A2">
        <w:rPr>
          <w:lang w:val="en-GB"/>
        </w:rPr>
        <w:t xml:space="preserve">. Not only this, the use of thresholds leads to promotion of the importance of gene expression variability, rather than consistency. Subsequently, we are still confident that our prioritisation of defining differential expression by consistency rather than </w:t>
      </w:r>
      <w:r w:rsidR="00605381">
        <w:rPr>
          <w:lang w:val="en-GB"/>
        </w:rPr>
        <w:t>scale is appropriate for our pipeline.</w:t>
      </w:r>
      <w:r w:rsidR="000E46C0">
        <w:rPr>
          <w:lang w:val="en-GB"/>
        </w:rPr>
        <w:t xml:space="preserve"> </w:t>
      </w:r>
    </w:p>
    <w:p w14:paraId="6889B268" w14:textId="316646C2" w:rsidR="00F917A2" w:rsidRDefault="00F917A2">
      <w:pPr>
        <w:rPr>
          <w:lang w:val="en-GB"/>
        </w:rPr>
      </w:pPr>
      <w:r>
        <w:rPr>
          <w:lang w:val="en-GB"/>
        </w:rPr>
        <w:br w:type="page"/>
      </w:r>
    </w:p>
    <w:p w14:paraId="3BB55273" w14:textId="0BB52CAC" w:rsidR="002F1E6E" w:rsidRDefault="00F917A2" w:rsidP="002F1E6E">
      <w:pPr>
        <w:rPr>
          <w:lang w:val="en-GB"/>
        </w:rPr>
      </w:pPr>
      <w:r>
        <w:rPr>
          <w:noProof/>
          <w:lang w:val="en-GB"/>
        </w:rPr>
        <w:lastRenderedPageBreak/>
        <mc:AlternateContent>
          <mc:Choice Requires="wps">
            <w:drawing>
              <wp:anchor distT="0" distB="0" distL="114300" distR="114300" simplePos="0" relativeHeight="251918336" behindDoc="0" locked="0" layoutInCell="1" allowOverlap="1" wp14:anchorId="11BD61E5" wp14:editId="133BCA4D">
                <wp:simplePos x="0" y="0"/>
                <wp:positionH relativeFrom="column">
                  <wp:posOffset>-2198</wp:posOffset>
                </wp:positionH>
                <wp:positionV relativeFrom="paragraph">
                  <wp:posOffset>107755</wp:posOffset>
                </wp:positionV>
                <wp:extent cx="226646" cy="265723"/>
                <wp:effectExtent l="0" t="0" r="2540" b="1270"/>
                <wp:wrapNone/>
                <wp:docPr id="198" name="Text Box 198"/>
                <wp:cNvGraphicFramePr/>
                <a:graphic xmlns:a="http://schemas.openxmlformats.org/drawingml/2006/main">
                  <a:graphicData uri="http://schemas.microsoft.com/office/word/2010/wordprocessingShape">
                    <wps:wsp>
                      <wps:cNvSpPr txBox="1"/>
                      <wps:spPr>
                        <a:xfrm>
                          <a:off x="0" y="0"/>
                          <a:ext cx="226646" cy="265723"/>
                        </a:xfrm>
                        <a:prstGeom prst="rect">
                          <a:avLst/>
                        </a:prstGeom>
                        <a:solidFill>
                          <a:schemeClr val="lt1"/>
                        </a:solidFill>
                        <a:ln w="6350">
                          <a:noFill/>
                        </a:ln>
                      </wps:spPr>
                      <wps:txbx>
                        <w:txbxContent>
                          <w:p w14:paraId="567CD9F0" w14:textId="71C8B769" w:rsidR="00C2072C" w:rsidRPr="00F917A2" w:rsidRDefault="00C2072C">
                            <w:pPr>
                              <w:rPr>
                                <w:rFonts w:asciiTheme="majorHAnsi" w:hAnsiTheme="majorHAnsi" w:cstheme="majorHAnsi"/>
                                <w:lang w:val="en-US"/>
                              </w:rPr>
                            </w:pPr>
                            <w:r w:rsidRPr="00F917A2">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D61E5" id="Text Box 198" o:spid="_x0000_s1036" type="#_x0000_t202" style="position:absolute;margin-left:-.15pt;margin-top:8.5pt;width:17.85pt;height:20.9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" fillcolor="white [3201]" stroked="f" strokeweight=".5pt">
                <v:textbox>
                  <w:txbxContent>
                    <w:p w14:paraId="567CD9F0" w14:textId="71C8B769" w:rsidR="00C2072C" w:rsidRPr="00F917A2" w:rsidRDefault="00C2072C">
                      <w:pPr>
                        <w:rPr>
                          <w:rFonts w:asciiTheme="majorHAnsi" w:hAnsiTheme="majorHAnsi" w:cstheme="majorHAnsi"/>
                          <w:lang w:val="en-US"/>
                        </w:rPr>
                      </w:pPr>
                      <w:r w:rsidRPr="00F917A2">
                        <w:rPr>
                          <w:rFonts w:asciiTheme="majorHAnsi" w:hAnsiTheme="majorHAnsi" w:cstheme="majorHAnsi"/>
                          <w:lang w:val="en-US"/>
                        </w:rPr>
                        <w:t>A</w:t>
                      </w:r>
                    </w:p>
                  </w:txbxContent>
                </v:textbox>
              </v:shape>
            </w:pict>
          </mc:Fallback>
        </mc:AlternateContent>
      </w:r>
    </w:p>
    <w:p w14:paraId="38FAE91B" w14:textId="6D8FD31A" w:rsidR="002F1E6E" w:rsidRDefault="002F1E6E" w:rsidP="002F1E6E">
      <w:pPr>
        <w:rPr>
          <w:lang w:val="en-GB"/>
        </w:rPr>
      </w:pPr>
      <w:r>
        <w:rPr>
          <w:noProof/>
          <w:lang w:val="en-GB"/>
        </w:rPr>
        <w:drawing>
          <wp:inline distT="0" distB="0" distL="0" distR="0" wp14:anchorId="3BEE5254" wp14:editId="0FA4FFF9">
            <wp:extent cx="5038090" cy="2121222"/>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TDP_Plot.pdf"/>
                    <pic:cNvPicPr/>
                  </pic:nvPicPr>
                  <pic:blipFill rotWithShape="1">
                    <a:blip r:embed="rId165">
                      <a:extLst>
                        <a:ext uri="{28A0092B-C50C-407E-A947-70E740481C1C}">
                          <a14:useLocalDpi xmlns:a14="http://schemas.microsoft.com/office/drawing/2010/main" val="0"/>
                        </a:ext>
                      </a:extLst>
                    </a:blip>
                    <a:srcRect t="6769" b="33723"/>
                    <a:stretch/>
                  </pic:blipFill>
                  <pic:spPr bwMode="auto">
                    <a:xfrm>
                      <a:off x="0" y="0"/>
                      <a:ext cx="5039360" cy="2121757"/>
                    </a:xfrm>
                    <a:prstGeom prst="rect">
                      <a:avLst/>
                    </a:prstGeom>
                    <a:ln>
                      <a:noFill/>
                    </a:ln>
                    <a:extLst>
                      <a:ext uri="{53640926-AAD7-44D8-BBD7-CCE9431645EC}">
                        <a14:shadowObscured xmlns:a14="http://schemas.microsoft.com/office/drawing/2010/main"/>
                      </a:ext>
                    </a:extLst>
                  </pic:spPr>
                </pic:pic>
              </a:graphicData>
            </a:graphic>
          </wp:inline>
        </w:drawing>
      </w:r>
    </w:p>
    <w:p w14:paraId="0CCD7B11" w14:textId="407F712A" w:rsidR="002F1E6E" w:rsidRDefault="00F917A2" w:rsidP="002F1E6E">
      <w:pPr>
        <w:rPr>
          <w:lang w:val="en-GB"/>
        </w:rPr>
      </w:pPr>
      <w:r>
        <w:rPr>
          <w:noProof/>
          <w:lang w:val="en-GB"/>
        </w:rPr>
        <mc:AlternateContent>
          <mc:Choice Requires="wps">
            <w:drawing>
              <wp:anchor distT="0" distB="0" distL="114300" distR="114300" simplePos="0" relativeHeight="251920384" behindDoc="0" locked="0" layoutInCell="1" allowOverlap="1" wp14:anchorId="204FE6C5" wp14:editId="04FDA786">
                <wp:simplePos x="0" y="0"/>
                <wp:positionH relativeFrom="column">
                  <wp:posOffset>244</wp:posOffset>
                </wp:positionH>
                <wp:positionV relativeFrom="paragraph">
                  <wp:posOffset>17780</wp:posOffset>
                </wp:positionV>
                <wp:extent cx="226060" cy="265430"/>
                <wp:effectExtent l="0" t="0" r="2540" b="1270"/>
                <wp:wrapNone/>
                <wp:docPr id="199" name="Text Box 199"/>
                <wp:cNvGraphicFramePr/>
                <a:graphic xmlns:a="http://schemas.openxmlformats.org/drawingml/2006/main">
                  <a:graphicData uri="http://schemas.microsoft.com/office/word/2010/wordprocessingShape">
                    <wps:wsp>
                      <wps:cNvSpPr txBox="1"/>
                      <wps:spPr>
                        <a:xfrm>
                          <a:off x="0" y="0"/>
                          <a:ext cx="226060" cy="265430"/>
                        </a:xfrm>
                        <a:prstGeom prst="rect">
                          <a:avLst/>
                        </a:prstGeom>
                        <a:solidFill>
                          <a:schemeClr val="lt1"/>
                        </a:solidFill>
                        <a:ln w="6350">
                          <a:noFill/>
                        </a:ln>
                      </wps:spPr>
                      <wps:txbx>
                        <w:txbxContent>
                          <w:p w14:paraId="308747F9" w14:textId="1BAB9C61" w:rsidR="00C2072C" w:rsidRPr="00F917A2" w:rsidRDefault="00C2072C" w:rsidP="00F917A2">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FE6C5" id="Text Box 199" o:spid="_x0000_s1037" type="#_x0000_t202" style="position:absolute;margin-left:0;margin-top:1.4pt;width:17.8pt;height:20.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" fillcolor="white [3201]" stroked="f" strokeweight=".5pt">
                <v:textbox>
                  <w:txbxContent>
                    <w:p w14:paraId="308747F9" w14:textId="1BAB9C61" w:rsidR="00C2072C" w:rsidRPr="00F917A2" w:rsidRDefault="00C2072C" w:rsidP="00F917A2">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p>
    <w:p w14:paraId="3936EDF4" w14:textId="3B65CE04" w:rsidR="002F1E6E" w:rsidRDefault="002F1E6E" w:rsidP="002F1E6E">
      <w:pPr>
        <w:rPr>
          <w:lang w:val="en-GB"/>
        </w:rPr>
      </w:pPr>
      <w:r>
        <w:rPr>
          <w:noProof/>
          <w:lang w:val="en-GB"/>
        </w:rPr>
        <w:drawing>
          <wp:inline distT="0" distB="0" distL="0" distR="0" wp14:anchorId="6A8650DF" wp14:editId="6A59C7B4">
            <wp:extent cx="5053164" cy="2160000"/>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D_Plot.pdf"/>
                    <pic:cNvPicPr/>
                  </pic:nvPicPr>
                  <pic:blipFill rotWithShape="1">
                    <a:blip r:embed="rId166">
                      <a:extLst>
                        <a:ext uri="{28A0092B-C50C-407E-A947-70E740481C1C}">
                          <a14:useLocalDpi xmlns:a14="http://schemas.microsoft.com/office/drawing/2010/main" val="0"/>
                        </a:ext>
                      </a:extLst>
                    </a:blip>
                    <a:srcRect t="5989" b="33596"/>
                    <a:stretch/>
                  </pic:blipFill>
                  <pic:spPr bwMode="auto">
                    <a:xfrm>
                      <a:off x="0" y="0"/>
                      <a:ext cx="5053164" cy="2160000"/>
                    </a:xfrm>
                    <a:prstGeom prst="rect">
                      <a:avLst/>
                    </a:prstGeom>
                    <a:ln>
                      <a:noFill/>
                    </a:ln>
                    <a:extLst>
                      <a:ext uri="{53640926-AAD7-44D8-BBD7-CCE9431645EC}">
                        <a14:shadowObscured xmlns:a14="http://schemas.microsoft.com/office/drawing/2010/main"/>
                      </a:ext>
                    </a:extLst>
                  </pic:spPr>
                </pic:pic>
              </a:graphicData>
            </a:graphic>
          </wp:inline>
        </w:drawing>
      </w:r>
    </w:p>
    <w:p w14:paraId="0B5376AC" w14:textId="42B58BFA" w:rsidR="002F1E6E" w:rsidRDefault="00F917A2" w:rsidP="002F1E6E">
      <w:pPr>
        <w:rPr>
          <w:lang w:val="en-GB"/>
        </w:rPr>
      </w:pPr>
      <w:r>
        <w:rPr>
          <w:noProof/>
          <w:lang w:val="en-GB"/>
        </w:rPr>
        <mc:AlternateContent>
          <mc:Choice Requires="wps">
            <w:drawing>
              <wp:anchor distT="0" distB="0" distL="114300" distR="114300" simplePos="0" relativeHeight="251922432" behindDoc="0" locked="0" layoutInCell="1" allowOverlap="1" wp14:anchorId="485D7CC7" wp14:editId="2DA28D4C">
                <wp:simplePos x="0" y="0"/>
                <wp:positionH relativeFrom="column">
                  <wp:posOffset>22372</wp:posOffset>
                </wp:positionH>
                <wp:positionV relativeFrom="paragraph">
                  <wp:posOffset>43180</wp:posOffset>
                </wp:positionV>
                <wp:extent cx="226646" cy="265723"/>
                <wp:effectExtent l="0" t="0" r="2540" b="1270"/>
                <wp:wrapNone/>
                <wp:docPr id="200" name="Text Box 200"/>
                <wp:cNvGraphicFramePr/>
                <a:graphic xmlns:a="http://schemas.openxmlformats.org/drawingml/2006/main">
                  <a:graphicData uri="http://schemas.microsoft.com/office/word/2010/wordprocessingShape">
                    <wps:wsp>
                      <wps:cNvSpPr txBox="1"/>
                      <wps:spPr>
                        <a:xfrm>
                          <a:off x="0" y="0"/>
                          <a:ext cx="226646" cy="265723"/>
                        </a:xfrm>
                        <a:prstGeom prst="rect">
                          <a:avLst/>
                        </a:prstGeom>
                        <a:solidFill>
                          <a:schemeClr val="lt1"/>
                        </a:solidFill>
                        <a:ln w="6350">
                          <a:noFill/>
                        </a:ln>
                      </wps:spPr>
                      <wps:txbx>
                        <w:txbxContent>
                          <w:p w14:paraId="219AF3A8" w14:textId="62E65C30" w:rsidR="00C2072C" w:rsidRPr="00F917A2" w:rsidRDefault="00C2072C" w:rsidP="00F917A2">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D7CC7" id="Text Box 200" o:spid="_x0000_s1038" type="#_x0000_t202" style="position:absolute;margin-left:1.75pt;margin-top:3.4pt;width:17.85pt;height:20.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" fillcolor="white [3201]" stroked="f" strokeweight=".5pt">
                <v:textbox>
                  <w:txbxContent>
                    <w:p w14:paraId="219AF3A8" w14:textId="62E65C30" w:rsidR="00C2072C" w:rsidRPr="00F917A2" w:rsidRDefault="00C2072C" w:rsidP="00F917A2">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p>
    <w:p w14:paraId="5DDA2E2C" w14:textId="3F44852B" w:rsidR="002F1E6E" w:rsidRDefault="002F1E6E" w:rsidP="002F1E6E">
      <w:pPr>
        <w:keepNext/>
      </w:pPr>
      <w:r>
        <w:rPr>
          <w:noProof/>
          <w:lang w:val="en-GB"/>
        </w:rPr>
        <w:drawing>
          <wp:inline distT="0" distB="0" distL="0" distR="0" wp14:anchorId="5A6469A5" wp14:editId="5935BD5A">
            <wp:extent cx="5037455" cy="2184400"/>
            <wp:effectExtent l="0" t="0" r="444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A_Plot.pdf"/>
                    <pic:cNvPicPr/>
                  </pic:nvPicPr>
                  <pic:blipFill rotWithShape="1">
                    <a:blip r:embed="rId167">
                      <a:extLst>
                        <a:ext uri="{28A0092B-C50C-407E-A947-70E740481C1C}">
                          <a14:useLocalDpi xmlns:a14="http://schemas.microsoft.com/office/drawing/2010/main" val="0"/>
                        </a:ext>
                      </a:extLst>
                    </a:blip>
                    <a:srcRect t="5184" b="33530"/>
                    <a:stretch/>
                  </pic:blipFill>
                  <pic:spPr bwMode="auto">
                    <a:xfrm>
                      <a:off x="0" y="0"/>
                      <a:ext cx="5039360" cy="2185226"/>
                    </a:xfrm>
                    <a:prstGeom prst="rect">
                      <a:avLst/>
                    </a:prstGeom>
                    <a:ln>
                      <a:noFill/>
                    </a:ln>
                    <a:extLst>
                      <a:ext uri="{53640926-AAD7-44D8-BBD7-CCE9431645EC}">
                        <a14:shadowObscured xmlns:a14="http://schemas.microsoft.com/office/drawing/2010/main"/>
                      </a:ext>
                    </a:extLst>
                  </pic:spPr>
                </pic:pic>
              </a:graphicData>
            </a:graphic>
          </wp:inline>
        </w:drawing>
      </w:r>
    </w:p>
    <w:p w14:paraId="57971BC7" w14:textId="458C7E90" w:rsidR="002F1E6E" w:rsidRPr="002F1E6E" w:rsidRDefault="002F1E6E" w:rsidP="002F1E6E">
      <w:pPr>
        <w:pStyle w:val="Caption"/>
        <w:rPr>
          <w:b w:val="0"/>
        </w:rPr>
      </w:pPr>
      <w:bookmarkStart w:id="383" w:name="_Toc3226019"/>
      <w:r>
        <w:t xml:space="preserve">Figure </w:t>
      </w:r>
      <w:fldSimple w:instr=" SEQ Figure \* ARABIC ">
        <w:r w:rsidR="00066B5A">
          <w:rPr>
            <w:noProof/>
          </w:rPr>
          <w:t>23</w:t>
        </w:r>
      </w:fldSimple>
      <w:r>
        <w:t>: Boxplots of Log2 Fold Change for common DEGs across datasets. A</w:t>
      </w:r>
      <w:r>
        <w:rPr>
          <w:b w:val="0"/>
        </w:rPr>
        <w:t xml:space="preserve"> indicates log2 fold change distributions for common DEGs across the six TDP-43 datasets. </w:t>
      </w:r>
      <w:r>
        <w:t>B</w:t>
      </w:r>
      <w:r>
        <w:rPr>
          <w:b w:val="0"/>
        </w:rPr>
        <w:t xml:space="preserve"> indicates log2 fold change distributions for common DEGs across the twelve PD datasets. </w:t>
      </w:r>
      <w:r>
        <w:t>C</w:t>
      </w:r>
      <w:r>
        <w:rPr>
          <w:b w:val="0"/>
        </w:rPr>
        <w:t xml:space="preserve"> indicates log2 fold change distributions for common DEGs across the twelve autoimmune arthritis datasets. The red line indicates the position of 0 log2 fold change. Genes are ordered by median log2 fold change value. Values have been re-centered around zero.</w:t>
      </w:r>
      <w:bookmarkEnd w:id="383"/>
      <w:r>
        <w:rPr>
          <w:b w:val="0"/>
        </w:rPr>
        <w:br w:type="page"/>
      </w:r>
    </w:p>
    <w:p w14:paraId="09640AF6" w14:textId="4D1F5E12" w:rsidR="00EE4DB2" w:rsidRDefault="00EE4DB2" w:rsidP="00EE4DB2">
      <w:pPr>
        <w:pStyle w:val="Heading2"/>
      </w:pPr>
      <w:bookmarkStart w:id="384" w:name="_Toc3211443"/>
      <w:r>
        <w:lastRenderedPageBreak/>
        <w:t>Overlap Between Signatures</w:t>
      </w:r>
      <w:bookmarkEnd w:id="384"/>
    </w:p>
    <w:p w14:paraId="1A13BC6F" w14:textId="0D21A231" w:rsidR="00EE4DB2" w:rsidRPr="0082680A" w:rsidRDefault="00EE4DB2" w:rsidP="00EE4DB2">
      <w:pPr>
        <w:rPr>
          <w:lang w:val="en-GB"/>
        </w:rPr>
      </w:pPr>
      <w:r w:rsidRPr="0082680A">
        <w:rPr>
          <w:lang w:val="en-GB"/>
        </w:rPr>
        <w:t>Though not necessarily irrelevant to each condition, these pathways highlight a possible weakness in the pipeline – how much common signal is being picked up across different diseases? It was mentioned above that the size of the network is quite large, and the presence of common pathways suggests we could be accumulating some “generic disease” signal. To investigate, we conducted a simple protein name overlap, visualised in Figure 2</w:t>
      </w:r>
      <w:r w:rsidR="00066B5A">
        <w:rPr>
          <w:lang w:val="en-GB"/>
        </w:rPr>
        <w:t>4</w:t>
      </w:r>
      <w:r w:rsidRPr="0082680A">
        <w:rPr>
          <w:lang w:val="en-GB"/>
        </w:rPr>
        <w:t xml:space="preserve">. Here we can see approximately a third of each protein interaction network is shared by each condition. Overlap of these expansive, generic core processes could well be reflecting a bias of the protein interaction methodology towards more ubiquitous, housekeeping proteins. As a result, it would be of benefit in future to develop a more rigorous selection process for expanding the protein network, one that perhaps gives less weight to proteins which are generally more promiscuous. </w:t>
      </w:r>
    </w:p>
    <w:p w14:paraId="0230AFD1" w14:textId="77777777" w:rsidR="00EE4DB2" w:rsidRPr="0082680A" w:rsidRDefault="00EE4DB2" w:rsidP="00EE4DB2">
      <w:pPr>
        <w:rPr>
          <w:lang w:val="en-GB"/>
        </w:rPr>
      </w:pPr>
    </w:p>
    <w:p w14:paraId="20D58EF6" w14:textId="19AF1530" w:rsidR="00EE4DB2" w:rsidRPr="0082680A" w:rsidRDefault="00EE4DB2" w:rsidP="00EE4DB2">
      <w:pPr>
        <w:rPr>
          <w:lang w:val="en-GB"/>
        </w:rPr>
      </w:pPr>
      <w:r w:rsidRPr="0082680A">
        <w:rPr>
          <w:lang w:val="en-GB"/>
        </w:rPr>
        <w:t>The overlap, however, is less of an issue once the common coexpression networks are defined. Figure 2</w:t>
      </w:r>
      <w:r w:rsidR="00066B5A">
        <w:rPr>
          <w:lang w:val="en-GB"/>
        </w:rPr>
        <w:t>5</w:t>
      </w:r>
      <w:r w:rsidRPr="0082680A">
        <w:rPr>
          <w:lang w:val="en-GB"/>
        </w:rPr>
        <w:t xml:space="preserve"> shows an equivalent diagram for the common coexpression modules of each application. Here we can see that 16 genes are shared between the common coexpression modules in each of the three applications – substantially less than a third of each network (Table </w:t>
      </w:r>
      <w:r w:rsidR="00066B5A">
        <w:rPr>
          <w:lang w:val="en-GB"/>
        </w:rPr>
        <w:t>66</w:t>
      </w:r>
      <w:r w:rsidRPr="0082680A">
        <w:rPr>
          <w:lang w:val="en-GB"/>
        </w:rPr>
        <w:t>). Of these 16, none are particularly related to the application phenotypes, and none are ranked highly in the prioritisation process. Also, the presence of shared signal it is not necessarily a fault in the pipeline, as the relationship between inflammation and neurodegeneration has been well documented, and more recently that a relationship exists between the development neurodegeneration and arthritis specifically</w:t>
      </w:r>
      <w:r w:rsidRPr="0082680A">
        <w:rPr>
          <w:lang w:val="en-GB"/>
        </w:rPr>
        <w:fldChar w:fldCharType="begin" w:fldLock="1"/>
      </w:r>
      <w:r w:rsidR="000507BA">
        <w:rPr>
          <w:lang w:val="en-GB"/>
        </w:rPr>
        <w:instrText>ADDIN CSL_CITATION {"citationItems":[{"id":"ITEM-1","itemData":{"author":[{"dropping-particle":"","family":"Venters","given":"Homer D.","non-dropping-particle":"","parse-names":false,"suffix":""},{"dropping-particle":"","family":"Dantzer","given":"Robert","non-dropping-particle":"","parse-names":false,"suffix":""},{"dropping-particle":"","family":"Kelley","given":"Keith W.","non-dropping-particle":"","parse-names":false,"suffix":""}],"container-title":"Trends in Neurosciences","id":"ITEM-1","issue":"4","issued":{"date-parts":[["2000"]]},"page":"175-180","title":"A new concept in neurodegeneration: TNFα is a silencer of survival signals","type":"article-journal","volume":"23"},"uris":["http://www.mendeley.com/documents/?uuid=9bbaec82-1772-4f4d-a575-3ef8d167b294"]},{"id":"ITEM-2","itemData":{"author":[{"dropping-particle":"","family":"McGeer","given":"Patrick L.","non-dropping-particle":"","parse-names":false,"suffix":""},{"dropping-particle":"","family":"McGreer","given":"Edith G.","non-dropping-particle":"","parse-names":false,"suffix":""}],"container-title":"Parkinsonism &amp; Related Disorders","id":"ITEM-2","issue":"1","issued":{"date-parts":[["2004"]]},"page":"S3-S7","title":"Inflammation and neurodegeneration in Parkinson's disease","type":"article-journal","volume":"10"},"uris":["http://www.mendeley.com/documents/?uuid=8734227a-a567-4c53-9868-c9a269c97e8a"]},{"id":"ITEM-3","itemData":{"DOI":"10.1016/j.cell.2010.02.016","ISSN":"1097-4172","PMID":"20303880","abstract":"Inflammation is associated with many neurodegenerative diseases, including Alzheimer's disease, Parkinson's disease, amyotrophic lateral sclerosis, and multiple sclerosis. In this Review, we discuss inducers, sensors, transducers, and effectors of neuroinflammation that contribute to neuronal dysfunction and death. Although inducers of inflammation may be generated in a disease-specific manner, there is evidence for a remarkable convergence in the mechanisms responsible for the sensing, transduction, and amplification of inflammatory processes that result in the production of neurotoxic mediators. A major unanswered question is whether pharmacological inhibition of inflammation pathways will be able to safely reverse or slow the course of disease.","author":[{"dropping-particle":"","family":"Glass","given":"Christopher K","non-dropping-particle":"","parse-names":false,"suffix":""},{"dropping-particle":"","family":"Saijo","given":"Kaoru","non-dropping-particle":"","parse-names":false,"suffix":""},{"dropping-particle":"","family":"Winner","given":"Beate","non-dropping-particle":"","parse-names":false,"suffix":""},{"dropping-particle":"","family":"Marchetto","given":"Maria Carolina","non-dropping-particle":"","parse-names":false,"suffix":""},{"dropping-particle":"","family":"Gage","given":"Fred H","non-dropping-particle":"","parse-names":false,"suffix":""}],"container-title":"Cell","id":"ITEM-3","issue":"6","issued":{"date-parts":[["2010","3","19"]]},"page":"918-34","publisher":"NIH Public Access","title":"Mechanisms underlying inflammation in neurodegeneration.","type":"article-journal","volume":"140"},"uris":["http://www.mendeley.com/documents/?uuid=1ad5b603-0ad0-3c88-b721-3981adefa77a"]},{"id":"ITEM-4","itemData":{"DOI":"10.4049/jimmunol.1601472","ISSN":"1550-6606","PMID":"28188247","abstract":"The prevalence of neurodegenerative disease and arthritis increases with age. Despite both processes being associated with immune activation and inflammation, little is known about the mechanistic interactions between neurodegenerative disease and arthritis. In this article, we show that tau-transgenic (tau-tg) mice that develop neurodegenerative disease characterized by deposition of tau tangles in the brain are highly susceptible to developing arthritis. Already at steady-state conditions, tau-tg mice exhibit peripheral immune activation that is manifested by higher numbers of granulocytes, plasmablasts, and inflammatory Ly6Chi CCR2+ monocytes, as well as increased levels of proinflammatory cytokines, such as TNF-α and IL-17. Upon induction of collagen-induced arthritis (CIA), tau-tg mice displayed an increased incidence and an earlier onset of CIA that was associated with a more pronounced inflammatory cytokine response. Furthermore, induction of CIA led to significantly elevated numbers of Iba-1-expressing cells in the brain, indicative of microglia activation, and the formation of anti-tau Abs in tau-tg mice. These changes were accompanied by the resolution of tau tangles and significantly decreased neurodegenerative pathology. In summary, these data show that neurodegenerative disease enhances the development of arthritis. In addition, arthritis, once induced, triggers innate immune responses in the brain, leading to resolution of neurodegenerative changes.","author":[{"dropping-particle":"","family":"Lang","given":"Stefanie C","non-dropping-particle":"","parse-names":false,"suffix":""},{"dropping-particle":"","family":"Harre","given":"Ulrike","non-dropping-particle":"","parse-names":false,"suffix":""},{"dropping-particle":"","family":"Purohit","given":"Pavitra","non-dropping-particle":"","parse-names":false,"suffix":""},{"dropping-particle":"","family":"Dietel","given":"Katharina","non-dropping-particle":"","parse-names":false,"suffix":""},{"dropping-particle":"","family":"Kienhöfer","given":"Deborah","non-dropping-particle":"","parse-names":false,"suffix":""},{"dropping-particle":"","family":"Hahn","given":"Jonas","non-dropping-particle":"","parse-names":false,"suffix":""},{"dropping-particle":"","family":"Baum","given":"Wolfgang","non-dropping-particle":"","parse-names":false,"suffix":""},{"dropping-particle":"","family":"Herrmann","given":"Martin","non-dropping-particle":"","parse-names":false,"suffix":""},{"dropping-particle":"","family":"Schett","given":"Georg","non-dropping-particle":"","parse-names":false,"suffix":""},{"dropping-particle":"","family":"Mielenz","given":"Dirk","non-dropping-particle":"","parse-names":false,"suffix":""}],"container-title":"Journal of immunology (Baltimore, Md. : 1950)","id":"ITEM-4","issue":"6","issued":{"date-parts":[["2017","3","15"]]},"page":"2394-2402","publisher":"American Association of Immunologists","title":"Neurodegeneration Enhances the Development of Arthritis.","type":"article-journal","volume":"198"},"uris":["http://www.mendeley.com/documents/?uuid=bcb7a283-012b-3a35-a514-cfbfd1104f62"]}],"mendeley":{"formattedCitation":"&lt;sup&gt;195,456–458&lt;/sup&gt;","plainTextFormattedCitation":"195,456–458","previouslyFormattedCitation":"&lt;sup&gt;195,456–458&lt;/sup&gt;"},"properties":{"noteIndex":0},"schema":"https://github.com/citation-style-language/schema/raw/master/csl-citation.json"}</w:instrText>
      </w:r>
      <w:r w:rsidRPr="0082680A">
        <w:rPr>
          <w:lang w:val="en-GB"/>
        </w:rPr>
        <w:fldChar w:fldCharType="separate"/>
      </w:r>
      <w:r w:rsidR="00426B19" w:rsidRPr="00426B19">
        <w:rPr>
          <w:noProof/>
          <w:vertAlign w:val="superscript"/>
          <w:lang w:val="en-GB"/>
        </w:rPr>
        <w:t>195,456–458</w:t>
      </w:r>
      <w:r w:rsidRPr="0082680A">
        <w:rPr>
          <w:lang w:val="en-GB"/>
        </w:rPr>
        <w:fldChar w:fldCharType="end"/>
      </w:r>
      <w:r w:rsidRPr="0082680A">
        <w:rPr>
          <w:lang w:val="en-GB"/>
        </w:rPr>
        <w:t xml:space="preserve">. We see further support in the higher number of module members shared between the two neurodegenerative conditions versus autoimmune arthritis. Subsequently, a further application on a condition much further removed from these conditions would hopefully give a better indication of the ability of this pipeline to isolate only phenotype-specific signals. </w:t>
      </w:r>
    </w:p>
    <w:p w14:paraId="3BDA4963" w14:textId="77777777" w:rsidR="00EE4DB2" w:rsidRPr="0082680A" w:rsidRDefault="00EE4DB2" w:rsidP="00EE4DB2">
      <w:pPr>
        <w:pStyle w:val="NoSpacing"/>
        <w:rPr>
          <w:lang w:val="en-GB"/>
        </w:rPr>
      </w:pPr>
      <w:r w:rsidRPr="0082680A">
        <w:rPr>
          <w:noProof/>
          <w:lang w:val="en-GB"/>
        </w:rPr>
        <w:lastRenderedPageBreak/>
        <w:drawing>
          <wp:inline distT="0" distB="0" distL="0" distR="0" wp14:anchorId="5DEEDA18" wp14:editId="2F31A276">
            <wp:extent cx="5039360" cy="3716528"/>
            <wp:effectExtent l="0" t="0" r="2540" b="508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PI_Venn.pdf"/>
                    <pic:cNvPicPr/>
                  </pic:nvPicPr>
                  <pic:blipFill>
                    <a:blip r:embed="rId168">
                      <a:extLst>
                        <a:ext uri="{28A0092B-C50C-407E-A947-70E740481C1C}">
                          <a14:useLocalDpi xmlns:a14="http://schemas.microsoft.com/office/drawing/2010/main" val="0"/>
                        </a:ext>
                      </a:extLst>
                    </a:blip>
                    <a:stretch>
                      <a:fillRect/>
                    </a:stretch>
                  </pic:blipFill>
                  <pic:spPr>
                    <a:xfrm>
                      <a:off x="0" y="0"/>
                      <a:ext cx="5039360" cy="3716528"/>
                    </a:xfrm>
                    <a:prstGeom prst="rect">
                      <a:avLst/>
                    </a:prstGeom>
                  </pic:spPr>
                </pic:pic>
              </a:graphicData>
            </a:graphic>
          </wp:inline>
        </w:drawing>
      </w:r>
    </w:p>
    <w:p w14:paraId="403E3986" w14:textId="64F79AC8" w:rsidR="00EE4DB2" w:rsidRPr="0082680A" w:rsidRDefault="00EE4DB2" w:rsidP="00EE4DB2">
      <w:pPr>
        <w:pStyle w:val="Caption"/>
        <w:rPr>
          <w:b w:val="0"/>
          <w:lang w:val="en-GB"/>
        </w:rPr>
      </w:pPr>
      <w:bookmarkStart w:id="385" w:name="_Toc3226020"/>
      <w:r w:rsidRPr="0082680A">
        <w:rPr>
          <w:lang w:val="en-GB"/>
        </w:rPr>
        <w:t xml:space="preserve">Figure </w:t>
      </w:r>
      <w:r w:rsidRPr="0082680A">
        <w:rPr>
          <w:noProof/>
          <w:lang w:val="en-GB"/>
        </w:rPr>
        <w:fldChar w:fldCharType="begin"/>
      </w:r>
      <w:r w:rsidRPr="0082680A">
        <w:rPr>
          <w:noProof/>
          <w:lang w:val="en-GB"/>
        </w:rPr>
        <w:instrText xml:space="preserve"> SEQ Figure \* ARABIC </w:instrText>
      </w:r>
      <w:r w:rsidRPr="0082680A">
        <w:rPr>
          <w:noProof/>
          <w:lang w:val="en-GB"/>
        </w:rPr>
        <w:fldChar w:fldCharType="separate"/>
      </w:r>
      <w:r w:rsidR="00066B5A">
        <w:rPr>
          <w:noProof/>
          <w:lang w:val="en-GB"/>
        </w:rPr>
        <w:t>24</w:t>
      </w:r>
      <w:r w:rsidRPr="0082680A">
        <w:rPr>
          <w:noProof/>
          <w:lang w:val="en-GB"/>
        </w:rPr>
        <w:fldChar w:fldCharType="end"/>
      </w:r>
      <w:r w:rsidRPr="0082680A">
        <w:rPr>
          <w:lang w:val="en-GB"/>
        </w:rPr>
        <w:t xml:space="preserve">: </w:t>
      </w:r>
      <w:r w:rsidRPr="0082680A">
        <w:rPr>
          <w:b w:val="0"/>
          <w:lang w:val="en-GB"/>
        </w:rPr>
        <w:t>A Venn diagram depicting the overlap between protein-protein interaction networks in each application</w:t>
      </w:r>
      <w:bookmarkEnd w:id="385"/>
    </w:p>
    <w:p w14:paraId="2E31AC5D" w14:textId="77777777" w:rsidR="00EE4DB2" w:rsidRPr="0082680A" w:rsidRDefault="00EE4DB2" w:rsidP="00EE4DB2">
      <w:pPr>
        <w:rPr>
          <w:lang w:val="en-GB"/>
        </w:rPr>
      </w:pPr>
    </w:p>
    <w:p w14:paraId="42AE27BA" w14:textId="77777777" w:rsidR="00EE4DB2" w:rsidRPr="0082680A" w:rsidRDefault="00EE4DB2" w:rsidP="00EE4DB2">
      <w:pPr>
        <w:pStyle w:val="NoSpacing"/>
        <w:rPr>
          <w:lang w:val="en-GB"/>
        </w:rPr>
      </w:pPr>
      <w:r w:rsidRPr="0082680A">
        <w:rPr>
          <w:noProof/>
          <w:lang w:val="en-GB"/>
        </w:rPr>
        <w:drawing>
          <wp:inline distT="0" distB="0" distL="0" distR="0" wp14:anchorId="1E32573F" wp14:editId="0C49BF37">
            <wp:extent cx="5039360" cy="3716528"/>
            <wp:effectExtent l="0" t="0" r="2540" b="508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NUGVenn.pdf"/>
                    <pic:cNvPicPr/>
                  </pic:nvPicPr>
                  <pic:blipFill>
                    <a:blip r:embed="rId169">
                      <a:extLst>
                        <a:ext uri="{28A0092B-C50C-407E-A947-70E740481C1C}">
                          <a14:useLocalDpi xmlns:a14="http://schemas.microsoft.com/office/drawing/2010/main" val="0"/>
                        </a:ext>
                      </a:extLst>
                    </a:blip>
                    <a:stretch>
                      <a:fillRect/>
                    </a:stretch>
                  </pic:blipFill>
                  <pic:spPr>
                    <a:xfrm>
                      <a:off x="0" y="0"/>
                      <a:ext cx="5039360" cy="3716528"/>
                    </a:xfrm>
                    <a:prstGeom prst="rect">
                      <a:avLst/>
                    </a:prstGeom>
                  </pic:spPr>
                </pic:pic>
              </a:graphicData>
            </a:graphic>
          </wp:inline>
        </w:drawing>
      </w:r>
    </w:p>
    <w:p w14:paraId="2E36F066" w14:textId="0856A518" w:rsidR="00EE4DB2" w:rsidRPr="0082680A" w:rsidRDefault="00EE4DB2" w:rsidP="00EE4DB2">
      <w:pPr>
        <w:pStyle w:val="Caption"/>
        <w:rPr>
          <w:lang w:val="en-GB"/>
        </w:rPr>
      </w:pPr>
      <w:bookmarkStart w:id="386" w:name="_Toc3226021"/>
      <w:r w:rsidRPr="0082680A">
        <w:rPr>
          <w:lang w:val="en-GB"/>
        </w:rPr>
        <w:t xml:space="preserve">Figure </w:t>
      </w:r>
      <w:r w:rsidRPr="0082680A">
        <w:rPr>
          <w:noProof/>
          <w:lang w:val="en-GB"/>
        </w:rPr>
        <w:fldChar w:fldCharType="begin"/>
      </w:r>
      <w:r w:rsidRPr="0082680A">
        <w:rPr>
          <w:noProof/>
          <w:lang w:val="en-GB"/>
        </w:rPr>
        <w:instrText xml:space="preserve"> SEQ Figure \* ARABIC </w:instrText>
      </w:r>
      <w:r w:rsidRPr="0082680A">
        <w:rPr>
          <w:noProof/>
          <w:lang w:val="en-GB"/>
        </w:rPr>
        <w:fldChar w:fldCharType="separate"/>
      </w:r>
      <w:r w:rsidR="00066B5A">
        <w:rPr>
          <w:noProof/>
          <w:lang w:val="en-GB"/>
        </w:rPr>
        <w:t>25</w:t>
      </w:r>
      <w:r w:rsidRPr="0082680A">
        <w:rPr>
          <w:noProof/>
          <w:lang w:val="en-GB"/>
        </w:rPr>
        <w:fldChar w:fldCharType="end"/>
      </w:r>
      <w:r w:rsidRPr="0082680A">
        <w:rPr>
          <w:lang w:val="en-GB"/>
        </w:rPr>
        <w:t>:</w:t>
      </w:r>
      <w:r w:rsidRPr="0082680A">
        <w:rPr>
          <w:b w:val="0"/>
          <w:lang w:val="en-GB"/>
        </w:rPr>
        <w:t xml:space="preserve"> A Venn diagram depicting the overlap between common coexpression module members in each application</w:t>
      </w:r>
      <w:bookmarkEnd w:id="386"/>
    </w:p>
    <w:p w14:paraId="0CB14D21" w14:textId="77777777" w:rsidR="00EE4DB2" w:rsidRPr="0082680A" w:rsidRDefault="00EE4DB2" w:rsidP="00EE4DB2">
      <w:pPr>
        <w:pStyle w:val="NoSpacing"/>
        <w:rPr>
          <w:lang w:val="en-GB"/>
        </w:rPr>
      </w:pPr>
      <w:r w:rsidRPr="0082680A">
        <w:rPr>
          <w:noProof/>
          <w:lang w:val="en-GB"/>
        </w:rPr>
        <w:lastRenderedPageBreak/>
        <w:drawing>
          <wp:inline distT="0" distB="0" distL="0" distR="0" wp14:anchorId="043964B8" wp14:editId="28D9A21D">
            <wp:extent cx="5039360" cy="2486025"/>
            <wp:effectExtent l="0" t="0" r="2540" b="317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NugPercentages.pdf"/>
                    <pic:cNvPicPr/>
                  </pic:nvPicPr>
                  <pic:blipFill rotWithShape="1">
                    <a:blip r:embed="rId170">
                      <a:extLst>
                        <a:ext uri="{28A0092B-C50C-407E-A947-70E740481C1C}">
                          <a14:useLocalDpi xmlns:a14="http://schemas.microsoft.com/office/drawing/2010/main" val="0"/>
                        </a:ext>
                      </a:extLst>
                    </a:blip>
                    <a:srcRect b="33111"/>
                    <a:stretch/>
                  </pic:blipFill>
                  <pic:spPr bwMode="auto">
                    <a:xfrm>
                      <a:off x="0" y="0"/>
                      <a:ext cx="5039360" cy="2486025"/>
                    </a:xfrm>
                    <a:prstGeom prst="rect">
                      <a:avLst/>
                    </a:prstGeom>
                    <a:ln>
                      <a:noFill/>
                    </a:ln>
                    <a:extLst>
                      <a:ext uri="{53640926-AAD7-44D8-BBD7-CCE9431645EC}">
                        <a14:shadowObscured xmlns:a14="http://schemas.microsoft.com/office/drawing/2010/main"/>
                      </a:ext>
                    </a:extLst>
                  </pic:spPr>
                </pic:pic>
              </a:graphicData>
            </a:graphic>
          </wp:inline>
        </w:drawing>
      </w:r>
    </w:p>
    <w:p w14:paraId="08E896D3" w14:textId="3754C10D" w:rsidR="00EE4DB2" w:rsidRPr="0082680A" w:rsidRDefault="00EE4DB2" w:rsidP="00EE4DB2">
      <w:pPr>
        <w:pStyle w:val="Caption"/>
        <w:rPr>
          <w:b w:val="0"/>
          <w:lang w:val="en-GB"/>
        </w:rPr>
      </w:pPr>
      <w:bookmarkStart w:id="387" w:name="_Toc3225980"/>
      <w:r w:rsidRPr="0082680A">
        <w:rPr>
          <w:lang w:val="en-GB"/>
        </w:rPr>
        <w:t xml:space="preserve">Table </w:t>
      </w:r>
      <w:r w:rsidR="00483095">
        <w:rPr>
          <w:lang w:val="en-GB"/>
        </w:rPr>
        <w:fldChar w:fldCharType="begin"/>
      </w:r>
      <w:r w:rsidR="00483095">
        <w:rPr>
          <w:lang w:val="en-GB"/>
        </w:rPr>
        <w:instrText xml:space="preserve"> SEQ Table \* ARABIC </w:instrText>
      </w:r>
      <w:r w:rsidR="00483095">
        <w:rPr>
          <w:lang w:val="en-GB"/>
        </w:rPr>
        <w:fldChar w:fldCharType="separate"/>
      </w:r>
      <w:r w:rsidR="00066B5A">
        <w:rPr>
          <w:noProof/>
          <w:lang w:val="en-GB"/>
        </w:rPr>
        <w:t>66</w:t>
      </w:r>
      <w:r w:rsidR="00483095">
        <w:rPr>
          <w:lang w:val="en-GB"/>
        </w:rPr>
        <w:fldChar w:fldCharType="end"/>
      </w:r>
      <w:r w:rsidRPr="0082680A">
        <w:rPr>
          <w:lang w:val="en-GB"/>
        </w:rPr>
        <w:t xml:space="preserve">: </w:t>
      </w:r>
      <w:r w:rsidRPr="0082680A">
        <w:rPr>
          <w:b w:val="0"/>
          <w:lang w:val="en-GB"/>
        </w:rPr>
        <w:t>Results indicating the percentage of each protein interaction network and common coexpression module which is shared across all three applications</w:t>
      </w:r>
      <w:bookmarkEnd w:id="387"/>
    </w:p>
    <w:p w14:paraId="4768C9D5" w14:textId="77777777" w:rsidR="00EE4DB2" w:rsidRPr="00EE4DB2" w:rsidRDefault="00EE4DB2" w:rsidP="00EE4DB2">
      <w:pPr>
        <w:rPr>
          <w:lang w:val="en-GB"/>
        </w:rPr>
      </w:pPr>
    </w:p>
    <w:p w14:paraId="75CAE6A7" w14:textId="2E2C2981" w:rsidR="00BF40EA" w:rsidRPr="00BF40EA" w:rsidRDefault="00BF40EA" w:rsidP="00BF40EA">
      <w:pPr>
        <w:rPr>
          <w:lang w:val="en-GB"/>
        </w:rPr>
      </w:pPr>
      <w:r>
        <w:rPr>
          <w:lang w:val="en-GB"/>
        </w:rPr>
        <w:br w:type="page"/>
      </w:r>
    </w:p>
    <w:p w14:paraId="7C48AEBA" w14:textId="1B6B3931" w:rsidR="0048248F" w:rsidRPr="0082680A" w:rsidRDefault="00030D44" w:rsidP="00691215">
      <w:pPr>
        <w:pStyle w:val="Heading1"/>
        <w:ind w:left="0"/>
        <w:rPr>
          <w:lang w:val="en-GB"/>
        </w:rPr>
      </w:pPr>
      <w:bookmarkStart w:id="388" w:name="_Toc3211444"/>
      <w:r w:rsidRPr="0082680A">
        <w:rPr>
          <w:lang w:val="en-GB"/>
        </w:rPr>
        <w:lastRenderedPageBreak/>
        <w:t xml:space="preserve">Chapter </w:t>
      </w:r>
      <w:r w:rsidR="00EE4DB2">
        <w:rPr>
          <w:lang w:val="en-GB"/>
        </w:rPr>
        <w:t>6</w:t>
      </w:r>
      <w:r w:rsidRPr="0082680A">
        <w:rPr>
          <w:lang w:val="en-GB"/>
        </w:rPr>
        <w:t>: Conclusion and Future Work</w:t>
      </w:r>
      <w:bookmarkEnd w:id="388"/>
    </w:p>
    <w:p w14:paraId="34C11B46" w14:textId="1FED6935" w:rsidR="00A43654" w:rsidRPr="00842FD0" w:rsidRDefault="00B04B3F" w:rsidP="00842FD0">
      <w:pPr>
        <w:pStyle w:val="Heading2"/>
      </w:pPr>
      <w:bookmarkStart w:id="389" w:name="_Toc3211445"/>
      <w:r w:rsidRPr="00842FD0">
        <w:t>Summary</w:t>
      </w:r>
      <w:bookmarkEnd w:id="389"/>
    </w:p>
    <w:p w14:paraId="558F45AB" w14:textId="22D231F7" w:rsidR="005C4449" w:rsidRPr="0082680A" w:rsidRDefault="005C4449" w:rsidP="005C4449">
      <w:pPr>
        <w:rPr>
          <w:lang w:val="en-GB"/>
        </w:rPr>
      </w:pPr>
      <w:r w:rsidRPr="0082680A">
        <w:rPr>
          <w:lang w:val="en-GB"/>
        </w:rPr>
        <w:t>The overall aim of this project was to develop a methodological pipeline capable of producing signatures</w:t>
      </w:r>
      <w:r w:rsidR="00CD03C1" w:rsidRPr="0082680A">
        <w:rPr>
          <w:lang w:val="en-GB"/>
        </w:rPr>
        <w:t xml:space="preserve"> shared across populations</w:t>
      </w:r>
      <w:r w:rsidR="00DA2097" w:rsidRPr="0082680A">
        <w:rPr>
          <w:lang w:val="en-GB"/>
        </w:rPr>
        <w:t xml:space="preserve"> that</w:t>
      </w:r>
      <w:r w:rsidR="00CD03C1" w:rsidRPr="0082680A">
        <w:rPr>
          <w:lang w:val="en-GB"/>
        </w:rPr>
        <w:t xml:space="preserve"> contain </w:t>
      </w:r>
      <w:r w:rsidR="00DA2097" w:rsidRPr="0082680A">
        <w:rPr>
          <w:lang w:val="en-GB"/>
        </w:rPr>
        <w:t>laboratory-validated upstream drivers</w:t>
      </w:r>
      <w:r w:rsidRPr="0082680A">
        <w:rPr>
          <w:lang w:val="en-GB"/>
        </w:rPr>
        <w:t xml:space="preserve">. Our objectives </w:t>
      </w:r>
      <w:r w:rsidR="00153770" w:rsidRPr="0082680A">
        <w:rPr>
          <w:lang w:val="en-GB"/>
        </w:rPr>
        <w:t>were</w:t>
      </w:r>
      <w:r w:rsidRPr="0082680A">
        <w:rPr>
          <w:lang w:val="en-GB"/>
        </w:rPr>
        <w:t xml:space="preserve"> </w:t>
      </w:r>
      <w:r w:rsidR="00153770" w:rsidRPr="0082680A">
        <w:rPr>
          <w:lang w:val="en-GB"/>
        </w:rPr>
        <w:t xml:space="preserve">that the pipeline would be </w:t>
      </w:r>
      <w:r w:rsidRPr="0082680A">
        <w:rPr>
          <w:lang w:val="en-GB"/>
        </w:rPr>
        <w:t xml:space="preserve">able to successfully incorporate </w:t>
      </w:r>
      <w:r w:rsidR="00153770" w:rsidRPr="0082680A">
        <w:rPr>
          <w:lang w:val="en-GB"/>
        </w:rPr>
        <w:t xml:space="preserve">small </w:t>
      </w:r>
      <w:r w:rsidRPr="0082680A">
        <w:rPr>
          <w:lang w:val="en-GB"/>
        </w:rPr>
        <w:t xml:space="preserve">datasets </w:t>
      </w:r>
      <w:r w:rsidR="00211679" w:rsidRPr="0082680A">
        <w:rPr>
          <w:lang w:val="en-GB"/>
        </w:rPr>
        <w:t xml:space="preserve">from </w:t>
      </w:r>
      <w:r w:rsidRPr="0082680A">
        <w:rPr>
          <w:lang w:val="en-GB"/>
        </w:rPr>
        <w:t xml:space="preserve">variable technical platforms, to incorporate genomic, transcriptomic, and proteomic data, </w:t>
      </w:r>
      <w:r w:rsidR="00211679" w:rsidRPr="0082680A">
        <w:rPr>
          <w:lang w:val="en-GB"/>
        </w:rPr>
        <w:t>to survive rigorous</w:t>
      </w:r>
      <w:r w:rsidRPr="0082680A">
        <w:rPr>
          <w:lang w:val="en-GB"/>
        </w:rPr>
        <w:t xml:space="preserve"> </w:t>
      </w:r>
      <w:r w:rsidR="00211679" w:rsidRPr="0082680A">
        <w:rPr>
          <w:lang w:val="en-GB"/>
        </w:rPr>
        <w:t>testing</w:t>
      </w:r>
      <w:r w:rsidRPr="0082680A">
        <w:rPr>
          <w:lang w:val="en-GB"/>
        </w:rPr>
        <w:t xml:space="preserve"> at each development stage, </w:t>
      </w:r>
      <w:r w:rsidR="00211679" w:rsidRPr="0082680A">
        <w:rPr>
          <w:lang w:val="en-GB"/>
        </w:rPr>
        <w:t>and</w:t>
      </w:r>
      <w:r w:rsidRPr="0082680A">
        <w:rPr>
          <w:lang w:val="en-GB"/>
        </w:rPr>
        <w:t xml:space="preserve"> be validated through prioritisation and selection of predicted upstream drivers, which will subsequently be tested </w:t>
      </w:r>
      <w:r w:rsidRPr="0082680A">
        <w:rPr>
          <w:i/>
          <w:lang w:val="en-GB"/>
        </w:rPr>
        <w:t>in vitro</w:t>
      </w:r>
      <w:r w:rsidRPr="0082680A">
        <w:rPr>
          <w:lang w:val="en-GB"/>
        </w:rPr>
        <w:t xml:space="preserve"> or </w:t>
      </w:r>
      <w:r w:rsidRPr="0082680A">
        <w:rPr>
          <w:i/>
          <w:lang w:val="en-GB"/>
        </w:rPr>
        <w:t>in vivo</w:t>
      </w:r>
      <w:r w:rsidRPr="0082680A">
        <w:rPr>
          <w:lang w:val="en-GB"/>
        </w:rPr>
        <w:t>.</w:t>
      </w:r>
    </w:p>
    <w:p w14:paraId="74D38DA5" w14:textId="323E903B" w:rsidR="009414AF" w:rsidRPr="0082680A" w:rsidRDefault="007F62E8" w:rsidP="00691215">
      <w:pPr>
        <w:pStyle w:val="Heading3"/>
        <w:rPr>
          <w:lang w:val="en-GB"/>
        </w:rPr>
      </w:pPr>
      <w:bookmarkStart w:id="390" w:name="_Toc3211446"/>
      <w:r>
        <w:rPr>
          <w:lang w:val="en-GB"/>
        </w:rPr>
        <w:t>Pipeline Development and TDP-43</w:t>
      </w:r>
      <w:bookmarkEnd w:id="390"/>
    </w:p>
    <w:p w14:paraId="08427AC2" w14:textId="6127ED9D" w:rsidR="006714C5" w:rsidRPr="0082680A" w:rsidRDefault="00BF6BD8" w:rsidP="005C4449">
      <w:pPr>
        <w:rPr>
          <w:lang w:val="en-GB"/>
        </w:rPr>
      </w:pPr>
      <w:r w:rsidRPr="0082680A">
        <w:rPr>
          <w:lang w:val="en-GB"/>
        </w:rPr>
        <w:t xml:space="preserve">The first step was to </w:t>
      </w:r>
      <w:r w:rsidR="001A132E" w:rsidRPr="0082680A">
        <w:rPr>
          <w:lang w:val="en-GB"/>
        </w:rPr>
        <w:t>build a methodological pipeline that would form the basis of our signature development</w:t>
      </w:r>
      <w:r w:rsidR="00CD1E0C" w:rsidRPr="0082680A">
        <w:rPr>
          <w:lang w:val="en-GB"/>
        </w:rPr>
        <w:t xml:space="preserve"> and which </w:t>
      </w:r>
      <w:r w:rsidR="001A132E" w:rsidRPr="0082680A">
        <w:rPr>
          <w:lang w:val="en-GB"/>
        </w:rPr>
        <w:t xml:space="preserve">conformed to the </w:t>
      </w:r>
      <w:r w:rsidR="00CD1E0C" w:rsidRPr="0082680A">
        <w:rPr>
          <w:lang w:val="en-GB"/>
        </w:rPr>
        <w:t>objectives laid out above</w:t>
      </w:r>
      <w:r w:rsidR="001A132E" w:rsidRPr="0082680A">
        <w:rPr>
          <w:lang w:val="en-GB"/>
        </w:rPr>
        <w:t>.</w:t>
      </w:r>
      <w:r w:rsidR="00CD1E0C" w:rsidRPr="0082680A">
        <w:rPr>
          <w:lang w:val="en-GB"/>
        </w:rPr>
        <w:t xml:space="preserve"> </w:t>
      </w:r>
      <w:r w:rsidR="00A964CC" w:rsidRPr="0082680A">
        <w:rPr>
          <w:lang w:val="en-GB"/>
        </w:rPr>
        <w:t xml:space="preserve">To do so required a case phenotype on which to conduct the analysis, and TDP-43 dysfunction was chosen for this role. </w:t>
      </w:r>
      <w:r w:rsidR="004315C0" w:rsidRPr="0082680A">
        <w:rPr>
          <w:lang w:val="en-GB"/>
        </w:rPr>
        <w:t xml:space="preserve">Datasets pertaining to this phenotype were sourced and quality controlled. These datasets then underwent differential expression analysis, and the methodology by which differentially expressed genes were identified </w:t>
      </w:r>
      <w:r w:rsidR="002E5BE0" w:rsidRPr="0082680A">
        <w:rPr>
          <w:lang w:val="en-GB"/>
        </w:rPr>
        <w:t xml:space="preserve">was defined as genes whose direction of dysregulation was consistent across all input datasets. </w:t>
      </w:r>
      <w:r w:rsidR="00117180" w:rsidRPr="0082680A">
        <w:rPr>
          <w:lang w:val="en-GB"/>
        </w:rPr>
        <w:t>We</w:t>
      </w:r>
      <w:r w:rsidR="002E5BE0" w:rsidRPr="0082680A">
        <w:rPr>
          <w:lang w:val="en-GB"/>
        </w:rPr>
        <w:t xml:space="preserve"> produced a gene list significantly larger than expected by chance, and significantly enriched with pathways and gene lists representative of TDP-43 dysfunction. </w:t>
      </w:r>
      <w:r w:rsidR="009E090D" w:rsidRPr="0082680A">
        <w:rPr>
          <w:lang w:val="en-GB"/>
        </w:rPr>
        <w:t xml:space="preserve">To gain functional context for the DEG list, the DEGs were used to seed a protein-protein interaction network, the members of which continued to enrich for TDP-43-associated biology. </w:t>
      </w:r>
      <w:r w:rsidR="00201AB2" w:rsidRPr="0082680A">
        <w:rPr>
          <w:lang w:val="en-GB"/>
        </w:rPr>
        <w:t>The nodes of this network were then used to build coexpression networks in each input dataset, and edges were filtered to include only those who existed in all input datasets, whose coexpression direction was conserved, and</w:t>
      </w:r>
      <w:r w:rsidR="00A45535" w:rsidRPr="0082680A">
        <w:rPr>
          <w:lang w:val="en-GB"/>
        </w:rPr>
        <w:t xml:space="preserve"> whose strength of coexpression was above a certain value. </w:t>
      </w:r>
      <w:r w:rsidR="007C2331" w:rsidRPr="0082680A">
        <w:rPr>
          <w:lang w:val="en-GB"/>
        </w:rPr>
        <w:t>The largest</w:t>
      </w:r>
      <w:r w:rsidR="00240CC1" w:rsidRPr="0082680A">
        <w:rPr>
          <w:lang w:val="en-GB"/>
        </w:rPr>
        <w:t xml:space="preserve"> connected component of t</w:t>
      </w:r>
      <w:r w:rsidR="00862B1C" w:rsidRPr="0082680A">
        <w:rPr>
          <w:lang w:val="en-GB"/>
        </w:rPr>
        <w:t>his network</w:t>
      </w:r>
      <w:r w:rsidR="00F56B9C" w:rsidRPr="0082680A">
        <w:rPr>
          <w:lang w:val="en-GB"/>
        </w:rPr>
        <w:t>, 232 nodes and 529 edges,</w:t>
      </w:r>
      <w:r w:rsidR="00862B1C" w:rsidRPr="0082680A">
        <w:rPr>
          <w:lang w:val="en-GB"/>
        </w:rPr>
        <w:t xml:space="preserve"> was selected to represent the</w:t>
      </w:r>
      <w:r w:rsidR="00F56B9C" w:rsidRPr="0082680A">
        <w:rPr>
          <w:lang w:val="en-GB"/>
        </w:rPr>
        <w:t xml:space="preserve"> phenotype-associated signature. </w:t>
      </w:r>
      <w:r w:rsidR="00FB6FA2" w:rsidRPr="0082680A">
        <w:rPr>
          <w:lang w:val="en-GB"/>
        </w:rPr>
        <w:t xml:space="preserve">The network module contained two known ALS genes, TBK1 and GARS, enriched for TDP-43-causative and TDP-43 protein interaction genes, and formed a significant number of protein-protein interaction relationships with know TDP-43-causative genes. </w:t>
      </w:r>
      <w:r w:rsidR="00C24A65" w:rsidRPr="0082680A">
        <w:rPr>
          <w:lang w:val="en-GB"/>
        </w:rPr>
        <w:t xml:space="preserve">Prioritisation was conducted using a number of information sources, and successfully ranked known TDP-43-assocaited genes highly. Analysis of the top 5 ranked genes indicated a number of </w:t>
      </w:r>
      <w:r w:rsidR="006714C5" w:rsidRPr="0082680A">
        <w:rPr>
          <w:lang w:val="en-GB"/>
        </w:rPr>
        <w:t xml:space="preserve">promising candidates for </w:t>
      </w:r>
      <w:r w:rsidR="006714C5" w:rsidRPr="0082680A">
        <w:rPr>
          <w:i/>
          <w:lang w:val="en-GB"/>
        </w:rPr>
        <w:t>in vitro</w:t>
      </w:r>
      <w:r w:rsidR="006714C5" w:rsidRPr="0082680A">
        <w:rPr>
          <w:lang w:val="en-GB"/>
        </w:rPr>
        <w:t xml:space="preserve"> validation, of which 3 were chosen, alongside a control. Knockdown of </w:t>
      </w:r>
      <w:r w:rsidR="00910B97" w:rsidRPr="0082680A">
        <w:rPr>
          <w:lang w:val="en-GB"/>
        </w:rPr>
        <w:t xml:space="preserve">known ALS gene </w:t>
      </w:r>
      <w:r w:rsidR="00910B97" w:rsidRPr="0082680A">
        <w:rPr>
          <w:i/>
          <w:lang w:val="en-GB"/>
        </w:rPr>
        <w:t>TBK1</w:t>
      </w:r>
      <w:r w:rsidR="00910B97" w:rsidRPr="0082680A">
        <w:rPr>
          <w:lang w:val="en-GB"/>
        </w:rPr>
        <w:t xml:space="preserve"> produced shortened neurite length, an established neurodegenerative phenotype, but no TDP-43 specific </w:t>
      </w:r>
      <w:r w:rsidR="00910B97" w:rsidRPr="0082680A">
        <w:rPr>
          <w:lang w:val="en-GB"/>
        </w:rPr>
        <w:lastRenderedPageBreak/>
        <w:t xml:space="preserve">dysfunction. Knockdown of </w:t>
      </w:r>
      <w:r w:rsidR="00910B97" w:rsidRPr="0082680A">
        <w:rPr>
          <w:i/>
          <w:lang w:val="en-GB"/>
        </w:rPr>
        <w:t>DDX1</w:t>
      </w:r>
      <w:r w:rsidR="00910B97" w:rsidRPr="0082680A">
        <w:rPr>
          <w:lang w:val="en-GB"/>
        </w:rPr>
        <w:t xml:space="preserve"> caused marked </w:t>
      </w:r>
      <w:r w:rsidR="00EC1B71" w:rsidRPr="0082680A">
        <w:rPr>
          <w:lang w:val="en-GB"/>
        </w:rPr>
        <w:t xml:space="preserve">neuronal cell death, however this result is as of yet unconfirmed as neurodegenerative. Finally, knockdown of </w:t>
      </w:r>
      <w:r w:rsidR="00EC1B71" w:rsidRPr="0082680A">
        <w:rPr>
          <w:i/>
          <w:lang w:val="en-GB"/>
        </w:rPr>
        <w:t>YBX1</w:t>
      </w:r>
      <w:r w:rsidR="00EC1B71" w:rsidRPr="0082680A">
        <w:rPr>
          <w:lang w:val="en-GB"/>
        </w:rPr>
        <w:t xml:space="preserve"> resulted in the same aberrant presence of TDP-43 protein in the cytoplasm, as </w:t>
      </w:r>
      <w:r w:rsidR="006470C3" w:rsidRPr="0082680A">
        <w:rPr>
          <w:lang w:val="en-GB"/>
        </w:rPr>
        <w:t>happens in disease.</w:t>
      </w:r>
    </w:p>
    <w:p w14:paraId="24EDFF0A" w14:textId="252FFECD" w:rsidR="00B932E8" w:rsidRDefault="00B932E8" w:rsidP="005C4449">
      <w:pPr>
        <w:rPr>
          <w:lang w:val="en-GB"/>
        </w:rPr>
      </w:pPr>
    </w:p>
    <w:p w14:paraId="3D4ED05F" w14:textId="6244A0B7" w:rsidR="007F62E8" w:rsidRPr="0082680A" w:rsidRDefault="007F62E8" w:rsidP="00691215">
      <w:pPr>
        <w:pStyle w:val="Heading3"/>
      </w:pPr>
      <w:bookmarkStart w:id="391" w:name="_Toc3211447"/>
      <w:r>
        <w:t>Further Applications</w:t>
      </w:r>
      <w:bookmarkEnd w:id="391"/>
    </w:p>
    <w:p w14:paraId="19D1B433" w14:textId="7E6F0033" w:rsidR="00A43654" w:rsidRPr="0082680A" w:rsidRDefault="006470C3" w:rsidP="005C4449">
      <w:pPr>
        <w:rPr>
          <w:lang w:val="en-GB"/>
        </w:rPr>
      </w:pPr>
      <w:r w:rsidRPr="0082680A">
        <w:rPr>
          <w:lang w:val="en-GB"/>
        </w:rPr>
        <w:t xml:space="preserve">As our pipeline was developed </w:t>
      </w:r>
      <w:r w:rsidR="001A6528" w:rsidRPr="0082680A">
        <w:rPr>
          <w:lang w:val="en-GB"/>
        </w:rPr>
        <w:t xml:space="preserve">in tandem with </w:t>
      </w:r>
      <w:r w:rsidR="0039741B" w:rsidRPr="0082680A">
        <w:rPr>
          <w:lang w:val="en-GB"/>
        </w:rPr>
        <w:t xml:space="preserve">experimentation on TDP-43 dysfunction, we needed to establish the applicability of this pipeline to other phenotypes. </w:t>
      </w:r>
      <w:r w:rsidR="00011CAA" w:rsidRPr="0082680A">
        <w:rPr>
          <w:lang w:val="en-GB"/>
        </w:rPr>
        <w:t>Consequently,</w:t>
      </w:r>
      <w:r w:rsidR="0039741B" w:rsidRPr="0082680A">
        <w:rPr>
          <w:lang w:val="en-GB"/>
        </w:rPr>
        <w:t xml:space="preserve"> we </w:t>
      </w:r>
      <w:r w:rsidR="002A1E25" w:rsidRPr="0082680A">
        <w:rPr>
          <w:lang w:val="en-GB"/>
        </w:rPr>
        <w:t xml:space="preserve">performed two further applications of the methodology to identify signatures shared between sporadic and </w:t>
      </w:r>
      <w:r w:rsidR="002A1E25" w:rsidRPr="0082680A">
        <w:rPr>
          <w:i/>
          <w:lang w:val="en-GB"/>
        </w:rPr>
        <w:t>LRRK2</w:t>
      </w:r>
      <w:r w:rsidR="002A1E25" w:rsidRPr="0082680A">
        <w:rPr>
          <w:lang w:val="en-GB"/>
        </w:rPr>
        <w:t xml:space="preserve"> </w:t>
      </w:r>
      <w:r w:rsidR="00264AFE" w:rsidRPr="0082680A">
        <w:rPr>
          <w:lang w:val="en-GB"/>
        </w:rPr>
        <w:t>Parkinson’s</w:t>
      </w:r>
      <w:r w:rsidR="002A1E25" w:rsidRPr="0082680A">
        <w:rPr>
          <w:lang w:val="en-GB"/>
        </w:rPr>
        <w:t xml:space="preserve"> disease, and between </w:t>
      </w:r>
      <w:r w:rsidR="00264AFE" w:rsidRPr="0082680A">
        <w:rPr>
          <w:lang w:val="en-GB"/>
        </w:rPr>
        <w:t xml:space="preserve">autoimmune arthritides. The signature developed for PD </w:t>
      </w:r>
      <w:r w:rsidR="00C04509" w:rsidRPr="0082680A">
        <w:rPr>
          <w:lang w:val="en-GB"/>
        </w:rPr>
        <w:t xml:space="preserve">enriched for </w:t>
      </w:r>
      <w:r w:rsidR="00C04509" w:rsidRPr="0082680A">
        <w:rPr>
          <w:i/>
          <w:lang w:val="en-GB"/>
        </w:rPr>
        <w:t>LRRK2</w:t>
      </w:r>
      <w:r w:rsidR="00C04509" w:rsidRPr="0082680A">
        <w:rPr>
          <w:lang w:val="en-GB"/>
        </w:rPr>
        <w:t xml:space="preserve"> PPI genes, and enriched for a number of mitochondrial and UPS pathways. </w:t>
      </w:r>
      <w:r w:rsidR="00C04509" w:rsidRPr="0082680A">
        <w:rPr>
          <w:color w:val="000000" w:themeColor="text1"/>
          <w:lang w:val="en-GB"/>
        </w:rPr>
        <w:t xml:space="preserve">Prioritisation ranked already PD-associated gene </w:t>
      </w:r>
      <w:r w:rsidR="00C04509" w:rsidRPr="0082680A">
        <w:rPr>
          <w:i/>
          <w:color w:val="000000" w:themeColor="text1"/>
          <w:lang w:val="en-GB"/>
        </w:rPr>
        <w:t>UCHL1</w:t>
      </w:r>
      <w:r w:rsidR="00C04509" w:rsidRPr="0082680A">
        <w:rPr>
          <w:color w:val="000000" w:themeColor="text1"/>
          <w:lang w:val="en-GB"/>
        </w:rPr>
        <w:t xml:space="preserve"> as the highest ranked gene, </w:t>
      </w:r>
      <w:r w:rsidR="00E7099F" w:rsidRPr="0082680A">
        <w:rPr>
          <w:color w:val="000000" w:themeColor="text1"/>
          <w:lang w:val="en-GB"/>
        </w:rPr>
        <w:t xml:space="preserve">with those in the top </w:t>
      </w:r>
      <w:r w:rsidR="00FD005C" w:rsidRPr="0082680A">
        <w:rPr>
          <w:color w:val="000000" w:themeColor="text1"/>
          <w:lang w:val="en-GB"/>
        </w:rPr>
        <w:t xml:space="preserve">9 showing clear association with PD in the literature. </w:t>
      </w:r>
      <w:r w:rsidR="005D072F" w:rsidRPr="0082680A">
        <w:rPr>
          <w:color w:val="000000" w:themeColor="text1"/>
          <w:lang w:val="en-GB"/>
        </w:rPr>
        <w:t xml:space="preserve">Although an </w:t>
      </w:r>
      <w:r w:rsidR="005D072F" w:rsidRPr="0082680A">
        <w:rPr>
          <w:i/>
          <w:color w:val="000000" w:themeColor="text1"/>
          <w:lang w:val="en-GB"/>
        </w:rPr>
        <w:t>in vitro</w:t>
      </w:r>
      <w:r w:rsidR="005D072F" w:rsidRPr="0082680A">
        <w:rPr>
          <w:color w:val="000000" w:themeColor="text1"/>
          <w:lang w:val="en-GB"/>
        </w:rPr>
        <w:t xml:space="preserve"> validation of these candidates was not possible in the timeframe of this project, a further application </w:t>
      </w:r>
      <w:r w:rsidR="005824FD" w:rsidRPr="0082680A">
        <w:rPr>
          <w:color w:val="000000" w:themeColor="text1"/>
          <w:lang w:val="en-GB"/>
        </w:rPr>
        <w:t xml:space="preserve">could be conducted on another phenotype – autoimmune arthritis. </w:t>
      </w:r>
      <w:r w:rsidR="00CF2A4C" w:rsidRPr="0082680A">
        <w:rPr>
          <w:color w:val="000000" w:themeColor="text1"/>
          <w:lang w:val="en-GB"/>
        </w:rPr>
        <w:t>Using data from rheumatoid and psoriatic arthritis, a signature was created which not only enriched with GWAS genes from these conditions, but also</w:t>
      </w:r>
      <w:r w:rsidR="00D97DA2" w:rsidRPr="0082680A">
        <w:rPr>
          <w:color w:val="000000" w:themeColor="text1"/>
          <w:lang w:val="en-GB"/>
        </w:rPr>
        <w:t xml:space="preserve"> genes from</w:t>
      </w:r>
      <w:r w:rsidR="00CF2A4C" w:rsidRPr="0082680A">
        <w:rPr>
          <w:color w:val="000000" w:themeColor="text1"/>
          <w:lang w:val="en-GB"/>
        </w:rPr>
        <w:t xml:space="preserve"> three </w:t>
      </w:r>
      <w:r w:rsidR="00566675" w:rsidRPr="0082680A">
        <w:rPr>
          <w:color w:val="000000" w:themeColor="text1"/>
          <w:lang w:val="en-GB"/>
        </w:rPr>
        <w:t xml:space="preserve">other autoimmune arthritides which were not included in the analysis. </w:t>
      </w:r>
      <w:r w:rsidR="00566675" w:rsidRPr="0082680A">
        <w:rPr>
          <w:lang w:val="en-GB"/>
        </w:rPr>
        <w:t>The module also enriched highly for immune and inflammation pathways, in some cases more significantly than the original DEG list, despite being smaller in size.</w:t>
      </w:r>
      <w:r w:rsidR="00D97DA2" w:rsidRPr="0082680A">
        <w:rPr>
          <w:lang w:val="en-GB"/>
        </w:rPr>
        <w:t xml:space="preserve"> </w:t>
      </w:r>
      <w:r w:rsidR="00083B7A" w:rsidRPr="0082680A">
        <w:rPr>
          <w:lang w:val="en-GB"/>
        </w:rPr>
        <w:t xml:space="preserve">The top ranked candidates </w:t>
      </w:r>
      <w:r w:rsidR="00B74E1A" w:rsidRPr="0082680A">
        <w:rPr>
          <w:lang w:val="en-GB"/>
        </w:rPr>
        <w:t>no</w:t>
      </w:r>
      <w:r w:rsidR="000563FF" w:rsidRPr="0082680A">
        <w:rPr>
          <w:lang w:val="en-GB"/>
        </w:rPr>
        <w:t>t only have key documented roles</w:t>
      </w:r>
      <w:r w:rsidR="00B74E1A" w:rsidRPr="0082680A">
        <w:rPr>
          <w:lang w:val="en-GB"/>
        </w:rPr>
        <w:t xml:space="preserve"> in immune and inflammatory pathways, but some </w:t>
      </w:r>
      <w:r w:rsidR="000563FF" w:rsidRPr="0082680A">
        <w:rPr>
          <w:lang w:val="en-GB"/>
        </w:rPr>
        <w:t xml:space="preserve">are also associated with known drugs used to treat </w:t>
      </w:r>
      <w:r w:rsidR="00E96464" w:rsidRPr="0082680A">
        <w:rPr>
          <w:lang w:val="en-GB"/>
        </w:rPr>
        <w:t>autoimmune arthritis</w:t>
      </w:r>
      <w:r w:rsidR="00353EAA" w:rsidRPr="0082680A">
        <w:rPr>
          <w:lang w:val="en-GB"/>
        </w:rPr>
        <w:t xml:space="preserve"> conditions</w:t>
      </w:r>
      <w:r w:rsidR="00E96464" w:rsidRPr="0082680A">
        <w:rPr>
          <w:lang w:val="en-GB"/>
        </w:rPr>
        <w:t>.</w:t>
      </w:r>
      <w:r w:rsidR="003E5783" w:rsidRPr="0082680A">
        <w:rPr>
          <w:lang w:val="en-GB"/>
        </w:rPr>
        <w:t xml:space="preserve"> </w:t>
      </w:r>
      <w:r w:rsidR="00D97DA2" w:rsidRPr="0082680A">
        <w:rPr>
          <w:lang w:val="en-GB"/>
        </w:rPr>
        <w:t xml:space="preserve">Again, due to time restraints, </w:t>
      </w:r>
      <w:r w:rsidR="00D97DA2" w:rsidRPr="0082680A">
        <w:rPr>
          <w:i/>
          <w:lang w:val="en-GB"/>
        </w:rPr>
        <w:t>in vitro</w:t>
      </w:r>
      <w:r w:rsidR="00D97DA2" w:rsidRPr="0082680A">
        <w:rPr>
          <w:lang w:val="en-GB"/>
        </w:rPr>
        <w:t xml:space="preserve"> analysis </w:t>
      </w:r>
      <w:r w:rsidR="00B74E1A" w:rsidRPr="0082680A">
        <w:rPr>
          <w:lang w:val="en-GB"/>
        </w:rPr>
        <w:t>was not possible, however there</w:t>
      </w:r>
      <w:r w:rsidR="00E96464" w:rsidRPr="0082680A">
        <w:rPr>
          <w:lang w:val="en-GB"/>
        </w:rPr>
        <w:t xml:space="preserve"> are a number of </w:t>
      </w:r>
      <w:r w:rsidR="00573DD5" w:rsidRPr="0082680A">
        <w:rPr>
          <w:lang w:val="en-GB"/>
        </w:rPr>
        <w:t>very promising candidates.</w:t>
      </w:r>
    </w:p>
    <w:p w14:paraId="0367A95F" w14:textId="062153CC" w:rsidR="00011CAA" w:rsidRDefault="00011CAA" w:rsidP="005C4449">
      <w:pPr>
        <w:rPr>
          <w:lang w:val="en-GB"/>
        </w:rPr>
      </w:pPr>
    </w:p>
    <w:p w14:paraId="47987534" w14:textId="76EE02FE" w:rsidR="007F62E8" w:rsidRPr="0082680A" w:rsidRDefault="007F62E8" w:rsidP="00691215">
      <w:pPr>
        <w:pStyle w:val="Heading3"/>
        <w:rPr>
          <w:lang w:val="en-GB"/>
        </w:rPr>
      </w:pPr>
      <w:bookmarkStart w:id="392" w:name="_Toc3211448"/>
      <w:r>
        <w:rPr>
          <w:lang w:val="en-GB"/>
        </w:rPr>
        <w:t>Pipeline Strengths</w:t>
      </w:r>
      <w:bookmarkEnd w:id="392"/>
    </w:p>
    <w:p w14:paraId="4C9C26A5" w14:textId="329FFE65" w:rsidR="00360662" w:rsidRPr="0082680A" w:rsidRDefault="00CA1703" w:rsidP="005C4449">
      <w:pPr>
        <w:rPr>
          <w:lang w:val="en-GB"/>
        </w:rPr>
      </w:pPr>
      <w:r>
        <w:rPr>
          <w:lang w:val="en-GB"/>
        </w:rPr>
        <w:t xml:space="preserve">In the Introduction we identified a number of areas which we believed were contributing to the lack of reliable signatures. </w:t>
      </w:r>
      <w:r w:rsidR="00311886">
        <w:rPr>
          <w:lang w:val="en-GB"/>
        </w:rPr>
        <w:t xml:space="preserve">We identified issues with bias, the influence of poor controls and signature inconsistency, and conducted a brief review of nine studies whose attempts at signature generation revealed the inadequacies of current methodologies. </w:t>
      </w:r>
      <w:r w:rsidR="00612F98" w:rsidRPr="0082680A">
        <w:rPr>
          <w:lang w:val="en-GB"/>
        </w:rPr>
        <w:t>We believe t</w:t>
      </w:r>
      <w:r w:rsidR="00011CAA" w:rsidRPr="0082680A">
        <w:rPr>
          <w:lang w:val="en-GB"/>
        </w:rPr>
        <w:t xml:space="preserve">he pipeline we have developed </w:t>
      </w:r>
      <w:r w:rsidR="00DA3CAB" w:rsidRPr="0082680A">
        <w:rPr>
          <w:lang w:val="en-GB"/>
        </w:rPr>
        <w:t xml:space="preserve">successfully meets each of </w:t>
      </w:r>
      <w:r w:rsidR="00311886">
        <w:rPr>
          <w:lang w:val="en-GB"/>
        </w:rPr>
        <w:t>these criteria</w:t>
      </w:r>
      <w:r w:rsidR="00DA3CAB" w:rsidRPr="0082680A">
        <w:rPr>
          <w:lang w:val="en-GB"/>
        </w:rPr>
        <w:t xml:space="preserve">. </w:t>
      </w:r>
      <w:r w:rsidR="001C6FA1" w:rsidRPr="0082680A">
        <w:rPr>
          <w:lang w:val="en-GB"/>
        </w:rPr>
        <w:t xml:space="preserve">It can produce meaningful results from particularly small datasets, with the sole caveat that the datasets must </w:t>
      </w:r>
      <w:r w:rsidR="00612F98" w:rsidRPr="0082680A">
        <w:rPr>
          <w:lang w:val="en-GB"/>
        </w:rPr>
        <w:t xml:space="preserve">contain enough </w:t>
      </w:r>
      <w:r w:rsidR="00351AFB" w:rsidRPr="0082680A">
        <w:rPr>
          <w:lang w:val="en-GB"/>
        </w:rPr>
        <w:t xml:space="preserve">samples for calculating correlation. From our observations, this is possible with at least 4 samples, but understandably the results from such underpowered data are less reliable. Subsequently, it is important to assess the quality of </w:t>
      </w:r>
      <w:r w:rsidR="00351AFB" w:rsidRPr="0082680A">
        <w:rPr>
          <w:lang w:val="en-GB"/>
        </w:rPr>
        <w:lastRenderedPageBreak/>
        <w:t xml:space="preserve">correlation analysis results, </w:t>
      </w:r>
      <w:r w:rsidR="00A37696" w:rsidRPr="0082680A">
        <w:rPr>
          <w:lang w:val="en-GB"/>
        </w:rPr>
        <w:t xml:space="preserve">and also assure there are enough larger datasets to corroborate </w:t>
      </w:r>
      <w:r w:rsidR="00181404" w:rsidRPr="0082680A">
        <w:rPr>
          <w:lang w:val="en-GB"/>
        </w:rPr>
        <w:t>the results.</w:t>
      </w:r>
      <w:r w:rsidR="002B5511" w:rsidRPr="0082680A">
        <w:rPr>
          <w:lang w:val="en-GB"/>
        </w:rPr>
        <w:t xml:space="preserve"> The pipeline is also capable of </w:t>
      </w:r>
      <w:r w:rsidR="00D36892" w:rsidRPr="0082680A">
        <w:rPr>
          <w:lang w:val="en-GB"/>
        </w:rPr>
        <w:t xml:space="preserve">incorporating datasets from not only different platforms within a technology, but across both microarray and RNA-seq. As expected, there were </w:t>
      </w:r>
      <w:r w:rsidR="00C121C5" w:rsidRPr="0082680A">
        <w:rPr>
          <w:lang w:val="en-GB"/>
        </w:rPr>
        <w:t xml:space="preserve">issues with variable annotation causing a potential loss of true positive signal, however </w:t>
      </w:r>
      <w:r w:rsidR="00433A35" w:rsidRPr="0082680A">
        <w:rPr>
          <w:lang w:val="en-GB"/>
        </w:rPr>
        <w:t xml:space="preserve">the processes of expanding a simple DEG list </w:t>
      </w:r>
      <w:r w:rsidR="0046259A" w:rsidRPr="0082680A">
        <w:rPr>
          <w:lang w:val="en-GB"/>
        </w:rPr>
        <w:t xml:space="preserve">into network </w:t>
      </w:r>
      <w:r w:rsidR="00433A35" w:rsidRPr="0082680A">
        <w:rPr>
          <w:lang w:val="en-GB"/>
        </w:rPr>
        <w:t>analysis allowed recuperation of some of that signal.</w:t>
      </w:r>
      <w:r w:rsidR="0004743B" w:rsidRPr="0082680A">
        <w:rPr>
          <w:lang w:val="en-GB"/>
        </w:rPr>
        <w:t xml:space="preserve"> </w:t>
      </w:r>
    </w:p>
    <w:p w14:paraId="10381E14" w14:textId="77777777" w:rsidR="007F62E8" w:rsidRDefault="007F62E8" w:rsidP="005C4449">
      <w:pPr>
        <w:rPr>
          <w:lang w:val="en-GB"/>
        </w:rPr>
      </w:pPr>
    </w:p>
    <w:p w14:paraId="399231B6" w14:textId="76EF6713" w:rsidR="00A1048C" w:rsidRDefault="00F272CA" w:rsidP="005C4449">
      <w:pPr>
        <w:rPr>
          <w:lang w:val="en-GB"/>
        </w:rPr>
      </w:pPr>
      <w:r w:rsidRPr="0082680A">
        <w:rPr>
          <w:lang w:val="en-GB"/>
        </w:rPr>
        <w:t>As well as</w:t>
      </w:r>
      <w:r w:rsidR="006D4AB3" w:rsidRPr="0082680A">
        <w:rPr>
          <w:lang w:val="en-GB"/>
        </w:rPr>
        <w:t xml:space="preserve"> multiple platforms, we were also able to incorporate a number of data types. Multi-omic analyses are </w:t>
      </w:r>
      <w:r w:rsidR="00B30E4A" w:rsidRPr="0082680A">
        <w:rPr>
          <w:lang w:val="en-GB"/>
        </w:rPr>
        <w:t xml:space="preserve">now being pushed further to the forefront of bioinformatics, with the understanding that </w:t>
      </w:r>
      <w:r w:rsidR="00836DE5" w:rsidRPr="0082680A">
        <w:rPr>
          <w:lang w:val="en-GB"/>
        </w:rPr>
        <w:t>evidence which resonates across many data types has a higher reliability than evidence from a single source</w:t>
      </w:r>
      <w:r w:rsidR="00B30E4A" w:rsidRPr="0082680A">
        <w:rPr>
          <w:lang w:val="en-GB"/>
        </w:rPr>
        <w:t>.</w:t>
      </w:r>
      <w:r w:rsidR="00836DE5" w:rsidRPr="0082680A">
        <w:rPr>
          <w:lang w:val="en-GB"/>
        </w:rPr>
        <w:t xml:space="preserve"> We must, however, be wary of each of those </w:t>
      </w:r>
      <w:r w:rsidR="004B1394" w:rsidRPr="0082680A">
        <w:rPr>
          <w:lang w:val="en-GB"/>
        </w:rPr>
        <w:t>data sources. Transcriptomic data is highly variable, and subject to issues of replication</w:t>
      </w:r>
      <w:r w:rsidR="00C77EC8">
        <w:rPr>
          <w:lang w:val="en-GB"/>
        </w:rPr>
        <w:t xml:space="preserve"> </w:t>
      </w:r>
      <w:r w:rsidR="000507BA">
        <w:rPr>
          <w:lang w:val="en-GB"/>
        </w:rPr>
        <w:fldChar w:fldCharType="begin" w:fldLock="1"/>
      </w:r>
      <w:r w:rsidR="000507BA">
        <w:rPr>
          <w:lang w:val="en-GB"/>
        </w:rPr>
        <w:instrText>ADDIN CSL_CITATION {"citationItems":[{"id":"ITEM-1","itemData":{"DOI":"10.1038/ng983","ISSN":"1061-4036","author":[{"dropping-particle":"","family":"Oleksiak","given":"Marjorie F.","non-dropping-particle":"","parse-names":false,"suffix":""},{"dropping-particle":"","family":"Churchill","given":"Gary A.","non-dropping-particle":"","parse-names":false,"suffix":""},{"dropping-particle":"","family":"Crawford","given":"Douglas L.","non-dropping-particle":"","parse-names":false,"suffix":""}],"container-title":"Nature Genetics","id":"ITEM-1","issue":"2","issued":{"date-parts":[["2002","10","3"]]},"page":"261-266","title":"Variation in gene expression within and among natural populations","type":"article-journal","volume":"32"},"uris":["http://www.mendeley.com/documents/?uuid=17e3f067-7daa-3883-abb5-aa1fa906a65d"]}],"mendeley":{"formattedCitation":"&lt;sup&gt;157&lt;/sup&gt;","plainTextFormattedCitation":"157","previouslyFormattedCitation":"&lt;sup&gt;157&lt;/sup&gt;"},"properties":{"noteIndex":0},"schema":"https://github.com/citation-style-language/schema/raw/master/csl-citation.json"}</w:instrText>
      </w:r>
      <w:r w:rsidR="000507BA">
        <w:rPr>
          <w:lang w:val="en-GB"/>
        </w:rPr>
        <w:fldChar w:fldCharType="separate"/>
      </w:r>
      <w:r w:rsidR="000507BA" w:rsidRPr="000507BA">
        <w:rPr>
          <w:noProof/>
          <w:vertAlign w:val="superscript"/>
          <w:lang w:val="en-GB"/>
        </w:rPr>
        <w:t>157</w:t>
      </w:r>
      <w:r w:rsidR="000507BA">
        <w:rPr>
          <w:lang w:val="en-GB"/>
        </w:rPr>
        <w:fldChar w:fldCharType="end"/>
      </w:r>
      <w:r w:rsidR="004B1394" w:rsidRPr="0082680A">
        <w:rPr>
          <w:lang w:val="en-GB"/>
        </w:rPr>
        <w:t xml:space="preserve">. Proteomic data </w:t>
      </w:r>
      <w:r w:rsidR="005B4DC8" w:rsidRPr="0082680A">
        <w:rPr>
          <w:lang w:val="en-GB"/>
        </w:rPr>
        <w:t>is particularly</w:t>
      </w:r>
      <w:r w:rsidR="004B1394" w:rsidRPr="0082680A">
        <w:rPr>
          <w:lang w:val="en-GB"/>
        </w:rPr>
        <w:t xml:space="preserve"> </w:t>
      </w:r>
      <w:r w:rsidR="005B4DC8" w:rsidRPr="0082680A">
        <w:rPr>
          <w:lang w:val="en-GB"/>
        </w:rPr>
        <w:t xml:space="preserve">vulnerable to false records of protein interaction events </w:t>
      </w:r>
      <w:r w:rsidR="004B1394" w:rsidRPr="0082680A">
        <w:rPr>
          <w:lang w:val="en-GB"/>
        </w:rPr>
        <w:t xml:space="preserve">(whether by </w:t>
      </w:r>
      <w:r w:rsidR="005B4DC8" w:rsidRPr="0082680A">
        <w:rPr>
          <w:lang w:val="en-GB"/>
        </w:rPr>
        <w:t xml:space="preserve">non-specific binding in </w:t>
      </w:r>
      <w:r w:rsidR="004B1394" w:rsidRPr="0082680A">
        <w:rPr>
          <w:lang w:val="en-GB"/>
        </w:rPr>
        <w:t>experiment</w:t>
      </w:r>
      <w:r w:rsidR="005B4DC8" w:rsidRPr="0082680A">
        <w:rPr>
          <w:lang w:val="en-GB"/>
        </w:rPr>
        <w:t>s</w:t>
      </w:r>
      <w:r w:rsidR="004B1394" w:rsidRPr="0082680A">
        <w:rPr>
          <w:lang w:val="en-GB"/>
        </w:rPr>
        <w:t xml:space="preserve"> or by </w:t>
      </w:r>
      <w:r w:rsidR="005E72C3" w:rsidRPr="0082680A">
        <w:rPr>
          <w:lang w:val="en-GB"/>
        </w:rPr>
        <w:t xml:space="preserve">insufficiently controlled </w:t>
      </w:r>
      <w:r w:rsidR="004B1394" w:rsidRPr="0082680A">
        <w:rPr>
          <w:lang w:val="en-GB"/>
        </w:rPr>
        <w:t>computational prediction</w:t>
      </w:r>
      <w:r w:rsidR="005E72C3" w:rsidRPr="0082680A">
        <w:rPr>
          <w:lang w:val="en-GB"/>
        </w:rPr>
        <w:t>s</w:t>
      </w:r>
      <w:r w:rsidR="00E8432E" w:rsidRPr="0082680A">
        <w:rPr>
          <w:lang w:val="en-GB"/>
        </w:rPr>
        <w:t>) and</w:t>
      </w:r>
      <w:r w:rsidR="00E3334D" w:rsidRPr="0082680A">
        <w:rPr>
          <w:lang w:val="en-GB"/>
        </w:rPr>
        <w:t xml:space="preserve"> is generally less well studied than other ‘omic areas</w:t>
      </w:r>
      <w:r w:rsidR="000507BA">
        <w:rPr>
          <w:lang w:val="en-GB"/>
        </w:rPr>
        <w:t xml:space="preserve"> </w:t>
      </w:r>
      <w:r w:rsidR="000507BA">
        <w:rPr>
          <w:lang w:val="en-GB"/>
        </w:rPr>
        <w:fldChar w:fldCharType="begin" w:fldLock="1"/>
      </w:r>
      <w:r w:rsidR="000507BA">
        <w:rPr>
          <w:lang w:val="en-GB"/>
        </w:rPr>
        <w:instrText>ADDIN CSL_CITATION {"citationItems":[{"id":"ITEM-1","itemData":{"DOI":"10.1074/mcp.R600012-MCP200","ISSN":"1535-9476","PMID":"16896060","abstract":"Accurate, consistent, and transparent data processing and analysis are integral and critical parts of proteomics workflows in general and for biomarker discovery in particular. Definition of common standards for data representation and analysis and the creation of data repositories are essential to compare, exchange, and share data within the community. Current issues in data processing, analysis, and validation are discussed together with opportunities for improving the process in the future and for defining alternative workflows.","author":[{"dropping-particle":"","family":"Domon","given":"Bruno","non-dropping-particle":"","parse-names":false,"suffix":""},{"dropping-particle":"","family":"Aebersold","given":"Ruedi","non-dropping-particle":"","parse-names":false,"suffix":""}],"container-title":"Molecular &amp; cellular proteomics : MCP","id":"ITEM-1","issue":"10","issued":{"date-parts":[["2006","10","1"]]},"page":"1921-6","publisher":"American Society for Biochemistry and Molecular Biology","title":"Challenges and opportunities in proteomics data analysis.","type":"article-journal","volume":"5"},"uris":["http://www.mendeley.com/documents/?uuid=1780997d-4ce6-386c-afef-726bc6558669"]}],"mendeley":{"formattedCitation":"&lt;sup&gt;459&lt;/sup&gt;","plainTextFormattedCitation":"459","previouslyFormattedCitation":"&lt;sup&gt;459&lt;/sup&gt;"},"properties":{"noteIndex":0},"schema":"https://github.com/citation-style-language/schema/raw/master/csl-citation.json"}</w:instrText>
      </w:r>
      <w:r w:rsidR="000507BA">
        <w:rPr>
          <w:lang w:val="en-GB"/>
        </w:rPr>
        <w:fldChar w:fldCharType="separate"/>
      </w:r>
      <w:r w:rsidR="000507BA" w:rsidRPr="000507BA">
        <w:rPr>
          <w:noProof/>
          <w:vertAlign w:val="superscript"/>
          <w:lang w:val="en-GB"/>
        </w:rPr>
        <w:t>459</w:t>
      </w:r>
      <w:r w:rsidR="000507BA">
        <w:rPr>
          <w:lang w:val="en-GB"/>
        </w:rPr>
        <w:fldChar w:fldCharType="end"/>
      </w:r>
      <w:r w:rsidR="004B1394" w:rsidRPr="0082680A">
        <w:rPr>
          <w:lang w:val="en-GB"/>
        </w:rPr>
        <w:t xml:space="preserve">. </w:t>
      </w:r>
      <w:r w:rsidR="005E72C3" w:rsidRPr="0082680A">
        <w:rPr>
          <w:lang w:val="en-GB"/>
        </w:rPr>
        <w:t xml:space="preserve">Genomic data is highly complicated in </w:t>
      </w:r>
      <w:r w:rsidR="00E3334D" w:rsidRPr="0082680A">
        <w:rPr>
          <w:lang w:val="en-GB"/>
        </w:rPr>
        <w:t xml:space="preserve">each of </w:t>
      </w:r>
      <w:r w:rsidR="005E72C3" w:rsidRPr="0082680A">
        <w:rPr>
          <w:lang w:val="en-GB"/>
        </w:rPr>
        <w:t>acquisition, processing, and interpretation</w:t>
      </w:r>
      <w:r w:rsidR="000507BA">
        <w:rPr>
          <w:lang w:val="en-GB"/>
        </w:rPr>
        <w:t xml:space="preserve"> </w:t>
      </w:r>
      <w:r w:rsidR="000507BA">
        <w:rPr>
          <w:lang w:val="en-GB"/>
        </w:rPr>
        <w:fldChar w:fldCharType="begin" w:fldLock="1"/>
      </w:r>
      <w:r w:rsidR="000507BA">
        <w:rPr>
          <w:lang w:val="en-GB"/>
        </w:rPr>
        <w:instrText>ADDIN CSL_CITATION {"citationItems":[{"id":"ITEM-1","itemData":{"DOI":"10.3390/jpm5040470","ISSN":"2075-4426","PMID":"26690481","abstract":"Despite dramatic drops in DNA sequencing costs, concerns are great that the integration of genomic sequencing into clinical settings will drastically increase health care expenditures. This commentary presents an overview of what is known about the costs and cost-effectiveness of genomic sequencing. We discuss the cost of germline genomic sequencing, addressing factors that have facilitated the decrease in sequencing costs to date and anticipating the factors that will drive sequencing costs in the future. We then address the cost-effectiveness of diagnostic and pharmacogenomic applications of genomic sequencing, with an emphasis on the implications for secondary findings disclosure and the integration of genomic sequencing into general patient care. Throughout, we ground the discussion by describing efforts in the MedSeq Project, an ongoing randomized controlled clinical trial, to understand the costs and cost-effectiveness of integrating whole genome sequencing into cardiology and primary care settings.","author":[{"dropping-particle":"","family":"Christensen","given":"Kurt D","non-dropping-particle":"","parse-names":false,"suffix":""},{"dropping-particle":"","family":"Dukhovny","given":"Dmitry","non-dropping-particle":"","parse-names":false,"suffix":""},{"dropping-particle":"","family":"Siebert","given":"Uwe","non-dropping-particle":"","parse-names":false,"suffix":""},{"dropping-particle":"","family":"Green","given":"Robert C","non-dropping-particle":"","parse-names":false,"suffix":""}],"container-title":"Journal of personalized medicine","id":"ITEM-1","issue":"4","issued":{"date-parts":[["2015","12","10"]]},"page":"470-86","publisher":"Multidisciplinary Digital Publishing Institute  (MDPI)","title":"Assessing the Costs and Cost-Effectiveness of Genomic Sequencing.","type":"article-journal","volume":"5"},"uris":["http://www.mendeley.com/documents/?uuid=01fae8a8-2ae6-3eec-a811-74d4ad154b66"]}],"mendeley":{"formattedCitation":"&lt;sup&gt;460&lt;/sup&gt;","plainTextFormattedCitation":"460"},"properties":{"noteIndex":0},"schema":"https://github.com/citation-style-language/schema/raw/master/csl-citation.json"}</w:instrText>
      </w:r>
      <w:r w:rsidR="000507BA">
        <w:rPr>
          <w:lang w:val="en-GB"/>
        </w:rPr>
        <w:fldChar w:fldCharType="separate"/>
      </w:r>
      <w:r w:rsidR="000507BA" w:rsidRPr="000507BA">
        <w:rPr>
          <w:noProof/>
          <w:vertAlign w:val="superscript"/>
          <w:lang w:val="en-GB"/>
        </w:rPr>
        <w:t>460</w:t>
      </w:r>
      <w:r w:rsidR="000507BA">
        <w:rPr>
          <w:lang w:val="en-GB"/>
        </w:rPr>
        <w:fldChar w:fldCharType="end"/>
      </w:r>
      <w:r w:rsidR="005E72C3" w:rsidRPr="0082680A">
        <w:rPr>
          <w:lang w:val="en-GB"/>
        </w:rPr>
        <w:t xml:space="preserve">. </w:t>
      </w:r>
      <w:r w:rsidR="00681D17" w:rsidRPr="0082680A">
        <w:rPr>
          <w:lang w:val="en-GB"/>
        </w:rPr>
        <w:t xml:space="preserve">For the vast majority of medical </w:t>
      </w:r>
      <w:r w:rsidR="00E8432E" w:rsidRPr="0082680A">
        <w:rPr>
          <w:lang w:val="en-GB"/>
        </w:rPr>
        <w:t>conditions,</w:t>
      </w:r>
      <w:r w:rsidR="00143ECA" w:rsidRPr="0082680A">
        <w:rPr>
          <w:lang w:val="en-GB"/>
        </w:rPr>
        <w:t xml:space="preserve"> </w:t>
      </w:r>
      <w:r w:rsidR="00681D17" w:rsidRPr="0082680A">
        <w:rPr>
          <w:lang w:val="en-GB"/>
        </w:rPr>
        <w:t xml:space="preserve">we are still </w:t>
      </w:r>
      <w:r w:rsidR="00587936" w:rsidRPr="0082680A">
        <w:rPr>
          <w:lang w:val="en-GB"/>
        </w:rPr>
        <w:t>quite ignorant of both the individual and collaborative contributions genetic variants make</w:t>
      </w:r>
      <w:r w:rsidR="001645C6" w:rsidRPr="0082680A">
        <w:rPr>
          <w:lang w:val="en-GB"/>
        </w:rPr>
        <w:t xml:space="preserve">. Furthermore, each </w:t>
      </w:r>
      <w:r w:rsidR="000522F6" w:rsidRPr="0082680A">
        <w:rPr>
          <w:lang w:val="en-GB"/>
        </w:rPr>
        <w:t>of these contributions possesses a heterogeneric profile depending on the individual</w:t>
      </w:r>
      <w:r w:rsidR="00587936" w:rsidRPr="0082680A">
        <w:rPr>
          <w:lang w:val="en-GB"/>
        </w:rPr>
        <w:t>.</w:t>
      </w:r>
      <w:r w:rsidR="00143ECA" w:rsidRPr="0082680A">
        <w:rPr>
          <w:lang w:val="en-GB"/>
        </w:rPr>
        <w:t xml:space="preserve"> </w:t>
      </w:r>
      <w:r w:rsidR="004D444F" w:rsidRPr="0082680A">
        <w:rPr>
          <w:lang w:val="en-GB"/>
        </w:rPr>
        <w:t xml:space="preserve">Consequently, the </w:t>
      </w:r>
      <w:r w:rsidR="00E77B3C" w:rsidRPr="0082680A">
        <w:rPr>
          <w:lang w:val="en-GB"/>
        </w:rPr>
        <w:t>role of multi-omic analysis is integral to the provision of reliable scientific discovery.</w:t>
      </w:r>
    </w:p>
    <w:p w14:paraId="57B9F76B" w14:textId="77777777" w:rsidR="00311886" w:rsidRPr="0082680A" w:rsidRDefault="00311886" w:rsidP="005C4449">
      <w:pPr>
        <w:rPr>
          <w:lang w:val="en-GB"/>
        </w:rPr>
      </w:pPr>
    </w:p>
    <w:p w14:paraId="58439C38" w14:textId="1455B5C4" w:rsidR="00064504" w:rsidRDefault="00311886" w:rsidP="005C4449">
      <w:pPr>
        <w:rPr>
          <w:lang w:val="en-GB"/>
        </w:rPr>
      </w:pPr>
      <w:r>
        <w:rPr>
          <w:lang w:val="en-GB"/>
        </w:rPr>
        <w:t>We</w:t>
      </w:r>
      <w:r w:rsidR="00A1048C" w:rsidRPr="0082680A">
        <w:rPr>
          <w:lang w:val="en-GB"/>
        </w:rPr>
        <w:t xml:space="preserve"> can also make </w:t>
      </w:r>
      <w:r w:rsidR="000D7724" w:rsidRPr="0082680A">
        <w:rPr>
          <w:lang w:val="en-GB"/>
        </w:rPr>
        <w:t>sure that our discoverie</w:t>
      </w:r>
      <w:r w:rsidR="00E456BD" w:rsidRPr="0082680A">
        <w:rPr>
          <w:lang w:val="en-GB"/>
        </w:rPr>
        <w:t>s are supported by a scaffold</w:t>
      </w:r>
      <w:r w:rsidR="000D7724" w:rsidRPr="0082680A">
        <w:rPr>
          <w:lang w:val="en-GB"/>
        </w:rPr>
        <w:t xml:space="preserve"> of</w:t>
      </w:r>
      <w:r w:rsidR="00F14D0A" w:rsidRPr="0082680A">
        <w:rPr>
          <w:lang w:val="en-GB"/>
        </w:rPr>
        <w:t xml:space="preserve"> robust statistical </w:t>
      </w:r>
      <w:r w:rsidR="00F272CA" w:rsidRPr="0082680A">
        <w:rPr>
          <w:lang w:val="en-GB"/>
        </w:rPr>
        <w:t>testing</w:t>
      </w:r>
      <w:r w:rsidR="00F56CAC" w:rsidRPr="0082680A">
        <w:rPr>
          <w:lang w:val="en-GB"/>
        </w:rPr>
        <w:t>. When</w:t>
      </w:r>
      <w:r w:rsidR="00EF4FEB" w:rsidRPr="0082680A">
        <w:rPr>
          <w:lang w:val="en-GB"/>
        </w:rPr>
        <w:t xml:space="preserve"> </w:t>
      </w:r>
      <w:proofErr w:type="spellStart"/>
      <w:r w:rsidR="00AC0BF3" w:rsidRPr="0082680A">
        <w:rPr>
          <w:lang w:val="en-GB"/>
        </w:rPr>
        <w:t>Venet</w:t>
      </w:r>
      <w:proofErr w:type="spellEnd"/>
      <w:r w:rsidR="00AC0BF3" w:rsidRPr="0082680A">
        <w:rPr>
          <w:lang w:val="en-GB"/>
        </w:rPr>
        <w:t xml:space="preserve"> and colleagues identified </w:t>
      </w:r>
      <w:r w:rsidR="009D0FDA" w:rsidRPr="0082680A">
        <w:rPr>
          <w:lang w:val="en-GB"/>
        </w:rPr>
        <w:t>that even a statistically significant cancer signature is not necessarily a reliable result, it made clear that single statistical tests are an insufficient measure of success</w:t>
      </w:r>
      <w:r w:rsidR="00DD05BA" w:rsidRPr="0082680A">
        <w:rPr>
          <w:lang w:val="en-GB"/>
        </w:rPr>
        <w:t xml:space="preserve"> </w:t>
      </w:r>
      <w:r w:rsidR="00DD05BA" w:rsidRPr="0082680A">
        <w:rPr>
          <w:lang w:val="en-GB"/>
        </w:rPr>
        <w:fldChar w:fldCharType="begin" w:fldLock="1"/>
      </w:r>
      <w:r w:rsidR="0050527E">
        <w:rPr>
          <w:lang w:val="en-GB"/>
        </w:rPr>
        <w:instrText>ADDIN CSL_CITATION {"citationItems":[{"id":"ITEM-1","itemData":{"DOI":"10.1371/journal.pcbi.1002240","ISSN":"1553-7358","abstract":"Bridging the gap between animal or in vitro models and human disease is essential in medical research. Researchers often suggest that a biological mechanism is relevant to human cancer from the statistical association of a gene expression marker (a signature) of this mechanism, that was discovered in an experimental system, with disease outcome in humans. We examined this argument for breast cancer. Surprisingly, we found that gene expression signatures—unrelated to cancer—of the effect of postprandial laughter, of mice social defeat and of skin fibroblast localization were all significantly associated with breast cancer outcome. We next compared 47 published breast cancer outcome signatures to signatures made of random genes. Twenty-eight of them (60%) were not significantly better outcome predictors than random signatures of identical size and 11 (23%) were worst predictors than the median random signature. More than 90% of random signatures &gt;100 genes were significant outcome predictors. We next derived a metagene, called meta-PCNA, by selecting the 1% genes most positively correlated with proliferation marker PCNA in a compendium of normal tissues expression. Adjusting breast cancer expression data for meta-PCNA abrogated almost entirely the outcome association of published and random signatures. We also found that, in the absence of adjustment, the hazard ratio of outcome association of a signature strongly correlated with meta-PCNA (R2 = 0.9). This relation also applied to single-gene expression markers. Moreover, &gt;50% of the breast cancer transcriptome was correlated with meta-PCNA. A corollary was that purging cell cycle genes out of a signature failed to rule out the confounding effect of proliferation. Hence, it is questionable to suggest that a mechanism is relevant to human breast cancer from the finding that a gene expression marker for this mechanism predicts human breast cancer outcome, because most markers do. The methods we present help to overcome this problem.","author":[{"dropping-particle":"","family":"Venet","given":"David","non-dropping-particle":"","parse-names":false,"suffix":""},{"dropping-particle":"","family":"Dumont","given":"Jacques E.","non-dropping-particle":"","parse-names":false,"suffix":""},{"dropping-particle":"","family":"Detours","given":"Vincent","non-dropping-particle":"","parse-names":false,"suffix":""}],"container-title":"PLoS Computational Biology","editor":[{"dropping-particle":"","family":"Rigoutsos","given":"Isidore","non-dropping-particle":"","parse-names":false,"suffix":""}],"id":"ITEM-1","issue":"10","issued":{"date-parts":[["2011","10","20"]]},"page":"e1002240","publisher":"Public Library of Science","title":"Most Random Gene Expression Signatures Are Significantly Associated with Breast Cancer Outcome","type":"article-journal","volume":"7"},"uris":["http://www.mendeley.com/documents/?uuid=fa4bf3d1-5c5d-33f3-a6dc-dc58d6e30193"]}],"mendeley":{"formattedCitation":"&lt;sup&gt;54&lt;/sup&gt;","plainTextFormattedCitation":"54","previouslyFormattedCitation":"&lt;sup&gt;54&lt;/sup&gt;"},"properties":{"noteIndex":0},"schema":"https://github.com/citation-style-language/schema/raw/master/csl-citation.json"}</w:instrText>
      </w:r>
      <w:r w:rsidR="00DD05BA" w:rsidRPr="0082680A">
        <w:rPr>
          <w:lang w:val="en-GB"/>
        </w:rPr>
        <w:fldChar w:fldCharType="separate"/>
      </w:r>
      <w:r w:rsidR="00442425" w:rsidRPr="00442425">
        <w:rPr>
          <w:noProof/>
          <w:vertAlign w:val="superscript"/>
          <w:lang w:val="en-GB"/>
        </w:rPr>
        <w:t>54</w:t>
      </w:r>
      <w:r w:rsidR="00DD05BA" w:rsidRPr="0082680A">
        <w:rPr>
          <w:lang w:val="en-GB"/>
        </w:rPr>
        <w:fldChar w:fldCharType="end"/>
      </w:r>
      <w:r w:rsidR="009D0FDA" w:rsidRPr="0082680A">
        <w:rPr>
          <w:lang w:val="en-GB"/>
        </w:rPr>
        <w:t xml:space="preserve">. We </w:t>
      </w:r>
      <w:r w:rsidR="006536E6" w:rsidRPr="0082680A">
        <w:rPr>
          <w:lang w:val="en-GB"/>
        </w:rPr>
        <w:t>supported</w:t>
      </w:r>
      <w:r w:rsidR="00F56CAC" w:rsidRPr="0082680A">
        <w:rPr>
          <w:lang w:val="en-GB"/>
        </w:rPr>
        <w:t xml:space="preserve"> this conclusion, and so ensured that a number of</w:t>
      </w:r>
      <w:r w:rsidR="009D0FDA" w:rsidRPr="0082680A">
        <w:rPr>
          <w:lang w:val="en-GB"/>
        </w:rPr>
        <w:t xml:space="preserve"> statistical tests </w:t>
      </w:r>
      <w:r w:rsidR="00F56CAC" w:rsidRPr="0082680A">
        <w:rPr>
          <w:lang w:val="en-GB"/>
        </w:rPr>
        <w:t>were</w:t>
      </w:r>
      <w:r w:rsidR="009D0FDA" w:rsidRPr="0082680A">
        <w:rPr>
          <w:lang w:val="en-GB"/>
        </w:rPr>
        <w:t xml:space="preserve"> made at each level of analysis</w:t>
      </w:r>
      <w:r w:rsidR="00F56CAC" w:rsidRPr="0082680A">
        <w:rPr>
          <w:lang w:val="en-GB"/>
        </w:rPr>
        <w:t xml:space="preserve">. </w:t>
      </w:r>
      <w:r w:rsidR="00761878" w:rsidRPr="0082680A">
        <w:rPr>
          <w:lang w:val="en-GB"/>
        </w:rPr>
        <w:t xml:space="preserve">We established that our DEG sets were significantly larger than expected by chance, that each gene or protein list enriched for gene lists and pathways associated with the phenotype, and that our prioritisation approach was successfully </w:t>
      </w:r>
      <w:r w:rsidR="00DD05BA" w:rsidRPr="0082680A">
        <w:rPr>
          <w:lang w:val="en-GB"/>
        </w:rPr>
        <w:t>assigning</w:t>
      </w:r>
      <w:r w:rsidR="00761878" w:rsidRPr="0082680A">
        <w:rPr>
          <w:lang w:val="en-GB"/>
        </w:rPr>
        <w:t xml:space="preserve"> high scores</w:t>
      </w:r>
      <w:r w:rsidR="00DD05BA" w:rsidRPr="0082680A">
        <w:rPr>
          <w:lang w:val="en-GB"/>
        </w:rPr>
        <w:t xml:space="preserve"> to</w:t>
      </w:r>
      <w:r w:rsidR="00761878" w:rsidRPr="0082680A">
        <w:rPr>
          <w:lang w:val="en-GB"/>
        </w:rPr>
        <w:t xml:space="preserve"> genes we would expect to rank highly.</w:t>
      </w:r>
      <w:r w:rsidR="00DD05BA" w:rsidRPr="0082680A">
        <w:rPr>
          <w:lang w:val="en-GB"/>
        </w:rPr>
        <w:t xml:space="preserve"> As well as statistical support, for our first application in TDP-43 dysfunction we were also able to provide </w:t>
      </w:r>
      <w:r w:rsidR="00DD05BA" w:rsidRPr="0082680A">
        <w:rPr>
          <w:i/>
          <w:lang w:val="en-GB"/>
        </w:rPr>
        <w:t>in vitro</w:t>
      </w:r>
      <w:r w:rsidR="00DD05BA" w:rsidRPr="0082680A">
        <w:rPr>
          <w:lang w:val="en-GB"/>
        </w:rPr>
        <w:t xml:space="preserve"> validation for novel upstream drivers, satisfying the final objective of this project</w:t>
      </w:r>
      <w:r w:rsidR="00B04B3F" w:rsidRPr="0082680A">
        <w:rPr>
          <w:lang w:val="en-GB"/>
        </w:rPr>
        <w:t>.</w:t>
      </w:r>
    </w:p>
    <w:p w14:paraId="372AD747" w14:textId="019185AE" w:rsidR="00311886" w:rsidRDefault="00311886" w:rsidP="005C4449">
      <w:pPr>
        <w:rPr>
          <w:lang w:val="en-GB"/>
        </w:rPr>
      </w:pPr>
    </w:p>
    <w:p w14:paraId="46C2113E" w14:textId="064D5677" w:rsidR="00311886" w:rsidRPr="0082680A" w:rsidRDefault="00311886" w:rsidP="005C4449">
      <w:pPr>
        <w:rPr>
          <w:lang w:val="en-GB"/>
        </w:rPr>
      </w:pPr>
      <w:r>
        <w:rPr>
          <w:lang w:val="en-GB"/>
        </w:rPr>
        <w:t xml:space="preserve">When considered in reference to the nine studies reviewed in the Introduction, our methodology has been able to fulfil each of the nine criteria assessed. Our pipeline is multi-omic, cross-tissue, and cross-platform, makes use of sophisticated network </w:t>
      </w:r>
      <w:r>
        <w:rPr>
          <w:lang w:val="en-GB"/>
        </w:rPr>
        <w:lastRenderedPageBreak/>
        <w:t xml:space="preserve">analysis, and produces consistent, </w:t>
      </w:r>
      <w:proofErr w:type="spellStart"/>
      <w:r>
        <w:rPr>
          <w:lang w:val="en-GB"/>
        </w:rPr>
        <w:t>validatable</w:t>
      </w:r>
      <w:proofErr w:type="spellEnd"/>
      <w:r>
        <w:rPr>
          <w:lang w:val="en-GB"/>
        </w:rPr>
        <w:t xml:space="preserve"> signatures – something which, as of yet, has not been achieved before.</w:t>
      </w:r>
    </w:p>
    <w:p w14:paraId="40359861" w14:textId="164B5FEE" w:rsidR="00064504" w:rsidRDefault="00064504" w:rsidP="00842FD0">
      <w:pPr>
        <w:pStyle w:val="Heading2"/>
      </w:pPr>
      <w:bookmarkStart w:id="393" w:name="_Toc3211449"/>
      <w:r w:rsidRPr="00842FD0">
        <w:t>Assessment and Future work</w:t>
      </w:r>
      <w:bookmarkEnd w:id="393"/>
    </w:p>
    <w:p w14:paraId="64ABE1FC" w14:textId="14E9F928" w:rsidR="00EE4DB2" w:rsidRPr="00EE4DB2" w:rsidRDefault="00EE4DB2" w:rsidP="00EE4DB2">
      <w:pPr>
        <w:pStyle w:val="Heading3"/>
        <w:rPr>
          <w:lang w:val="en-GB"/>
        </w:rPr>
      </w:pPr>
      <w:bookmarkStart w:id="394" w:name="_Toc3211450"/>
      <w:r>
        <w:rPr>
          <w:lang w:val="en-GB"/>
        </w:rPr>
        <w:t>Further validations</w:t>
      </w:r>
      <w:bookmarkEnd w:id="394"/>
    </w:p>
    <w:p w14:paraId="63238F63" w14:textId="100ED6E6" w:rsidR="00064504" w:rsidRDefault="00064504" w:rsidP="00064504">
      <w:pPr>
        <w:rPr>
          <w:lang w:val="en-GB"/>
        </w:rPr>
      </w:pPr>
      <w:r w:rsidRPr="0082680A">
        <w:rPr>
          <w:lang w:val="en-GB"/>
        </w:rPr>
        <w:t xml:space="preserve">In the time scale of this project, we have managed to achieve the vast majority of the aims and objectives we set out at the start. A few, however, were not able to be completed in this time, predominantly the </w:t>
      </w:r>
      <w:r w:rsidRPr="0082680A">
        <w:rPr>
          <w:i/>
          <w:lang w:val="en-GB"/>
        </w:rPr>
        <w:t>in vitro</w:t>
      </w:r>
      <w:r w:rsidRPr="0082680A">
        <w:rPr>
          <w:lang w:val="en-GB"/>
        </w:rPr>
        <w:t xml:space="preserve"> validations. We do, however, have a number of plans in place for further </w:t>
      </w:r>
      <w:r w:rsidRPr="0082680A">
        <w:rPr>
          <w:i/>
          <w:lang w:val="en-GB"/>
        </w:rPr>
        <w:t>in vitro</w:t>
      </w:r>
      <w:r w:rsidRPr="0082680A">
        <w:rPr>
          <w:lang w:val="en-GB"/>
        </w:rPr>
        <w:t xml:space="preserve"> work. The TDP-43 discoveries in iPSC neurons are already undergoing replication to establish our findings are reliable, and the results will hopefully contribute to a publication demonstrating the identification of a new upstream driver of TDP-43 dysfunction. Additionally, we are reaching out to a number of possible PD collaborators to test some of the top ranked Parkinson’s disease candidates, again hopefully resulting in publication. As previously mentioned, for autoimmune arthritis we are interested in conducting some </w:t>
      </w:r>
      <w:r w:rsidRPr="0082680A">
        <w:rPr>
          <w:i/>
          <w:lang w:val="en-GB"/>
        </w:rPr>
        <w:t>in silico</w:t>
      </w:r>
      <w:r w:rsidRPr="0082680A">
        <w:rPr>
          <w:lang w:val="en-GB"/>
        </w:rPr>
        <w:t xml:space="preserve"> validations within the Hide Lab using a drug repositioning framework currently under development. This will hopefully show our autoimmune arthritis signature is able to successfully predict known drug candidates for these conditions, as well as potentially identify repositionable drugs, saving huge amounts of time and money in drug discovery.</w:t>
      </w:r>
    </w:p>
    <w:p w14:paraId="2456DDF1" w14:textId="338D3CB8" w:rsidR="00D2461B" w:rsidRDefault="00D2461B" w:rsidP="00064504">
      <w:pPr>
        <w:rPr>
          <w:lang w:val="en-GB"/>
        </w:rPr>
      </w:pPr>
    </w:p>
    <w:p w14:paraId="4C5F3456" w14:textId="6EC86D7F" w:rsidR="00D2461B" w:rsidRPr="0082680A" w:rsidRDefault="00D2461B" w:rsidP="00064504">
      <w:pPr>
        <w:rPr>
          <w:lang w:val="en-GB"/>
        </w:rPr>
      </w:pPr>
      <w:r>
        <w:rPr>
          <w:lang w:val="en-GB"/>
        </w:rPr>
        <w:t xml:space="preserve">A further validation of value for each dataset would also be to attempt replication in external datasets. Unfortunately, we could not attempt this for any of the three applications due to the lack of availability of data for these conditions. A direct consequence on working with data from rare conditions, with very specific criteria for acceptance is a very small pool of acceptable datasets. We chose to use this data for building the signatures, with the hope that over time new datasets would emerge to satisfy the conditions we set out in this project. </w:t>
      </w:r>
    </w:p>
    <w:p w14:paraId="6640B41C" w14:textId="6F0840B4" w:rsidR="00064504" w:rsidRDefault="00064504" w:rsidP="00064504">
      <w:pPr>
        <w:rPr>
          <w:lang w:val="en-GB"/>
        </w:rPr>
      </w:pPr>
    </w:p>
    <w:p w14:paraId="2AA73D0B" w14:textId="1DFCAF1F" w:rsidR="00EE4DB2" w:rsidRPr="0082680A" w:rsidRDefault="00EE4DB2" w:rsidP="00EE4DB2">
      <w:pPr>
        <w:pStyle w:val="Heading3"/>
        <w:rPr>
          <w:lang w:val="en-GB"/>
        </w:rPr>
      </w:pPr>
      <w:bookmarkStart w:id="395" w:name="_Toc3211451"/>
      <w:r>
        <w:rPr>
          <w:lang w:val="en-GB"/>
        </w:rPr>
        <w:t>Further applications</w:t>
      </w:r>
      <w:bookmarkEnd w:id="395"/>
    </w:p>
    <w:p w14:paraId="5B4A8CA2" w14:textId="33595CF8" w:rsidR="00064504" w:rsidRPr="0082680A" w:rsidRDefault="00064504" w:rsidP="00064504">
      <w:pPr>
        <w:rPr>
          <w:lang w:val="en-GB"/>
        </w:rPr>
      </w:pPr>
      <w:r w:rsidRPr="0082680A">
        <w:rPr>
          <w:lang w:val="en-GB"/>
        </w:rPr>
        <w:t xml:space="preserve">As well as validating our existing applications, we already have plans for further applications. For example, there is a great deal of publicly available data on inflammatory bowel disease, which - like arthritis – has a number of known drugs associated with it, allowing for more drug repositioning work. In fact, the possible applications of this pipeline are numerous, as it only requires a handful of small datasets and a quantifiable </w:t>
      </w:r>
      <w:r w:rsidRPr="0082680A">
        <w:rPr>
          <w:lang w:val="en-GB"/>
        </w:rPr>
        <w:lastRenderedPageBreak/>
        <w:t xml:space="preserve">phenotype. Before it is applied to other conditions, however, there are a number of improvements that should be made to the pipeline protocol. </w:t>
      </w:r>
    </w:p>
    <w:p w14:paraId="5602035C" w14:textId="01D6F9FA" w:rsidR="00064504" w:rsidRDefault="00064504" w:rsidP="00064504">
      <w:pPr>
        <w:rPr>
          <w:lang w:val="en-GB"/>
        </w:rPr>
      </w:pPr>
    </w:p>
    <w:p w14:paraId="2F40AAC3" w14:textId="7B0BFC6F" w:rsidR="00EE4DB2" w:rsidRDefault="00EE4DB2" w:rsidP="00EE4DB2">
      <w:pPr>
        <w:pStyle w:val="Heading3"/>
        <w:rPr>
          <w:lang w:val="en-GB"/>
        </w:rPr>
      </w:pPr>
      <w:bookmarkStart w:id="396" w:name="_Toc3211452"/>
      <w:r>
        <w:rPr>
          <w:lang w:val="en-GB"/>
        </w:rPr>
        <w:t>Pipeline Improvements</w:t>
      </w:r>
      <w:bookmarkEnd w:id="396"/>
      <w:r>
        <w:rPr>
          <w:lang w:val="en-GB"/>
        </w:rPr>
        <w:t xml:space="preserve"> </w:t>
      </w:r>
    </w:p>
    <w:p w14:paraId="64D25E45" w14:textId="1478C9E0" w:rsidR="00EE4DB2" w:rsidRPr="00EE4DB2" w:rsidRDefault="00EE4DB2" w:rsidP="00EE4DB2">
      <w:pPr>
        <w:pStyle w:val="Heading4"/>
        <w:rPr>
          <w:lang w:val="en-GB"/>
        </w:rPr>
      </w:pPr>
      <w:bookmarkStart w:id="397" w:name="_Toc3211453"/>
      <w:r>
        <w:rPr>
          <w:lang w:val="en-GB"/>
        </w:rPr>
        <w:t>Gene expression analysis</w:t>
      </w:r>
      <w:bookmarkEnd w:id="397"/>
    </w:p>
    <w:p w14:paraId="2647B877" w14:textId="74D04313" w:rsidR="00064504" w:rsidRPr="0082680A" w:rsidRDefault="00064504" w:rsidP="00064504">
      <w:pPr>
        <w:rPr>
          <w:lang w:val="en-GB"/>
        </w:rPr>
      </w:pPr>
      <w:r w:rsidRPr="0082680A">
        <w:rPr>
          <w:lang w:val="en-GB"/>
        </w:rPr>
        <w:t>For gene expression analysis, the expression direction approach is one not generally employed for meta-analyses, unlike, for example, P-value combination. We achieved successful results with this approach and showed that the number of DEGs identified was significantly more than expected by chance, indicating a stronger relationship between the datasets than one would expect. Despite our success, we admit this approach is vulnerable to some biases. The number of input data sets changes the number of DEGs, due to the fact each additional dataset will remove a certain proportion of this gene list. This process is good for removing the noise of each individual dataset, however it is also likely to remove true positives; all it takes is one dataset to show opposite direction of dysregulation to the other datasets, and that gene is removed. A good investigation to undertake would be to analyse the effect of setting a threshold – for example, is 90% concordance acceptable? How does this change the results? Genes are also lost through the process of filtering, using the tissue non-specific or condition-generic datasets. Although this process helped us identify possible unspecific signals, it was often not possible to identify the most appropriate data for the role. At times we had to use blood in both roles, which, if we designed the experiment wholly ourselves including data generation, we would not ideally have chosen. Unfortunately, the availability of data is limited to what is available publicly, unless an experimenter has resources to generate their own data. For example, if this experiment were to be designed with the necessary funding, tissue non-specific data would have been collected from the same patients, from an appropriate control tissue. As we did not possess the required time nor funding, we sourced the best data we could find publicly.</w:t>
      </w:r>
    </w:p>
    <w:p w14:paraId="287C711E" w14:textId="711778CC" w:rsidR="00064504" w:rsidRDefault="00064504" w:rsidP="00064504">
      <w:pPr>
        <w:rPr>
          <w:lang w:val="en-GB"/>
        </w:rPr>
      </w:pPr>
    </w:p>
    <w:p w14:paraId="2C821F99" w14:textId="4510949D" w:rsidR="00EE4DB2" w:rsidRPr="0082680A" w:rsidRDefault="00EE4DB2" w:rsidP="00EE4DB2">
      <w:pPr>
        <w:pStyle w:val="Heading4"/>
        <w:rPr>
          <w:lang w:val="en-GB"/>
        </w:rPr>
      </w:pPr>
      <w:bookmarkStart w:id="398" w:name="_Toc3211454"/>
      <w:r>
        <w:rPr>
          <w:lang w:val="en-GB"/>
        </w:rPr>
        <w:t>Protein interaction analysis</w:t>
      </w:r>
      <w:bookmarkEnd w:id="398"/>
      <w:r>
        <w:rPr>
          <w:lang w:val="en-GB"/>
        </w:rPr>
        <w:t xml:space="preserve"> </w:t>
      </w:r>
    </w:p>
    <w:p w14:paraId="1D907D3E" w14:textId="7B7DCA50" w:rsidR="00064504" w:rsidRPr="00EE4DB2" w:rsidRDefault="00064504" w:rsidP="00EE4DB2">
      <w:pPr>
        <w:rPr>
          <w:lang w:val="en-GB"/>
        </w:rPr>
      </w:pPr>
      <w:r w:rsidRPr="0082680A">
        <w:rPr>
          <w:lang w:val="en-GB"/>
        </w:rPr>
        <w:t xml:space="preserve">The use of protein interaction at this next stage could be criticised, due to the likelihood of false positives stemming from protein interaction data. An alternative suggestion would be canonical coexpression, however this poses its own problems - Which canonical database to use? How do you decide which edges are “valid” and which are not? Can it be tissue specific? What if your expression data is sourced from multiple tissue types? Do the edges need to be consistent across those tissues? What if data doesn’t </w:t>
      </w:r>
      <w:r w:rsidRPr="0082680A">
        <w:rPr>
          <w:lang w:val="en-GB"/>
        </w:rPr>
        <w:lastRenderedPageBreak/>
        <w:t xml:space="preserve">exist for that tissue? Despite the issues with false positives in protein interaction data, we still believe this is the preferable data source for the edges in this stage of network expansion. As this network provides a framework rather than the final result, we have the capability later on to remove those false positives. Within our use of protein interaction, a few improvements could admittedly be made. During the timeline of this project, IrefIndex released IrefIndex 15.0, which could replace our current use of IrefIndex 14.0. Additionally, a more careful analysis could be conducted to reduce the amount of protein loss due to annotation differences, a challenge experienced often when working within the proteome. Though not isolated to the proteome by any means, the size of the network at this stage leaves us vulnerable when interpreting the results of any sort of enrichment. Enrichment analysis is fundamentally tied to the size of the input list, subsequently we see very similar enrichment in very broad categories across all three applications, including pathways such as “Disease”, “Gene Expression”, “Immune system”, as well as a number of proteasomal proteins. </w:t>
      </w:r>
    </w:p>
    <w:p w14:paraId="4B217DED" w14:textId="77777777" w:rsidR="00064504" w:rsidRPr="0082680A" w:rsidRDefault="00064504" w:rsidP="00064504">
      <w:pPr>
        <w:rPr>
          <w:lang w:val="en-GB"/>
        </w:rPr>
      </w:pPr>
    </w:p>
    <w:p w14:paraId="5EE8D519" w14:textId="24488B91" w:rsidR="00064504" w:rsidRPr="0082680A" w:rsidRDefault="00EE4DB2" w:rsidP="00EE4DB2">
      <w:pPr>
        <w:pStyle w:val="Heading4"/>
        <w:rPr>
          <w:lang w:val="en-GB"/>
        </w:rPr>
      </w:pPr>
      <w:bookmarkStart w:id="399" w:name="_Toc3211455"/>
      <w:r>
        <w:rPr>
          <w:lang w:val="en-GB"/>
        </w:rPr>
        <w:t>Common coexpression analysis</w:t>
      </w:r>
      <w:bookmarkEnd w:id="399"/>
    </w:p>
    <w:p w14:paraId="2543FE6B" w14:textId="77777777" w:rsidR="00064504" w:rsidRPr="0082680A" w:rsidRDefault="00064504" w:rsidP="00064504">
      <w:pPr>
        <w:rPr>
          <w:lang w:val="en-GB"/>
        </w:rPr>
      </w:pPr>
      <w:r w:rsidRPr="0082680A">
        <w:rPr>
          <w:lang w:val="en-GB"/>
        </w:rPr>
        <w:t xml:space="preserve">At the common coexpression network stage, one of the main vulnerabilities – as we have seen with a number of stages – is the number of input datasets. Too few datasets and the experiment </w:t>
      </w:r>
      <w:proofErr w:type="gramStart"/>
      <w:r w:rsidRPr="0082680A">
        <w:rPr>
          <w:lang w:val="en-GB"/>
        </w:rPr>
        <w:t>is</w:t>
      </w:r>
      <w:proofErr w:type="gramEnd"/>
      <w:r w:rsidRPr="0082680A">
        <w:rPr>
          <w:lang w:val="en-GB"/>
        </w:rPr>
        <w:t xml:space="preserve"> vulnerable to dataset-loss during quality control (particularly datasets with the smallest sample numbers), and edges are less reliable. Too many datasets and correlation thresholds need to be dropped drastically to retain any edges. As with differential expression, an investigation into the optimal protocols at this point would be beneficial to any future users. It would be helpful to know the optimal number of datasets, and if a subset needs to be selected, which are the best candidates considering sample numbers, platform, and tissues/diseases to be represented? Further investigation also </w:t>
      </w:r>
      <w:proofErr w:type="gramStart"/>
      <w:r w:rsidRPr="0082680A">
        <w:rPr>
          <w:lang w:val="en-GB"/>
        </w:rPr>
        <w:t>need</w:t>
      </w:r>
      <w:proofErr w:type="gramEnd"/>
      <w:r w:rsidRPr="0082680A">
        <w:rPr>
          <w:lang w:val="en-GB"/>
        </w:rPr>
        <w:t xml:space="preserve"> to be made into the methodology for selecting the correlation threshold. Currently, the threshold is selected based on the number of output genes it generates. This logic in of itself is not necessarily an issue, despite the biases of the experimenter defining a network size, however its application could be designed more formally. For example, an algorithm could be designed which tests each threshold value and compares “success” using a particular benchmark. That benchmark could be enrichment of a gene list relating to the phenotype (under the understanding this benchmark could not be used for validation by enrichment at later stages), or a topological benchmark relating to the optimal connectivity of the network. </w:t>
      </w:r>
    </w:p>
    <w:p w14:paraId="3C841CA6" w14:textId="159E8FEB" w:rsidR="00064504" w:rsidRDefault="00064504" w:rsidP="00064504">
      <w:pPr>
        <w:rPr>
          <w:lang w:val="en-GB"/>
        </w:rPr>
      </w:pPr>
    </w:p>
    <w:p w14:paraId="7F03FA9E" w14:textId="6309FEBB" w:rsidR="00EE4DB2" w:rsidRPr="0082680A" w:rsidRDefault="00EE4DB2" w:rsidP="00EE4DB2">
      <w:pPr>
        <w:pStyle w:val="Heading4"/>
        <w:rPr>
          <w:lang w:val="en-GB"/>
        </w:rPr>
      </w:pPr>
      <w:bookmarkStart w:id="400" w:name="_Toc3211456"/>
      <w:r>
        <w:rPr>
          <w:lang w:val="en-GB"/>
        </w:rPr>
        <w:lastRenderedPageBreak/>
        <w:t>Upstream analysis</w:t>
      </w:r>
      <w:bookmarkEnd w:id="400"/>
    </w:p>
    <w:p w14:paraId="334BD49D" w14:textId="5BC514B0" w:rsidR="00064504" w:rsidRPr="0082680A" w:rsidRDefault="00064504" w:rsidP="00064504">
      <w:pPr>
        <w:rPr>
          <w:lang w:val="en-GB"/>
        </w:rPr>
      </w:pPr>
      <w:r w:rsidRPr="0082680A">
        <w:rPr>
          <w:lang w:val="en-GB"/>
        </w:rPr>
        <w:t xml:space="preserve">In terms of upstream analysis and relating the signatures to genetic data, this area requires a great deal of further work. As the network modules themselves contain no information on directionality or whether the members are upstream or downstream of the phenotype, it is up to </w:t>
      </w:r>
      <w:proofErr w:type="gramStart"/>
      <w:r w:rsidRPr="0082680A">
        <w:rPr>
          <w:lang w:val="en-GB"/>
        </w:rPr>
        <w:t>ourselves</w:t>
      </w:r>
      <w:proofErr w:type="gramEnd"/>
      <w:r w:rsidRPr="0082680A">
        <w:rPr>
          <w:lang w:val="en-GB"/>
        </w:rPr>
        <w:t xml:space="preserve"> as the experimenters to derive this information from alternate sources. GWAS enrichment was only successful in autoimmune analysis, which could be the result of the commonality of arthritis in comparison to neurodegenerative conditions, but also could reflect inconsistency in our signature’s ability to isolate upstream genetic factors. As a result of a lack of GWAS enrichment, we looked to raw genetic sequencing data to provide information on LoF mutations in the network members. Although Gemini accumulates a large number of resources to predict LoF mutations, these are hard to assess in terms of their validity. Subsequently, this information was not used solely for validation work, but in tandem with a number of other information sources for prioritisation. Subsequently, if a gene contained a false-positive LoF mutation, its ability to be highly ranked is offset by curated information from a number of other sources. The aim of our pipeline is not specifically to identify genetic causes of the phenotype (though this is possible), but drivers in general, which may or may not exhibit genetic variance in patients. With the appropriate expertise, however, we may in future be able to refine this process.  </w:t>
      </w:r>
    </w:p>
    <w:p w14:paraId="7F28495F" w14:textId="48D865B6" w:rsidR="00064504" w:rsidRDefault="00064504" w:rsidP="00064504">
      <w:pPr>
        <w:rPr>
          <w:lang w:val="en-GB"/>
        </w:rPr>
      </w:pPr>
    </w:p>
    <w:p w14:paraId="30C2CFE9" w14:textId="7CCD8631" w:rsidR="00EE4DB2" w:rsidRPr="0082680A" w:rsidRDefault="00EE4DB2" w:rsidP="00EE4DB2">
      <w:pPr>
        <w:pStyle w:val="Heading4"/>
        <w:rPr>
          <w:lang w:val="en-GB"/>
        </w:rPr>
      </w:pPr>
      <w:bookmarkStart w:id="401" w:name="_Toc3211457"/>
      <w:r>
        <w:rPr>
          <w:lang w:val="en-GB"/>
        </w:rPr>
        <w:t>Target prioritisation</w:t>
      </w:r>
      <w:bookmarkEnd w:id="401"/>
    </w:p>
    <w:p w14:paraId="4793C682" w14:textId="77777777" w:rsidR="00064504" w:rsidRPr="0082680A" w:rsidRDefault="00064504" w:rsidP="00064504">
      <w:pPr>
        <w:rPr>
          <w:lang w:val="en-GB"/>
        </w:rPr>
      </w:pPr>
      <w:r w:rsidRPr="0082680A">
        <w:rPr>
          <w:lang w:val="en-GB"/>
        </w:rPr>
        <w:t xml:space="preserve">Although the prioritisation approach we presented in this project are not intrinsic to the pipeline – any preferred prioritisation method could be used – our approach achieved a certain degree of success. Subsequently, with further improvement, this particular prioritisation approach could be very effective, as it considers genes specific to the phenotype of interest and their expression in the input data. Due to the fact many of the genes in the network achieve similar scores, it is likely that more data sources should be included. Something which is currently missing is some sort of literature-based score to assess association with the phenotype. One possible source to satisfy this problem is the web tool </w:t>
      </w:r>
      <w:proofErr w:type="spellStart"/>
      <w:r w:rsidRPr="0082680A">
        <w:rPr>
          <w:lang w:val="en-GB"/>
        </w:rPr>
        <w:t>VarElect</w:t>
      </w:r>
      <w:proofErr w:type="spellEnd"/>
      <w:r w:rsidRPr="0082680A">
        <w:rPr>
          <w:lang w:val="en-GB"/>
        </w:rPr>
        <w:t xml:space="preserve"> (ve.genecards.org). Through input of a gene list alongside important terms related to the phenotype, </w:t>
      </w:r>
      <w:proofErr w:type="spellStart"/>
      <w:r w:rsidRPr="0082680A">
        <w:rPr>
          <w:lang w:val="en-GB"/>
        </w:rPr>
        <w:t>VarElect</w:t>
      </w:r>
      <w:proofErr w:type="spellEnd"/>
      <w:r w:rsidRPr="0082680A">
        <w:rPr>
          <w:lang w:val="en-GB"/>
        </w:rPr>
        <w:t xml:space="preserve"> ranks genes on their association with these terms based on a number of databases, as well as literature links. From a mathematical perspective, our prioritisation approach could include a system of weighting more and less important data sources. This could provide a more accurate score, e.g. protein interaction with a causative gene might be more important than a high rank in Endeavour. </w:t>
      </w:r>
    </w:p>
    <w:p w14:paraId="68343A2A" w14:textId="77777777" w:rsidR="00064504" w:rsidRPr="0082680A" w:rsidRDefault="00064504" w:rsidP="005C4449">
      <w:pPr>
        <w:rPr>
          <w:lang w:val="en-GB"/>
        </w:rPr>
      </w:pPr>
    </w:p>
    <w:p w14:paraId="5AC33BC2" w14:textId="5FD34BAF" w:rsidR="00A43654" w:rsidRPr="00842FD0" w:rsidRDefault="00A43654" w:rsidP="00842FD0">
      <w:pPr>
        <w:pStyle w:val="Heading2"/>
      </w:pPr>
      <w:bookmarkStart w:id="402" w:name="_Toc3211458"/>
      <w:r w:rsidRPr="00842FD0">
        <w:lastRenderedPageBreak/>
        <w:t>Impact</w:t>
      </w:r>
      <w:bookmarkEnd w:id="402"/>
    </w:p>
    <w:p w14:paraId="77DA60E0" w14:textId="25869BFC" w:rsidR="00064504" w:rsidRPr="0082680A" w:rsidRDefault="00DD05BA" w:rsidP="00A02608">
      <w:pPr>
        <w:rPr>
          <w:lang w:val="en-GB"/>
        </w:rPr>
      </w:pPr>
      <w:r w:rsidRPr="0082680A">
        <w:rPr>
          <w:lang w:val="en-GB"/>
        </w:rPr>
        <w:t>Any new methodology must be built with the understanding that it provides a</w:t>
      </w:r>
      <w:r w:rsidR="00FE458E" w:rsidRPr="0082680A">
        <w:rPr>
          <w:lang w:val="en-GB"/>
        </w:rPr>
        <w:t xml:space="preserve"> novel</w:t>
      </w:r>
      <w:r w:rsidRPr="0082680A">
        <w:rPr>
          <w:lang w:val="en-GB"/>
        </w:rPr>
        <w:t xml:space="preserve"> </w:t>
      </w:r>
      <w:r w:rsidR="0096694A" w:rsidRPr="0082680A">
        <w:rPr>
          <w:lang w:val="en-GB"/>
        </w:rPr>
        <w:t xml:space="preserve">approach </w:t>
      </w:r>
      <w:r w:rsidRPr="0082680A">
        <w:rPr>
          <w:lang w:val="en-GB"/>
        </w:rPr>
        <w:t xml:space="preserve">that is otherwise lacking in the field. In </w:t>
      </w:r>
      <w:r w:rsidR="004415FB" w:rsidRPr="0082680A">
        <w:rPr>
          <w:lang w:val="en-GB"/>
        </w:rPr>
        <w:t>the introduction, we identified</w:t>
      </w:r>
      <w:r w:rsidR="002F0861" w:rsidRPr="0082680A">
        <w:rPr>
          <w:lang w:val="en-GB"/>
        </w:rPr>
        <w:t xml:space="preserve"> a significant bottleneck in traditional biological discovery, ultimately leading to </w:t>
      </w:r>
      <w:r w:rsidR="00F44B2C" w:rsidRPr="0082680A">
        <w:rPr>
          <w:lang w:val="en-GB"/>
        </w:rPr>
        <w:t xml:space="preserve">lengthy interims between first observation and first successful treatment. </w:t>
      </w:r>
      <w:r w:rsidR="00AD45D2" w:rsidRPr="0082680A">
        <w:rPr>
          <w:lang w:val="en-GB"/>
        </w:rPr>
        <w:t xml:space="preserve">The significance of this bottleneck </w:t>
      </w:r>
      <w:r w:rsidR="0096694A" w:rsidRPr="0082680A">
        <w:rPr>
          <w:lang w:val="en-GB"/>
        </w:rPr>
        <w:t xml:space="preserve">to treatment </w:t>
      </w:r>
      <w:r w:rsidR="00AD45D2" w:rsidRPr="0082680A">
        <w:rPr>
          <w:lang w:val="en-GB"/>
        </w:rPr>
        <w:t xml:space="preserve">was also lengthened in correlation with the rarity of conditions, due to small populations and subsequent small datasets. </w:t>
      </w:r>
      <w:r w:rsidR="00F5645B" w:rsidRPr="0082680A">
        <w:rPr>
          <w:lang w:val="en-GB"/>
        </w:rPr>
        <w:t>In response</w:t>
      </w:r>
      <w:r w:rsidR="00FC4449" w:rsidRPr="0082680A">
        <w:rPr>
          <w:lang w:val="en-GB"/>
        </w:rPr>
        <w:t>,</w:t>
      </w:r>
      <w:r w:rsidR="00F5645B" w:rsidRPr="0082680A">
        <w:rPr>
          <w:lang w:val="en-GB"/>
        </w:rPr>
        <w:t xml:space="preserve"> we have developed a </w:t>
      </w:r>
      <w:r w:rsidR="008C4D19" w:rsidRPr="0082680A">
        <w:rPr>
          <w:lang w:val="en-GB"/>
        </w:rPr>
        <w:t xml:space="preserve">computational, data-driven </w:t>
      </w:r>
      <w:r w:rsidR="00F5645B" w:rsidRPr="0082680A">
        <w:rPr>
          <w:lang w:val="en-GB"/>
        </w:rPr>
        <w:t xml:space="preserve">methodology that not only reliably </w:t>
      </w:r>
      <w:r w:rsidR="008E7789" w:rsidRPr="0082680A">
        <w:rPr>
          <w:lang w:val="en-GB"/>
        </w:rPr>
        <w:t>identifies</w:t>
      </w:r>
      <w:r w:rsidR="00F5645B" w:rsidRPr="0082680A">
        <w:rPr>
          <w:lang w:val="en-GB"/>
        </w:rPr>
        <w:t xml:space="preserve"> upstream drivers of </w:t>
      </w:r>
      <w:r w:rsidR="008E7789" w:rsidRPr="0082680A">
        <w:rPr>
          <w:lang w:val="en-GB"/>
        </w:rPr>
        <w:t xml:space="preserve">a phenotype, but </w:t>
      </w:r>
      <w:r w:rsidR="00FC392B" w:rsidRPr="0082680A">
        <w:rPr>
          <w:lang w:val="en-GB"/>
        </w:rPr>
        <w:t xml:space="preserve">does so </w:t>
      </w:r>
      <w:r w:rsidR="008E7789" w:rsidRPr="0082680A">
        <w:rPr>
          <w:lang w:val="en-GB"/>
        </w:rPr>
        <w:t>through the use of small datasets</w:t>
      </w:r>
      <w:r w:rsidR="00A65620" w:rsidRPr="0082680A">
        <w:rPr>
          <w:lang w:val="en-GB"/>
        </w:rPr>
        <w:t xml:space="preserve">, and in a </w:t>
      </w:r>
      <w:r w:rsidR="00C53EAE" w:rsidRPr="0082680A">
        <w:rPr>
          <w:lang w:val="en-GB"/>
        </w:rPr>
        <w:t>much-reduced</w:t>
      </w:r>
      <w:r w:rsidR="00A65620" w:rsidRPr="0082680A">
        <w:rPr>
          <w:lang w:val="en-GB"/>
        </w:rPr>
        <w:t xml:space="preserve"> period of time</w:t>
      </w:r>
      <w:r w:rsidR="008E7789" w:rsidRPr="0082680A">
        <w:rPr>
          <w:lang w:val="en-GB"/>
        </w:rPr>
        <w:t xml:space="preserve">. The impact of this methodology is highly significant; </w:t>
      </w:r>
      <w:r w:rsidR="008F053D" w:rsidRPr="0082680A">
        <w:rPr>
          <w:lang w:val="en-GB"/>
        </w:rPr>
        <w:t xml:space="preserve">many of our most untreatable conditions are also our </w:t>
      </w:r>
      <w:r w:rsidR="007B0ECF" w:rsidRPr="0082680A">
        <w:rPr>
          <w:lang w:val="en-GB"/>
        </w:rPr>
        <w:t>rarest and</w:t>
      </w:r>
      <w:r w:rsidR="008F053D" w:rsidRPr="0082680A">
        <w:rPr>
          <w:lang w:val="en-GB"/>
        </w:rPr>
        <w:t xml:space="preserve"> have so far been highly elusive when it comes to understanding their mechanisms and treatments. </w:t>
      </w:r>
      <w:r w:rsidR="00364C97" w:rsidRPr="0082680A">
        <w:rPr>
          <w:lang w:val="en-GB"/>
        </w:rPr>
        <w:t xml:space="preserve">Rare conditions </w:t>
      </w:r>
      <w:r w:rsidR="00064504" w:rsidRPr="0082680A">
        <w:rPr>
          <w:lang w:val="en-GB"/>
        </w:rPr>
        <w:t>are by nature small</w:t>
      </w:r>
      <w:r w:rsidR="00364C97" w:rsidRPr="0082680A">
        <w:rPr>
          <w:lang w:val="en-GB"/>
        </w:rPr>
        <w:t xml:space="preserve"> </w:t>
      </w:r>
      <w:r w:rsidR="00064504" w:rsidRPr="0082680A">
        <w:rPr>
          <w:lang w:val="en-GB"/>
        </w:rPr>
        <w:t>populations</w:t>
      </w:r>
      <w:r w:rsidR="00364C97" w:rsidRPr="0082680A">
        <w:rPr>
          <w:lang w:val="en-GB"/>
        </w:rPr>
        <w:t xml:space="preserve">, making </w:t>
      </w:r>
      <w:r w:rsidR="00D5371E" w:rsidRPr="0082680A">
        <w:rPr>
          <w:lang w:val="en-GB"/>
        </w:rPr>
        <w:t>large-scale analyses such as GWA inordinately more expensive and time-consuming</w:t>
      </w:r>
      <w:r w:rsidR="0027743C" w:rsidRPr="0082680A">
        <w:rPr>
          <w:lang w:val="en-GB"/>
        </w:rPr>
        <w:t xml:space="preserve">, </w:t>
      </w:r>
      <w:r w:rsidR="00D735F6" w:rsidRPr="0082680A">
        <w:rPr>
          <w:lang w:val="en-GB"/>
        </w:rPr>
        <w:t xml:space="preserve">or for the extremely rare, </w:t>
      </w:r>
      <w:r w:rsidR="0027743C" w:rsidRPr="0082680A">
        <w:rPr>
          <w:lang w:val="en-GB"/>
        </w:rPr>
        <w:t>impossible</w:t>
      </w:r>
      <w:r w:rsidR="00D5371E" w:rsidRPr="0082680A">
        <w:rPr>
          <w:lang w:val="en-GB"/>
        </w:rPr>
        <w:t xml:space="preserve">. </w:t>
      </w:r>
      <w:r w:rsidR="00064504" w:rsidRPr="0082680A">
        <w:rPr>
          <w:lang w:val="en-GB"/>
        </w:rPr>
        <w:t>Through our approach we have the ability to develop custom</w:t>
      </w:r>
      <w:r w:rsidR="0096694A" w:rsidRPr="0082680A">
        <w:rPr>
          <w:lang w:val="en-GB"/>
        </w:rPr>
        <w:t>-</w:t>
      </w:r>
      <w:r w:rsidR="00064504" w:rsidRPr="0082680A">
        <w:rPr>
          <w:lang w:val="en-GB"/>
        </w:rPr>
        <w:t xml:space="preserve">made panels from our signatures, drastically reducing the number of participants required for well-powered population-based analyses, allowing these types of studies to be conducted on rare conditions with much smaller populations. Additionally, unlike conventional GWAS, the candidates in these panels will already possess a functional relationship with the phenotype, combating a common pitfall in which variants identified by GWA struggle to be characterised in relation to the condition they are associated with </w:t>
      </w:r>
      <w:r w:rsidR="00064504" w:rsidRPr="0082680A">
        <w:rPr>
          <w:lang w:val="en-GB"/>
        </w:rPr>
        <w:fldChar w:fldCharType="begin" w:fldLock="1"/>
      </w:r>
      <w:r w:rsidR="0050527E">
        <w:rPr>
          <w:lang w:val="en-GB"/>
        </w:rPr>
        <w:instrText>ADDIN CSL_CITATION {"citationItems":[{"id":"ITEM-1","itemData":{"DOI":"10.1016/J.AJHG.2017.06.005","ISSN":"0002-9297","abstract":"Application of the experimental design of genome-wide association studies (GWASs) is now 10 years old (young), and here we review the remarkable range of discoveries it has facilitated in population and complex-trait genetics, the biology of diseases, and translation toward new therapeutics. We predict the likely discoveries in the next 10 years, when GWASs will be based on millions of samples with array data imputed to a large fully sequenced reference panel and on hundreds of thousands of samples with whole-genome sequencing data.","author":[{"dropping-particle":"","family":"Visscher","given":"Peter M.","non-dropping-particle":"","parse-names":false,"suffix":""},{"dropping-particle":"","family":"Wray","given":"Naomi R.","non-dropping-particle":"","parse-names":false,"suffix":""},{"dropping-particle":"","family":"Zhang","given":"Qian","non-dropping-particle":"","parse-names":false,"suffix":""},{"dropping-particle":"","family":"Sklar","given":"Pamela","non-dropping-particle":"","parse-names":false,"suffix":""},{"dropping-particle":"","family":"McCarthy","given":"Mark I.","non-dropping-particle":"","parse-names":false,"suffix":""},{"dropping-particle":"","family":"Brown","given":"Matthew A.","non-dropping-particle":"","parse-names":false,"suffix":""},{"dropping-particle":"","family":"Yang","given":"Jian","non-dropping-particle":"","parse-names":false,"suffix":""}],"container-title":"The American Journal of Human Genetics","id":"ITEM-1","issue":"1","issued":{"date-parts":[["2017","7","6"]]},"page":"5-22","publisher":"Cell Press","title":"10 Years of GWAS Discovery: Biology, Function, and Translation","type":"article-journal","volume":"101"},"uris":["http://www.mendeley.com/documents/?uuid=17f3c33e-da2e-3433-97c2-81101816ccf5"]}],"mendeley":{"formattedCitation":"&lt;sup&gt;15&lt;/sup&gt;","plainTextFormattedCitation":"15","previouslyFormattedCitation":"&lt;sup&gt;15&lt;/sup&gt;"},"properties":{"noteIndex":0},"schema":"https://github.com/citation-style-language/schema/raw/master/csl-citation.json"}</w:instrText>
      </w:r>
      <w:r w:rsidR="00064504" w:rsidRPr="0082680A">
        <w:rPr>
          <w:lang w:val="en-GB"/>
        </w:rPr>
        <w:fldChar w:fldCharType="separate"/>
      </w:r>
      <w:r w:rsidR="00442425" w:rsidRPr="00442425">
        <w:rPr>
          <w:noProof/>
          <w:vertAlign w:val="superscript"/>
          <w:lang w:val="en-GB"/>
        </w:rPr>
        <w:t>15</w:t>
      </w:r>
      <w:r w:rsidR="00064504" w:rsidRPr="0082680A">
        <w:rPr>
          <w:lang w:val="en-GB"/>
        </w:rPr>
        <w:fldChar w:fldCharType="end"/>
      </w:r>
      <w:r w:rsidR="00064504" w:rsidRPr="0082680A">
        <w:rPr>
          <w:lang w:val="en-GB"/>
        </w:rPr>
        <w:t xml:space="preserve">. Subsequently, not only can our approach derive meaningful results from small datasets, its legacy may well lead to a reduction in the sample sizes required for future genomic discovery. </w:t>
      </w:r>
    </w:p>
    <w:p w14:paraId="1FF25D7B" w14:textId="77777777" w:rsidR="00364C97" w:rsidRPr="0082680A" w:rsidRDefault="00364C97" w:rsidP="00A02608">
      <w:pPr>
        <w:rPr>
          <w:lang w:val="en-GB"/>
        </w:rPr>
      </w:pPr>
    </w:p>
    <w:p w14:paraId="04FE414D" w14:textId="37C466FB" w:rsidR="00064504" w:rsidRPr="0082680A" w:rsidRDefault="00064504" w:rsidP="00FB7F9E">
      <w:pPr>
        <w:rPr>
          <w:lang w:val="en-GB"/>
        </w:rPr>
      </w:pPr>
      <w:r w:rsidRPr="0082680A">
        <w:rPr>
          <w:lang w:val="en-GB"/>
        </w:rPr>
        <w:t>As well as utilising small data, we proposed that new methodologies are needed which generate</w:t>
      </w:r>
      <w:r w:rsidR="000C453D" w:rsidRPr="0082680A">
        <w:rPr>
          <w:lang w:val="en-GB"/>
        </w:rPr>
        <w:t xml:space="preserve"> </w:t>
      </w:r>
      <w:r w:rsidRPr="0082680A">
        <w:rPr>
          <w:lang w:val="en-GB"/>
        </w:rPr>
        <w:t>novel</w:t>
      </w:r>
      <w:r w:rsidR="000C453D" w:rsidRPr="0082680A">
        <w:rPr>
          <w:lang w:val="en-GB"/>
        </w:rPr>
        <w:t xml:space="preserve"> biological discover</w:t>
      </w:r>
      <w:r w:rsidRPr="0082680A">
        <w:rPr>
          <w:lang w:val="en-GB"/>
        </w:rPr>
        <w:t>ies rapidly,</w:t>
      </w:r>
      <w:r w:rsidR="00AD75B3" w:rsidRPr="0082680A">
        <w:rPr>
          <w:lang w:val="en-GB"/>
        </w:rPr>
        <w:t xml:space="preserve"> potentially saving both</w:t>
      </w:r>
      <w:r w:rsidR="00416BDF" w:rsidRPr="0082680A">
        <w:rPr>
          <w:lang w:val="en-GB"/>
        </w:rPr>
        <w:t xml:space="preserve"> significant amounts of</w:t>
      </w:r>
      <w:r w:rsidR="00AD75B3" w:rsidRPr="0082680A">
        <w:rPr>
          <w:lang w:val="en-GB"/>
        </w:rPr>
        <w:t xml:space="preserve"> </w:t>
      </w:r>
      <w:r w:rsidR="00416BDF" w:rsidRPr="0082680A">
        <w:rPr>
          <w:lang w:val="en-GB"/>
        </w:rPr>
        <w:t xml:space="preserve">time and </w:t>
      </w:r>
      <w:r w:rsidR="00D94733" w:rsidRPr="0082680A">
        <w:rPr>
          <w:lang w:val="en-GB"/>
        </w:rPr>
        <w:t xml:space="preserve">money. </w:t>
      </w:r>
      <w:r w:rsidRPr="0082680A">
        <w:rPr>
          <w:lang w:val="en-GB"/>
        </w:rPr>
        <w:t xml:space="preserve">We believe the approach reported in this thesis is capable of representing this shortcut. </w:t>
      </w:r>
      <w:r w:rsidR="00D94733" w:rsidRPr="0082680A">
        <w:rPr>
          <w:lang w:val="en-GB"/>
        </w:rPr>
        <w:t>For example</w:t>
      </w:r>
      <w:r w:rsidR="0004445B" w:rsidRPr="0082680A">
        <w:rPr>
          <w:lang w:val="en-GB"/>
        </w:rPr>
        <w:t>,</w:t>
      </w:r>
      <w:r w:rsidR="004F61D0" w:rsidRPr="0082680A">
        <w:rPr>
          <w:lang w:val="en-GB"/>
        </w:rPr>
        <w:t xml:space="preserve"> </w:t>
      </w:r>
      <w:r w:rsidR="00CD2772" w:rsidRPr="0082680A">
        <w:rPr>
          <w:lang w:val="en-GB"/>
        </w:rPr>
        <w:t>TDP-43 pathology was first identified in</w:t>
      </w:r>
      <w:r w:rsidR="00431D3D" w:rsidRPr="0082680A">
        <w:rPr>
          <w:lang w:val="en-GB"/>
        </w:rPr>
        <w:t xml:space="preserve"> 2006</w:t>
      </w:r>
      <w:r w:rsidRPr="0082680A">
        <w:rPr>
          <w:lang w:val="en-GB"/>
        </w:rPr>
        <w:t xml:space="preserve">. It took 9 years for </w:t>
      </w:r>
      <w:r w:rsidR="00431D3D" w:rsidRPr="0082680A">
        <w:rPr>
          <w:lang w:val="en-GB"/>
        </w:rPr>
        <w:t xml:space="preserve">the gene </w:t>
      </w:r>
      <w:r w:rsidR="00431D3D" w:rsidRPr="0082680A">
        <w:rPr>
          <w:i/>
          <w:lang w:val="en-GB"/>
        </w:rPr>
        <w:t>TBK1</w:t>
      </w:r>
      <w:r w:rsidR="00431D3D" w:rsidRPr="0082680A">
        <w:rPr>
          <w:lang w:val="en-GB"/>
        </w:rPr>
        <w:t xml:space="preserve"> </w:t>
      </w:r>
      <w:r w:rsidRPr="0082680A">
        <w:rPr>
          <w:lang w:val="en-GB"/>
        </w:rPr>
        <w:t>to be</w:t>
      </w:r>
      <w:r w:rsidR="00D94733" w:rsidRPr="0082680A">
        <w:rPr>
          <w:lang w:val="en-GB"/>
        </w:rPr>
        <w:t xml:space="preserve"> associated </w:t>
      </w:r>
      <w:r w:rsidRPr="0082680A">
        <w:rPr>
          <w:lang w:val="en-GB"/>
        </w:rPr>
        <w:t>with the phenotype,</w:t>
      </w:r>
      <w:r w:rsidR="00D94733" w:rsidRPr="0082680A">
        <w:rPr>
          <w:lang w:val="en-GB"/>
        </w:rPr>
        <w:t xml:space="preserve"> </w:t>
      </w:r>
      <w:r w:rsidRPr="0082680A">
        <w:rPr>
          <w:lang w:val="en-GB"/>
        </w:rPr>
        <w:t>the result of</w:t>
      </w:r>
      <w:r w:rsidR="00D94733" w:rsidRPr="0082680A">
        <w:rPr>
          <w:lang w:val="en-GB"/>
        </w:rPr>
        <w:t xml:space="preserve"> exome sequencing</w:t>
      </w:r>
      <w:r w:rsidRPr="0082680A">
        <w:rPr>
          <w:lang w:val="en-GB"/>
        </w:rPr>
        <w:t xml:space="preserve"> in</w:t>
      </w:r>
      <w:r w:rsidR="0004445B" w:rsidRPr="0082680A">
        <w:rPr>
          <w:lang w:val="en-GB"/>
        </w:rPr>
        <w:t xml:space="preserve"> nearly ten thousand ALS patients and controls </w:t>
      </w:r>
      <w:r w:rsidR="00044C25" w:rsidRPr="0082680A">
        <w:rPr>
          <w:lang w:val="en-GB"/>
        </w:rPr>
        <w:fldChar w:fldCharType="begin" w:fldLock="1"/>
      </w:r>
      <w:r w:rsidR="000507BA">
        <w:rPr>
          <w:lang w:val="en-GB"/>
        </w:rPr>
        <w:instrText>ADDIN CSL_CITATION {"citationItems":[{"id":"ITEM-1","itemData":{"DOI":"10.1126/science.1134108","ISSN":"1095-9203","PMID":"17023659","abstract":"Ubiquitin-positive, tau- and alpha-synuclein-negative inclusions are hallmarks of frontotemporal lobar degeneration with ubiquitin-positive inclusions and amyotrophic lateral sclerosis. Although the identity of the ubiquitinated protein specific to either disorder was unknown, we showed that TDP-43 is the major disease protein in both disorders. Pathologic TDP-43 was hyper-phosphorylated, ubiquitinated, and cleaved to generate C-terminal fragments and was recovered only from affected central nervous system regions, including hippocampus, neocortex, and spinal cord. TDP-43 represents the common pathologic substrate linking these neurodegenerative disorders.","author":[{"dropping-particle":"","family":"Neumann","given":"Manuela","non-dropping-particle":"","parse-names":false,"suffix":""},{"dropping-particle":"","family":"Sampathu","given":"Deepak M","non-dropping-particle":"","parse-names":false,"suffix":""},{"dropping-particle":"","family":"Kwong","given":"Linda K","non-dropping-particle":"","parse-names":false,"suffix":""},{"dropping-particle":"","family":"Truax","given":"Adam C","non-dropping-particle":"","parse-names":false,"suffix":""},{"dropping-particle":"","family":"Micsenyi","given":"Matthew C","non-dropping-particle":"","parse-names":false,"suffix":""},{"dropping-particle":"","family":"Chou","given":"Thomas T","non-dropping-particle":"","parse-names":false,"suffix":""},{"dropping-particle":"","family":"Bruce","given":"Jennifer","non-dropping-particle":"","parse-names":false,"suffix":""},{"dropping-particle":"","family":"Schuck","given":"Theresa","non-dropping-particle":"","parse-names":false,"suffix":""},{"dropping-particle":"","family":"Grossman","given":"Murray","non-dropping-particle":"","parse-names":false,"suffix":""},{"dropping-particle":"","family":"Clark","given":"Christopher M","non-dropping-particle":"","parse-names":false,"suffix":""},{"dropping-particle":"","family":"McCluskey","given":"Leo F","non-dropping-particle":"","parse-names":false,"suffix":""},{"dropping-particle":"","family":"Miller","given":"Bruce L","non-dropping-particle":"","parse-names":false,"suffix":""},{"dropping-particle":"","family":"Masliah","given":"Eliezer","non-dropping-particle":"","parse-names":false,"suffix":""},{"dropping-particle":"","family":"Mackenzie","given":"Ian R","non-dropping-particle":"","parse-names":false,"suffix":""},{"dropping-particle":"","family":"Feldman","given":"Howard","non-dropping-particle":"","parse-names":false,"suffix":""},{"dropping-particle":"","family":"Feiden","given":"Wolfgang","non-dropping-particle":"","parse-names":false,"suffix":""},{"dropping-particle":"","family":"Kretzschmar","given":"Hans A","non-dropping-particle":"","parse-names":false,"suffix":""},{"dropping-particle":"","family":"Trojanowski","given":"John Q","non-dropping-particle":"","parse-names":false,"suffix":""},{"dropping-particle":"","family":"Lee","given":"Virginia M-Y","non-dropping-particle":"","parse-names":false,"suffix":""}],"container-title":"Science (New York, N.Y.)","id":"ITEM-1","issue":"5796","issued":{"date-parts":[["2006","10"]]},"page":"130-3","title":"Ubiquitinated TDP-43 in frontotemporal lobar degeneration and amyotrophic lateral sclerosis.","type":"article-journal","volume":"314"},"uris":["http://www.mendeley.com/documents/?uuid=48e51f0a-60a1-4cd4-b35f-6522d06f2cae"]},{"id":"ITEM-2","itemData":{"DOI":"10.1126/science.aaa3650","ISSN":"1095-9203","PMID":"25700176","abstract":"Amyotrophic lateral sclerosis (ALS) is a devastating neurological disease with no effective treatment. We report the results of a moderate-scale sequencing study aimed at increasing the number of genes known to contribute to predisposition for ALS. We performed whole-exome sequencing of 2869 ALS patients and 6405 controls. Several known ALS genes were found to be associated, and TBK1 (the gene encoding TANK-binding kinase 1) was identified as an ALS gene. TBK1 is known to bind to and phosphorylate a number of proteins involved in innate immunity and autophagy, including optineurin (OPTN) and p62 (SQSTM1/sequestosome), both of which have also been implicated in ALS. These observations reveal a key role of the autophagic pathway in ALS and suggest specific targets for therapeutic intervention.","author":[{"dropping-particle":"","family":"Cirulli","given":"Elizabeth T","non-dropping-particle":"","parse-names":false,"suffix":""},{"dropping-particle":"","family":"Lasseigne","given":"Brittany N","non-dropping-particle":"","parse-names":false,"suffix":""},{"dropping-particle":"","family":"Petrovski","given":"Slavé","non-dropping-particle":"","parse-names":false,"suffix":""},{"dropping-particle":"","family":"Sapp","given":"Peter C","non-dropping-particle":"","parse-names":false,"suffix":""},{"dropping-particle":"","family":"Dion","given":"Patrick A","non-dropping-particle":"","parse-names":false,"suffix":""},{"dropping-particle":"","family":"Leblond","given":"Claire S","non-dropping-particle":"","parse-names":false,"suffix":""},{"dropping-particle":"","family":"Couthouis","given":"Julien","non-dropping-particle":"","parse-names":false,"suffix":""},{"dropping-particle":"","family":"Lu","given":"Yi-Fan","non-dropping-particle":"","parse-names":false,"suffix":""},{"dropping-particle":"","family":"Wang","given":"Quanli","non-dropping-particle":"","parse-names":false,"suffix":""},{"dropping-particle":"","family":"Krueger","given":"Brian J","non-dropping-particle":"","parse-names":false,"suffix":""},{"dropping-particle":"","family":"Ren","given":"Zhong","non-dropping-particle":"","parse-names":false,"suffix":""},{"dropping-particle":"","family":"Keebler","given":"Jonathan","non-dropping-particle":"","parse-names":false,"suffix":""},{"dropping-particle":"","family":"Han","given":"Yujun","non-dropping-particle":"","parse-names":false,"suffix":""},{"dropping-particle":"","family":"Levy","given":"Shawn E","non-dropping-particle":"","parse-names":false,"suffix":""},{"dropping-particle":"","family":"Boone","given":"Braden E","non-dropping-particle":"","parse-names":false,"suffix":""},{"dropping-particle":"","family":"Wimbish","given":"Jack R","non-dropping-particle":"","parse-names":false,"suffix":""},{"dropping-particle":"","family":"Waite","given":"Lindsay L","non-dropping-particle":"","parse-names":false,"suffix":""},{"dropping-particle":"","family":"Jones","given":"Angela L","non-dropping-particle":"","parse-names":false,"suffix":""},{"dropping-particle":"","family":"Carulli","given":"John P","non-dropping-particle":"","parse-names":false,"suffix":""},{"dropping-particle":"","family":"Day-Williams","given":"Aaron G","non-dropping-particle":"","parse-names":false,"suffix":""},{"dropping-particle":"","family":"Staropoli","given":"John F","non-dropping-particle":"","parse-names":false,"suffix":""},{"dropping-particle":"","family":"Xin","given":"Winnie W","non-dropping-particle":"","parse-names":false,"suffix":""},{"dropping-particle":"","family":"Chesi","given":"Alessandra","non-dropping-particle":"","parse-names":false,"suffix":""},{"dropping-particle":"","family":"Raphael","given":"Alya R","non-dropping-particle":"","parse-names":false,"suffix":""},{"dropping-particle":"","family":"McKenna-Yasek","given":"Diane","non-dropping-particle":"","parse-names":false,"suffix":""},{"dropping-particle":"","family":"Cady","given":"Janet","non-dropping-particle":"","parse-names":false,"suffix":""},{"dropping-particle":"","family":"Vianney de Jong","given":"J M B","non-dropping-particle":"","parse-names":false,"suffix":""},{"dropping-particle":"","family":"Kenna","given":"Kevin P","non-dropping-particle":"","parse-names":false,"suffix":""},{"dropping-particle":"","family":"Smith","given":"Bradley N","non-dropping-particle":"","parse-names":false,"suffix":""},{"dropping-particle":"","family":"Topp","given":"Simon","non-dropping-particle":"","parse-names":false,"suffix":""},{"dropping-particle":"","family":"Miller","given":"Jack","non-dropping-particle":"","parse-names":false,"suffix":""},{"dropping-particle":"","family":"Gkazi","given":"Athina","non-dropping-particle":"","parse-names":false,"suffix":""},{"dropping-particle":"","family":"FALS Sequencing Consortium","given":"Al-Chalabi","non-dropping-particle":"","parse-names":false,"suffix":""},{"dropping-particle":"","family":"Al-Chalabi","given":"Ammar","non-dropping-particle":"","parse-names":false,"suffix":""},{"dropping-particle":"","family":"Berg","given":"Leonard H","non-dropping-particle":"van den","parse-names":false,"suffix":""},{"dropping-particle":"","family":"Veldink","given":"Jan","non-dropping-particle":"","parse-names":false,"suffix":""},{"dropping-particle":"","family":"Silani","given":"Vincenzo","non-dropping-particle":"","parse-names":false,"suffix":""},{"dropping-particle":"","family":"Ticozzi","given":"Nicola","non-dropping-particle":"","parse-names":false,"suffix":""},{"dropping-particle":"","family":"Shaw","given":"Christopher E","non-dropping-particle":"","parse-names":false,"suffix":""},{"dropping-particle":"","family":"Baloh","given":"Robert H","non-dropping-particle":"","parse-names":false,"suffix":""},{"dropping-particle":"","family":"Appel","given":"Stanley","non-dropping-particle":"","parse-names":false,"suffix":""},{"dropping-particle":"","family":"Simpson","given":"Ericka","non-dropping-particle":"","parse-names":false,"suffix":""},{"dropping-particle":"","family":"Lagier-Tourenne","given":"Clotilde","non-dropping-particle":"","parse-names":false,"suffix":""},{"dropping-particle":"","family":"Pulst","given":"Stefan M","non-dropping-particle":"","parse-names":false,"suffix":""},{"dropping-particle":"","family":"Gibson","given":"Summer","non-dropping-particle":"","parse-names":false,"suffix":""},{"dropping-particle":"","family":"Trojanowski","given":"John Q","non-dropping-particle":"","parse-names":false,"suffix":""},{"dropping-particle":"","family":"Elman","given":"Lauren","non-dropping-particle":"","parse-names":false,"suffix":""},{"dropping-particle":"","family":"McCluskey","given":"Leo","non-dropping-particle":"","parse-names":false,"suffix":""},{"dropping-particle":"","family":"Grossman","given":"Murray","non-dropping-particle":"","parse-names":false,"suffix":""},{"dropping-particle":"","family":"Shneider","given":"Neil A","non-dropping-particle":"","parse-names":false,"suffix":""},{"dropping-particle":"","family":"Chung","given":"Wendy K","non-dropping-particle":"","parse-names":false,"suffix":""},{"dropping-particle":"","family":"Ravits","given":"John M","non-dropping-particle":"","parse-names":false,"suffix":""},{"dropping-particle":"","family":"Glass","given":"Jonathan D","non-dropping-particle":"","parse-names":false,"suffix":""},{"dropping-particle":"","family":"Sims","given":"Katherine B","non-dropping-particle":"","parse-names":false,"suffix":""},{"dropping-particle":"","family":"Deerlin","given":"Vivianna M","non-dropping-particle":"Van","parse-names":false,"suffix":""},{"dropping-particle":"","family":"Maniatis","given":"Tom","non-dropping-particle":"","parse-names":false,"suffix":""},{"dropping-particle":"","family":"Hayes","given":"Sebastian D","non-dropping-particle":"","parse-names":false,"suffix":""},{"dropping-particle":"","family":"Ordureau","given":"Alban","non-dropping-particle":"","parse-names":false,"suffix":""},{"dropping-particle":"","family":"Swarup","given":"Sharan","non-dropping-particle":"","parse-names":false,"suffix":""},{"dropping-particle":"","family":"Landers","given":"John","non-dropping-particle":"","parse-names":false,"suffix":""},{"dropping-particle":"","family":"Baas","given":"Frank","non-dropping-particle":"","parse-names":false,"suffix":""},{"dropping-particle":"","family":"Allen","given":"Andrew S","non-dropping-particle":"","parse-names":false,"suffix":""},{"dropping-particle":"","family":"Bedlack","given":"Richard S","non-dropping-particle":"","parse-names":false,"suffix":""},{"dropping-particle":"","family":"Harper","given":"J Wade","non-dropping-particle":"","parse-names":false,"suffix":""},{"dropping-particle":"","family":"Gitler","given":"Aaron D","non-dropping-particle":"","parse-names":false,"suffix":""},{"dropping-particle":"","family":"Rouleau","given":"Guy A","non-dropping-particle":"","parse-names":false,"suffix":""},{"dropping-particle":"","family":"Brown","given":"Robert","non-dropping-particle":"","parse-names":false,"suffix":""},{"dropping-particle":"","family":"Harms","given":"Matthew B","non-dropping-particle":"","parse-names":false,"suffix":""},{"dropping-particle":"","family":"Cooper","given":"Gregory M","non-dropping-particle":"","parse-names":false,"suffix":""},{"dropping-particle":"","family":"Harris","given":"Tim","non-dropping-particle":"","parse-names":false,"suffix":""},{"dropping-particle":"","family":"Myers","given":"Richard M","non-dropping-particle":"","parse-names":false,"suffix":""},{"dropping-particle":"","family":"Goldstein","given":"David B","non-dropping-particle":"","parse-names":false,"suffix":""}],"container-title":"Science (New York, N.Y.)","id":"ITEM-2","issue":"6229","issued":{"date-parts":[["2015","3","27"]]},"page":"1436-41","publisher":"NIH Public Access","title":"Exome sequencing in amyotrophic lateral sclerosis identifies risk genes and pathways.","type":"article-journal","volume":"347"},"uris":["http://www.mendeley.com/documents/?uuid=cab5fdd7-0bf6-3353-8225-83b4a06633c3"]}],"mendeley":{"formattedCitation":"&lt;sup&gt;111,461&lt;/sup&gt;","plainTextFormattedCitation":"111,461","previouslyFormattedCitation":"&lt;sup&gt;111,460&lt;/sup&gt;"},"properties":{"noteIndex":0},"schema":"https://github.com/citation-style-language/schema/raw/master/csl-citation.json"}</w:instrText>
      </w:r>
      <w:r w:rsidR="00044C25" w:rsidRPr="0082680A">
        <w:rPr>
          <w:lang w:val="en-GB"/>
        </w:rPr>
        <w:fldChar w:fldCharType="separate"/>
      </w:r>
      <w:r w:rsidR="000507BA" w:rsidRPr="000507BA">
        <w:rPr>
          <w:noProof/>
          <w:vertAlign w:val="superscript"/>
          <w:lang w:val="en-GB"/>
        </w:rPr>
        <w:t>111,461</w:t>
      </w:r>
      <w:r w:rsidR="00044C25" w:rsidRPr="0082680A">
        <w:rPr>
          <w:lang w:val="en-GB"/>
        </w:rPr>
        <w:fldChar w:fldCharType="end"/>
      </w:r>
      <w:r w:rsidR="00044C25" w:rsidRPr="0082680A">
        <w:rPr>
          <w:lang w:val="en-GB"/>
        </w:rPr>
        <w:t xml:space="preserve">. </w:t>
      </w:r>
      <w:r w:rsidRPr="0082680A">
        <w:rPr>
          <w:lang w:val="en-GB"/>
        </w:rPr>
        <w:t>Such a lengthy</w:t>
      </w:r>
      <w:r w:rsidR="0029488D" w:rsidRPr="0082680A">
        <w:rPr>
          <w:lang w:val="en-GB"/>
        </w:rPr>
        <w:t xml:space="preserve"> timeline of discovery </w:t>
      </w:r>
      <w:r w:rsidRPr="0082680A">
        <w:rPr>
          <w:lang w:val="en-GB"/>
        </w:rPr>
        <w:t>very likely resulted in the accumulation of substantial financial costs</w:t>
      </w:r>
      <w:r w:rsidR="00E24023" w:rsidRPr="0082680A">
        <w:rPr>
          <w:lang w:val="en-GB"/>
        </w:rPr>
        <w:t xml:space="preserve">. </w:t>
      </w:r>
      <w:r w:rsidRPr="0082680A">
        <w:rPr>
          <w:lang w:val="en-GB"/>
        </w:rPr>
        <w:t>Alternatively, w</w:t>
      </w:r>
      <w:r w:rsidR="006529D4" w:rsidRPr="0082680A">
        <w:rPr>
          <w:lang w:val="en-GB"/>
        </w:rPr>
        <w:t xml:space="preserve">ith </w:t>
      </w:r>
      <w:r w:rsidR="00FA5ADF" w:rsidRPr="0082680A">
        <w:rPr>
          <w:lang w:val="en-GB"/>
        </w:rPr>
        <w:t xml:space="preserve">just over a hundred </w:t>
      </w:r>
      <w:r w:rsidR="00982236" w:rsidRPr="0082680A">
        <w:rPr>
          <w:lang w:val="en-GB"/>
        </w:rPr>
        <w:t xml:space="preserve">samples and a </w:t>
      </w:r>
      <w:r w:rsidR="00CD6AC9" w:rsidRPr="0082680A">
        <w:rPr>
          <w:lang w:val="en-GB"/>
        </w:rPr>
        <w:t>pi</w:t>
      </w:r>
      <w:r w:rsidR="002A3CAA" w:rsidRPr="0082680A">
        <w:rPr>
          <w:lang w:val="en-GB"/>
        </w:rPr>
        <w:t>peline application t</w:t>
      </w:r>
      <w:r w:rsidR="00851476" w:rsidRPr="0082680A">
        <w:rPr>
          <w:lang w:val="en-GB"/>
        </w:rPr>
        <w:t xml:space="preserve">ime of approximately 2-3 weeks, we have made the </w:t>
      </w:r>
      <w:r w:rsidRPr="0082680A">
        <w:rPr>
          <w:lang w:val="en-GB"/>
        </w:rPr>
        <w:t xml:space="preserve">very </w:t>
      </w:r>
      <w:r w:rsidR="00851476" w:rsidRPr="0082680A">
        <w:rPr>
          <w:lang w:val="en-GB"/>
        </w:rPr>
        <w:t xml:space="preserve">same discovery in a fraction of the time, at </w:t>
      </w:r>
      <w:r w:rsidRPr="0082680A">
        <w:rPr>
          <w:lang w:val="en-GB"/>
        </w:rPr>
        <w:t xml:space="preserve">a </w:t>
      </w:r>
      <w:r w:rsidR="00FB7F9E" w:rsidRPr="0082680A">
        <w:rPr>
          <w:lang w:val="en-GB"/>
        </w:rPr>
        <w:t xml:space="preserve">fraction of the cost. </w:t>
      </w:r>
      <w:r w:rsidRPr="0082680A">
        <w:rPr>
          <w:lang w:val="en-GB"/>
        </w:rPr>
        <w:t xml:space="preserve">Not only this, we have also been able to replicate discovery of established upstream drivers of two subsequent </w:t>
      </w:r>
      <w:proofErr w:type="gramStart"/>
      <w:r w:rsidRPr="0082680A">
        <w:rPr>
          <w:lang w:val="en-GB"/>
        </w:rPr>
        <w:t>phenotypes, and</w:t>
      </w:r>
      <w:proofErr w:type="gramEnd"/>
      <w:r w:rsidRPr="0082680A">
        <w:rPr>
          <w:lang w:val="en-GB"/>
        </w:rPr>
        <w:t xml:space="preserve"> identify two potential novel upstream drivers of TDP-43 pathology </w:t>
      </w:r>
      <w:r w:rsidRPr="0082680A">
        <w:rPr>
          <w:i/>
          <w:lang w:val="en-GB"/>
        </w:rPr>
        <w:t>in vitro</w:t>
      </w:r>
      <w:r w:rsidRPr="0082680A">
        <w:rPr>
          <w:lang w:val="en-GB"/>
        </w:rPr>
        <w:t>.</w:t>
      </w:r>
    </w:p>
    <w:p w14:paraId="2A34024E" w14:textId="28493EB5" w:rsidR="003B206E" w:rsidRPr="0082680A" w:rsidRDefault="003B206E" w:rsidP="00FB7F9E">
      <w:pPr>
        <w:rPr>
          <w:lang w:val="en-GB"/>
        </w:rPr>
      </w:pPr>
    </w:p>
    <w:p w14:paraId="5B3C1D17" w14:textId="6C982302" w:rsidR="004566CE" w:rsidRPr="0082680A" w:rsidRDefault="003C3578">
      <w:pPr>
        <w:rPr>
          <w:lang w:val="en-GB"/>
        </w:rPr>
      </w:pPr>
      <w:r w:rsidRPr="0082680A">
        <w:rPr>
          <w:lang w:val="en-GB"/>
        </w:rPr>
        <w:lastRenderedPageBreak/>
        <w:t xml:space="preserve">If, as we believe, these candidates represent upstream drivers of phenotypes, they may also have the potential to be prognostic. Testing </w:t>
      </w:r>
      <w:r w:rsidR="004566CE" w:rsidRPr="0082680A">
        <w:rPr>
          <w:lang w:val="en-GB"/>
        </w:rPr>
        <w:t>prognostic ability</w:t>
      </w:r>
      <w:r w:rsidRPr="0082680A">
        <w:rPr>
          <w:lang w:val="en-GB"/>
        </w:rPr>
        <w:t xml:space="preserve"> would require </w:t>
      </w:r>
      <w:r w:rsidR="004566CE" w:rsidRPr="0082680A">
        <w:rPr>
          <w:lang w:val="en-GB"/>
        </w:rPr>
        <w:t>data</w:t>
      </w:r>
      <w:r w:rsidRPr="0082680A">
        <w:rPr>
          <w:lang w:val="en-GB"/>
        </w:rPr>
        <w:t xml:space="preserve"> which we do not currently have access to</w:t>
      </w:r>
      <w:r w:rsidR="004566CE" w:rsidRPr="0082680A">
        <w:rPr>
          <w:lang w:val="en-GB"/>
        </w:rPr>
        <w:t>, however considering the failure rates of current prognostic signatures, this could be an exciting application of the output of our pipeline</w:t>
      </w:r>
      <w:r w:rsidRPr="0082680A">
        <w:rPr>
          <w:lang w:val="en-GB"/>
        </w:rPr>
        <w:t>.</w:t>
      </w:r>
      <w:r w:rsidR="000462F7" w:rsidRPr="0082680A">
        <w:rPr>
          <w:lang w:val="en-GB"/>
        </w:rPr>
        <w:t xml:space="preserve"> </w:t>
      </w:r>
      <w:r w:rsidR="004566CE" w:rsidRPr="0082680A">
        <w:rPr>
          <w:lang w:val="en-GB"/>
        </w:rPr>
        <w:t>Another predictive application of o</w:t>
      </w:r>
      <w:r w:rsidR="003B206E" w:rsidRPr="0082680A">
        <w:rPr>
          <w:lang w:val="en-GB"/>
        </w:rPr>
        <w:t xml:space="preserve">ur signatures </w:t>
      </w:r>
      <w:r w:rsidR="004566CE" w:rsidRPr="0082680A">
        <w:rPr>
          <w:lang w:val="en-GB"/>
        </w:rPr>
        <w:t>would be</w:t>
      </w:r>
      <w:r w:rsidR="003B206E" w:rsidRPr="0082680A">
        <w:rPr>
          <w:lang w:val="en-GB"/>
        </w:rPr>
        <w:t xml:space="preserve"> </w:t>
      </w:r>
      <w:r w:rsidR="004566CE" w:rsidRPr="0082680A">
        <w:rPr>
          <w:lang w:val="en-GB"/>
        </w:rPr>
        <w:t>the prediction of</w:t>
      </w:r>
      <w:r w:rsidR="003B206E" w:rsidRPr="0082680A">
        <w:rPr>
          <w:lang w:val="en-GB"/>
        </w:rPr>
        <w:t xml:space="preserve"> </w:t>
      </w:r>
      <w:r w:rsidR="000462F7" w:rsidRPr="0082680A">
        <w:rPr>
          <w:lang w:val="en-GB"/>
        </w:rPr>
        <w:t>drug target candidates</w:t>
      </w:r>
      <w:r w:rsidR="003B206E" w:rsidRPr="0082680A">
        <w:rPr>
          <w:lang w:val="en-GB"/>
        </w:rPr>
        <w:t xml:space="preserve">. A number of methodologies are beginning to be revealed which use signatures to predict </w:t>
      </w:r>
      <w:r w:rsidR="00DA1BAA" w:rsidRPr="0082680A">
        <w:rPr>
          <w:lang w:val="en-GB"/>
        </w:rPr>
        <w:t xml:space="preserve">drug candidates. </w:t>
      </w:r>
      <w:r w:rsidR="008F64FC" w:rsidRPr="0082680A">
        <w:rPr>
          <w:lang w:val="en-GB"/>
        </w:rPr>
        <w:t xml:space="preserve">Some, like the </w:t>
      </w:r>
      <w:r w:rsidR="007F4999" w:rsidRPr="0082680A">
        <w:rPr>
          <w:lang w:val="en-GB"/>
        </w:rPr>
        <w:t>L1000CDS</w:t>
      </w:r>
      <w:r w:rsidR="007F4999" w:rsidRPr="0082680A">
        <w:rPr>
          <w:vertAlign w:val="superscript"/>
          <w:lang w:val="en-GB"/>
        </w:rPr>
        <w:t>2</w:t>
      </w:r>
      <w:r w:rsidR="007F4999" w:rsidRPr="0082680A">
        <w:rPr>
          <w:lang w:val="en-GB"/>
        </w:rPr>
        <w:t xml:space="preserve"> </w:t>
      </w:r>
      <w:r w:rsidR="00B33E24" w:rsidRPr="0082680A">
        <w:rPr>
          <w:lang w:val="en-GB"/>
        </w:rPr>
        <w:t xml:space="preserve">platform developed by </w:t>
      </w:r>
      <w:r w:rsidR="00E56A1A" w:rsidRPr="0082680A">
        <w:rPr>
          <w:lang w:val="en-GB"/>
        </w:rPr>
        <w:t xml:space="preserve">the National Institute of Health (NIH) </w:t>
      </w:r>
      <w:r w:rsidR="00D52FA8" w:rsidRPr="0082680A">
        <w:rPr>
          <w:lang w:val="en-GB"/>
        </w:rPr>
        <w:t>can take a</w:t>
      </w:r>
      <w:r w:rsidR="007F4999" w:rsidRPr="0082680A">
        <w:rPr>
          <w:lang w:val="en-GB"/>
        </w:rPr>
        <w:t xml:space="preserve"> gene expression</w:t>
      </w:r>
      <w:r w:rsidR="00D52FA8" w:rsidRPr="0082680A">
        <w:rPr>
          <w:lang w:val="en-GB"/>
        </w:rPr>
        <w:t xml:space="preserve"> signature to predict drug targets</w:t>
      </w:r>
      <w:r w:rsidR="007F4999" w:rsidRPr="0082680A">
        <w:rPr>
          <w:lang w:val="en-GB"/>
        </w:rPr>
        <w:t xml:space="preserve"> </w:t>
      </w:r>
      <w:r w:rsidR="007F4999" w:rsidRPr="0082680A">
        <w:rPr>
          <w:lang w:val="en-GB"/>
        </w:rPr>
        <w:fldChar w:fldCharType="begin" w:fldLock="1"/>
      </w:r>
      <w:r w:rsidR="000507BA">
        <w:rPr>
          <w:lang w:val="en-GB"/>
        </w:rPr>
        <w:instrText>ADDIN CSL_CITATION {"citationItems":[{"id":"ITEM-1","itemData":{"DOI":"10.1038/npjsba.2016.15","ISSN":"2056-7189","abstract":"A new search engine can help scientists identify small molecules that will alter gene expression patterns in human cells. The resource, known as L1000CDS2, can also predict drug targets for some 20,000 compounds. A US team led by Avi Ma’ayan from the Icahn School of Medicine at Mount Sinai developed the search engine, which improves previous methods for interrogating chemicals in the LINCS L1000 database, a large library of compound-induced gene expression signatures. As a proof-of-principle, the researchers used L1000CDS2 to identify a chemical called kenpaullone as a potential inhibitor of Ebola virus in human cells—a finding they confirmed in lab experiments. The authors suggest the search engine can aid in discovering new uses for old drugs, plus help predict candidate agents for many complex diseases.","author":[{"dropping-particle":"","family":"Duan","given":"Qiaonan","non-dropping-particle":"","parse-names":false,"suffix":""},{"dropping-particle":"","family":"Reid","given":"St Patrick","non-dropping-particle":"","parse-names":false,"suffix":""},{"dropping-particle":"","family":"Clark","given":"Neil R","non-dropping-particle":"","parse-names":false,"suffix":""},{"dropping-particle":"","family":"Wang","given":"Zichen","non-dropping-particle":"","parse-names":false,"suffix":""},{"dropping-particle":"","family":"Fernandez","given":"Nicolas F","non-dropping-particle":"","parse-names":false,"suffix":""},{"dropping-particle":"","family":"Rouillard","given":"Andrew D","non-dropping-particle":"","parse-names":false,"suffix":""},{"dropping-particle":"","family":"Readhead","given":"Ben","non-dropping-particle":"","parse-names":false,"suffix":""},{"dropping-particle":"","family":"Tritsch","given":"Sarah R","non-dropping-particle":"","parse-names":false,"suffix":""},{"dropping-particle":"","family":"Hodos","given":"Rachel","non-dropping-particle":"","parse-names":false,"suffix":""},{"dropping-particle":"","family":"Hafner","given":"Marc","non-dropping-particle":"","parse-names":false,"suffix":""},{"dropping-particle":"","family":"Niepel","given":"Mario","non-dropping-particle":"","parse-names":false,"suffix":""},{"dropping-particle":"","family":"Sorger","given":"Peter K","non-dropping-particle":"","parse-names":false,"suffix":""},{"dropping-particle":"","family":"Dudley","given":"Joel T","non-dropping-particle":"","parse-names":false,"suffix":""},{"dropping-particle":"","family":"Bavari","given":"Sina","non-dropping-particle":"","parse-names":false,"suffix":""},{"dropping-particle":"","family":"Panchal","given":"Rekha G","non-dropping-particle":"","parse-names":false,"suffix":""},{"dropping-particle":"","family":"Ma’ayan","given":"Avi","non-dropping-particle":"","parse-names":false,"suffix":""}],"container-title":"npj Systems Biology and Applications","id":"ITEM-1","issue":"1","issued":{"date-parts":[["2016","12","4"]]},"page":"16015","publisher":"Nature Publishing Group","title":"L1000CDS2: LINCS L1000 characteristic direction signatures search engine","type":"article-journal","volume":"2"},"uris":["http://www.mendeley.com/documents/?uuid=73e39942-3187-3f8c-827e-141cefd0c2ff"]}],"mendeley":{"formattedCitation":"&lt;sup&gt;452&lt;/sup&gt;","plainTextFormattedCitation":"452","previouslyFormattedCitation":"&lt;sup&gt;452&lt;/sup&gt;"},"properties":{"noteIndex":0},"schema":"https://github.com/citation-style-language/schema/raw/master/csl-citation.json"}</w:instrText>
      </w:r>
      <w:r w:rsidR="007F4999" w:rsidRPr="0082680A">
        <w:rPr>
          <w:lang w:val="en-GB"/>
        </w:rPr>
        <w:fldChar w:fldCharType="separate"/>
      </w:r>
      <w:r w:rsidR="00426B19" w:rsidRPr="00426B19">
        <w:rPr>
          <w:noProof/>
          <w:vertAlign w:val="superscript"/>
          <w:lang w:val="en-GB"/>
        </w:rPr>
        <w:t>452</w:t>
      </w:r>
      <w:r w:rsidR="007F4999" w:rsidRPr="0082680A">
        <w:rPr>
          <w:lang w:val="en-GB"/>
        </w:rPr>
        <w:fldChar w:fldCharType="end"/>
      </w:r>
      <w:r w:rsidR="00D52FA8" w:rsidRPr="0082680A">
        <w:rPr>
          <w:lang w:val="en-GB"/>
        </w:rPr>
        <w:t xml:space="preserve">. </w:t>
      </w:r>
      <w:r w:rsidR="00DF3FF9" w:rsidRPr="0082680A">
        <w:rPr>
          <w:lang w:val="en-GB"/>
        </w:rPr>
        <w:t>A</w:t>
      </w:r>
      <w:r w:rsidR="00D52FA8" w:rsidRPr="0082680A">
        <w:rPr>
          <w:lang w:val="en-GB"/>
        </w:rPr>
        <w:t xml:space="preserve"> platform developed within the Hide Lab </w:t>
      </w:r>
      <w:r w:rsidR="00DF3FF9" w:rsidRPr="0082680A">
        <w:rPr>
          <w:lang w:val="en-GB"/>
        </w:rPr>
        <w:t xml:space="preserve">has been built to </w:t>
      </w:r>
      <w:r w:rsidR="00D52FA8" w:rsidRPr="0082680A">
        <w:rPr>
          <w:lang w:val="en-GB"/>
        </w:rPr>
        <w:t>achieve</w:t>
      </w:r>
      <w:r w:rsidR="001F415A" w:rsidRPr="0082680A">
        <w:rPr>
          <w:lang w:val="en-GB"/>
        </w:rPr>
        <w:t xml:space="preserve"> a similar outcome, with a heavier focus on dysregulation at the pathway level</w:t>
      </w:r>
      <w:r w:rsidR="00DF3FF9" w:rsidRPr="0082680A">
        <w:rPr>
          <w:lang w:val="en-GB"/>
        </w:rPr>
        <w:t xml:space="preserve"> </w:t>
      </w:r>
      <w:r w:rsidR="00DF3FF9" w:rsidRPr="0082680A">
        <w:rPr>
          <w:lang w:val="en-GB"/>
        </w:rPr>
        <w:fldChar w:fldCharType="begin" w:fldLock="1"/>
      </w:r>
      <w:r w:rsidR="000507BA">
        <w:rPr>
          <w:lang w:val="en-GB"/>
        </w:rPr>
        <w:instrText>ADDIN CSL_CITATION {"citationItems":[{"id":"ITEM-1","itemData":{"DOI":"10.15252/msb.20177998","ISSN":"1744-4292","PMID":"29773677","abstract":"Attempts to develop drugs that address sepsis based on leads developed in animal models have failed. We sought to identify leads based on human data by exploiting a natural experiment: the relative resistance of children to mortality from severe infections and sepsis. Using public datasets, we identified key differences in pathway activity (Pathprint) in blood transcriptome profiles of septic adults and children. To find drugs that could promote beneficial (child) pathways or inhibit harmful (adult) ones, we built an in silico pathway drug network (PDN) using expression correlation between drug, disease, and pathway gene signatures across 58,475 microarrays. Specific pathway clusters from children or adults were assessed for correlation with drug-based signatures. Validation by literature curation and by direct testing in an endotoxemia model of murine sepsis of the most correlated drug candidates demonstrated that the Pathprint-PDN methodology is more effective at generating positive drug leads than gene-level methods (e.g., CMap). Pathway-centric Pathprint-PDN is a powerful new way to identify drug candidates for intervention against sepsis and provides direct insight into pathways that may determine survival.","author":[{"dropping-particle":"","family":"Joachim","given":"Rose B","non-dropping-particle":"","parse-names":false,"suffix":""},{"dropping-particle":"","family":"Altschuler","given":"Gabriel M","non-dropping-particle":"","parse-names":false,"suffix":""},{"dropping-particle":"","family":"Hutchinson","given":"John N","non-dropping-particle":"","parse-names":false,"suffix":""},{"dropping-particle":"","family":"Wong","given":"Hector R","non-dropping-particle":"","parse-names":false,"suffix":""},{"dropping-particle":"","family":"Hide","given":"Winston A","non-dropping-particle":"","parse-names":false,"suffix":""},{"dropping-particle":"","family":"Kobzik","given":"Lester","non-dropping-particle":"","parse-names":false,"suffix":""}],"container-title":"Molecular systems biology","id":"ITEM-1","issue":"5","issued":{"date-parts":[["2018","5","17"]]},"page":"e7998","publisher":"EMBO Press","title":"The relative resistance of children to sepsis mortality: from pathways to drug candidates.","type":"article-journal","volume":"14"},"uris":["http://www.mendeley.com/documents/?uuid=3b6e7fe6-ff02-3584-a6f2-64db24b18ed2"]}],"mendeley":{"formattedCitation":"&lt;sup&gt;462&lt;/sup&gt;","plainTextFormattedCitation":"462","previouslyFormattedCitation":"&lt;sup&gt;461&lt;/sup&gt;"},"properties":{"noteIndex":0},"schema":"https://github.com/citation-style-language/schema/raw/master/csl-citation.json"}</w:instrText>
      </w:r>
      <w:r w:rsidR="00DF3FF9" w:rsidRPr="0082680A">
        <w:rPr>
          <w:lang w:val="en-GB"/>
        </w:rPr>
        <w:fldChar w:fldCharType="separate"/>
      </w:r>
      <w:r w:rsidR="000507BA" w:rsidRPr="000507BA">
        <w:rPr>
          <w:noProof/>
          <w:vertAlign w:val="superscript"/>
          <w:lang w:val="en-GB"/>
        </w:rPr>
        <w:t>462</w:t>
      </w:r>
      <w:r w:rsidR="00DF3FF9" w:rsidRPr="0082680A">
        <w:rPr>
          <w:lang w:val="en-GB"/>
        </w:rPr>
        <w:fldChar w:fldCharType="end"/>
      </w:r>
      <w:r w:rsidR="001F415A" w:rsidRPr="0082680A">
        <w:rPr>
          <w:lang w:val="en-GB"/>
        </w:rPr>
        <w:t xml:space="preserve">. </w:t>
      </w:r>
      <w:r w:rsidR="004566CE" w:rsidRPr="0082680A">
        <w:rPr>
          <w:lang w:val="en-GB"/>
        </w:rPr>
        <w:t>If we are able to demonstrate our signatures’ abilities to predict known drugs –as could be possible in arthritis – we may also be able to identify novel drugs which score highly in these predictions.</w:t>
      </w:r>
    </w:p>
    <w:p w14:paraId="065E9D3D" w14:textId="76C2E581" w:rsidR="004566CE" w:rsidRPr="0082680A" w:rsidRDefault="004566CE">
      <w:pPr>
        <w:rPr>
          <w:lang w:val="en-GB"/>
        </w:rPr>
      </w:pPr>
    </w:p>
    <w:p w14:paraId="2DEB767B" w14:textId="7B07B22D" w:rsidR="004566CE" w:rsidRPr="0082680A" w:rsidRDefault="004566CE">
      <w:pPr>
        <w:rPr>
          <w:lang w:val="en-GB"/>
        </w:rPr>
      </w:pPr>
      <w:r w:rsidRPr="0082680A">
        <w:rPr>
          <w:lang w:val="en-GB"/>
        </w:rPr>
        <w:t xml:space="preserve">In summary, not only has our approach achieved the majority of aims and objectives set out at its inception, we have subsequently found it to possess more than one string to its bow; as well as deciphering the core contributors to elusive phenotypes, we have identified a number of opportunities for its application in population genetics, in drug discovery, and possibly also in prognosis. In the Introduction we described many obstacles facing </w:t>
      </w:r>
      <w:r w:rsidR="00E06098">
        <w:rPr>
          <w:lang w:val="en-GB"/>
        </w:rPr>
        <w:t>successful treatment of complex diseases,</w:t>
      </w:r>
      <w:r w:rsidRPr="0082680A">
        <w:rPr>
          <w:lang w:val="en-GB"/>
        </w:rPr>
        <w:t xml:space="preserve"> however with methodologies such as the one developed here at our disposal, </w:t>
      </w:r>
      <w:r w:rsidR="00E06098">
        <w:rPr>
          <w:lang w:val="en-GB"/>
        </w:rPr>
        <w:t>these treatments</w:t>
      </w:r>
      <w:r w:rsidRPr="0082680A">
        <w:rPr>
          <w:lang w:val="en-GB"/>
        </w:rPr>
        <w:t xml:space="preserve"> may not be as far away as once thought.</w:t>
      </w:r>
    </w:p>
    <w:p w14:paraId="43F16CDD" w14:textId="1EFAA699" w:rsidR="00F86D49" w:rsidRPr="0082680A" w:rsidRDefault="00F86D49">
      <w:pPr>
        <w:rPr>
          <w:lang w:val="en-GB"/>
        </w:rPr>
      </w:pPr>
      <w:r w:rsidRPr="0082680A">
        <w:rPr>
          <w:lang w:val="en-GB"/>
        </w:rPr>
        <w:br w:type="page"/>
      </w:r>
    </w:p>
    <w:p w14:paraId="53AC824A" w14:textId="1BB6C9F6" w:rsidR="00F72F37" w:rsidRPr="0082680A" w:rsidRDefault="00AF0B4A" w:rsidP="00F72F37">
      <w:pPr>
        <w:pStyle w:val="Heading1"/>
        <w:numPr>
          <w:ilvl w:val="0"/>
          <w:numId w:val="5"/>
        </w:numPr>
        <w:ind w:left="0"/>
        <w:rPr>
          <w:lang w:val="en-GB"/>
        </w:rPr>
      </w:pPr>
      <w:bookmarkStart w:id="403" w:name="_Toc530736471"/>
      <w:bookmarkStart w:id="404" w:name="_Toc3211459"/>
      <w:r>
        <w:rPr>
          <w:noProof/>
          <w:lang w:val="en-GB"/>
        </w:rPr>
        <w:lastRenderedPageBreak/>
        <mc:AlternateContent>
          <mc:Choice Requires="wps">
            <w:drawing>
              <wp:anchor distT="0" distB="0" distL="114300" distR="114300" simplePos="0" relativeHeight="251702272" behindDoc="0" locked="0" layoutInCell="1" allowOverlap="1" wp14:anchorId="54649047" wp14:editId="7C172999">
                <wp:simplePos x="0" y="0"/>
                <wp:positionH relativeFrom="column">
                  <wp:posOffset>541827</wp:posOffset>
                </wp:positionH>
                <wp:positionV relativeFrom="paragraph">
                  <wp:posOffset>433705</wp:posOffset>
                </wp:positionV>
                <wp:extent cx="247135" cy="28420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565B878F" w14:textId="6775AF47" w:rsidR="00C2072C" w:rsidRPr="00AF0B4A" w:rsidRDefault="00C2072C">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649047" id="Text Box 41" o:spid="_x0000_s1039" type="#_x0000_t202" style="position:absolute;left:0;text-align:left;margin-left:42.65pt;margin-top:34.15pt;width:19.45pt;height:22.4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" fillcolor="white [3201]" stroked="f" strokeweight=".5pt">
                <v:textbox>
                  <w:txbxContent>
                    <w:p w14:paraId="565B878F" w14:textId="6775AF47" w:rsidR="00C2072C" w:rsidRPr="00AF0B4A" w:rsidRDefault="00C2072C">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F72F37" w:rsidRPr="0082680A">
        <w:rPr>
          <w:lang w:val="en-GB"/>
        </w:rPr>
        <w:t>Appendix</w:t>
      </w:r>
      <w:bookmarkEnd w:id="403"/>
      <w:bookmarkEnd w:id="404"/>
    </w:p>
    <w:p w14:paraId="1C0F372A" w14:textId="0EE2CC77" w:rsidR="00F72F37" w:rsidRPr="0082680A" w:rsidRDefault="00AF0B4A" w:rsidP="00EA697E">
      <w:pPr>
        <w:pStyle w:val="NoSpacing"/>
        <w:jc w:val="center"/>
        <w:rPr>
          <w:lang w:val="en-GB"/>
        </w:rPr>
      </w:pPr>
      <w:r>
        <w:rPr>
          <w:noProof/>
          <w:lang w:val="en-GB"/>
        </w:rPr>
        <mc:AlternateContent>
          <mc:Choice Requires="wps">
            <w:drawing>
              <wp:anchor distT="0" distB="0" distL="114300" distR="114300" simplePos="0" relativeHeight="251704320" behindDoc="0" locked="0" layoutInCell="1" allowOverlap="1" wp14:anchorId="6D899492" wp14:editId="2DCA98B8">
                <wp:simplePos x="0" y="0"/>
                <wp:positionH relativeFrom="column">
                  <wp:posOffset>534842</wp:posOffset>
                </wp:positionH>
                <wp:positionV relativeFrom="paragraph">
                  <wp:posOffset>2302510</wp:posOffset>
                </wp:positionV>
                <wp:extent cx="247135" cy="28420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77B051B2" w14:textId="599C5543" w:rsidR="00C2072C" w:rsidRPr="00AF0B4A" w:rsidRDefault="00C2072C" w:rsidP="00AF0B4A">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899492" id="Text Box 43" o:spid="_x0000_s1040" type="#_x0000_t202" style="position:absolute;left:0;text-align:left;margin-left:42.1pt;margin-top:181.3pt;width:19.45pt;height:22.4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" fillcolor="white [3201]" stroked="f" strokeweight=".5pt">
                <v:textbox>
                  <w:txbxContent>
                    <w:p w14:paraId="77B051B2" w14:textId="599C5543" w:rsidR="00C2072C" w:rsidRPr="00AF0B4A" w:rsidRDefault="00C2072C" w:rsidP="00AF0B4A">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00F72F37" w:rsidRPr="0082680A">
        <w:rPr>
          <w:noProof/>
          <w:lang w:val="en-GB"/>
        </w:rPr>
        <w:drawing>
          <wp:inline distT="0" distB="0" distL="0" distR="0" wp14:anchorId="79D4BD4E" wp14:editId="22475090">
            <wp:extent cx="3489435" cy="2336530"/>
            <wp:effectExtent l="0" t="0" r="317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9_PCA.pdf"/>
                    <pic:cNvPicPr/>
                  </pic:nvPicPr>
                  <pic:blipFill rotWithShape="1">
                    <a:blip r:embed="rId171">
                      <a:extLst>
                        <a:ext uri="{28A0092B-C50C-407E-A947-70E740481C1C}">
                          <a14:useLocalDpi xmlns:a14="http://schemas.microsoft.com/office/drawing/2010/main" val="0"/>
                        </a:ext>
                      </a:extLst>
                    </a:blip>
                    <a:srcRect l="-1" t="7855" r="2402" b="2287"/>
                    <a:stretch/>
                  </pic:blipFill>
                  <pic:spPr bwMode="auto">
                    <a:xfrm>
                      <a:off x="0" y="0"/>
                      <a:ext cx="3508950" cy="2349597"/>
                    </a:xfrm>
                    <a:prstGeom prst="rect">
                      <a:avLst/>
                    </a:prstGeom>
                    <a:ln>
                      <a:noFill/>
                    </a:ln>
                    <a:extLst>
                      <a:ext uri="{53640926-AAD7-44D8-BBD7-CCE9431645EC}">
                        <a14:shadowObscured xmlns:a14="http://schemas.microsoft.com/office/drawing/2010/main"/>
                      </a:ext>
                    </a:extLst>
                  </pic:spPr>
                </pic:pic>
              </a:graphicData>
            </a:graphic>
          </wp:inline>
        </w:drawing>
      </w:r>
    </w:p>
    <w:p w14:paraId="0EC3F76A" w14:textId="2FA49297" w:rsidR="00F72F37" w:rsidRPr="0082680A" w:rsidRDefault="00AF0B4A" w:rsidP="00EA697E">
      <w:pPr>
        <w:pStyle w:val="NoSpacing"/>
        <w:jc w:val="center"/>
        <w:rPr>
          <w:lang w:val="en-GB"/>
        </w:rPr>
      </w:pPr>
      <w:r>
        <w:rPr>
          <w:noProof/>
          <w:lang w:val="en-GB"/>
        </w:rPr>
        <mc:AlternateContent>
          <mc:Choice Requires="wps">
            <w:drawing>
              <wp:anchor distT="0" distB="0" distL="114300" distR="114300" simplePos="0" relativeHeight="251706368" behindDoc="0" locked="0" layoutInCell="1" allowOverlap="1" wp14:anchorId="594981AF" wp14:editId="5798758F">
                <wp:simplePos x="0" y="0"/>
                <wp:positionH relativeFrom="column">
                  <wp:posOffset>535082</wp:posOffset>
                </wp:positionH>
                <wp:positionV relativeFrom="paragraph">
                  <wp:posOffset>2295903</wp:posOffset>
                </wp:positionV>
                <wp:extent cx="247135" cy="28420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3EB49491" w14:textId="140B6732" w:rsidR="00C2072C" w:rsidRPr="00AF0B4A" w:rsidRDefault="00C2072C" w:rsidP="00AF0B4A">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4981AF" id="Text Box 44" o:spid="_x0000_s1041" type="#_x0000_t202" style="position:absolute;left:0;text-align:left;margin-left:42.15pt;margin-top:180.8pt;width:19.45pt;height:22.4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" fillcolor="white [3201]" stroked="f" strokeweight=".5pt">
                <v:textbox>
                  <w:txbxContent>
                    <w:p w14:paraId="3EB49491" w14:textId="140B6732" w:rsidR="00C2072C" w:rsidRPr="00AF0B4A" w:rsidRDefault="00C2072C" w:rsidP="00AF0B4A">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58466F64" wp14:editId="05EC430A">
            <wp:extent cx="3578773" cy="2294999"/>
            <wp:effectExtent l="0" t="0" r="3175"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9_Boxplot.pdf"/>
                    <pic:cNvPicPr/>
                  </pic:nvPicPr>
                  <pic:blipFill rotWithShape="1">
                    <a:blip r:embed="rId172" cstate="print">
                      <a:extLst>
                        <a:ext uri="{28A0092B-C50C-407E-A947-70E740481C1C}">
                          <a14:useLocalDpi xmlns:a14="http://schemas.microsoft.com/office/drawing/2010/main" val="0"/>
                        </a:ext>
                      </a:extLst>
                    </a:blip>
                    <a:srcRect t="9574" r="3216" b="2656"/>
                    <a:stretch/>
                  </pic:blipFill>
                  <pic:spPr bwMode="auto">
                    <a:xfrm>
                      <a:off x="0" y="0"/>
                      <a:ext cx="3602927" cy="2310488"/>
                    </a:xfrm>
                    <a:prstGeom prst="rect">
                      <a:avLst/>
                    </a:prstGeom>
                    <a:ln>
                      <a:noFill/>
                    </a:ln>
                    <a:extLst>
                      <a:ext uri="{53640926-AAD7-44D8-BBD7-CCE9431645EC}">
                        <a14:shadowObscured xmlns:a14="http://schemas.microsoft.com/office/drawing/2010/main"/>
                      </a:ext>
                    </a:extLst>
                  </pic:spPr>
                </pic:pic>
              </a:graphicData>
            </a:graphic>
          </wp:inline>
        </w:drawing>
      </w:r>
    </w:p>
    <w:p w14:paraId="529790E1" w14:textId="13E66ECA" w:rsidR="00F72F37" w:rsidRDefault="00F72F37" w:rsidP="00EA697E">
      <w:pPr>
        <w:pStyle w:val="NoSpacing"/>
        <w:jc w:val="center"/>
        <w:rPr>
          <w:lang w:val="en-GB"/>
        </w:rPr>
      </w:pPr>
      <w:r w:rsidRPr="0082680A">
        <w:rPr>
          <w:noProof/>
          <w:lang w:val="en-GB"/>
        </w:rPr>
        <w:drawing>
          <wp:inline distT="0" distB="0" distL="0" distR="0" wp14:anchorId="3A6CF7AB" wp14:editId="0A3508F0">
            <wp:extent cx="3473669" cy="21367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9_Cluster.pdf"/>
                    <pic:cNvPicPr/>
                  </pic:nvPicPr>
                  <pic:blipFill rotWithShape="1">
                    <a:blip r:embed="rId173">
                      <a:extLst>
                        <a:ext uri="{28A0092B-C50C-407E-A947-70E740481C1C}">
                          <a14:useLocalDpi xmlns:a14="http://schemas.microsoft.com/office/drawing/2010/main" val="0"/>
                        </a:ext>
                      </a:extLst>
                    </a:blip>
                    <a:srcRect t="6286" r="4222" b="10441"/>
                    <a:stretch/>
                  </pic:blipFill>
                  <pic:spPr bwMode="auto">
                    <a:xfrm>
                      <a:off x="0" y="0"/>
                      <a:ext cx="3503084" cy="2154812"/>
                    </a:xfrm>
                    <a:prstGeom prst="rect">
                      <a:avLst/>
                    </a:prstGeom>
                    <a:ln>
                      <a:noFill/>
                    </a:ln>
                    <a:extLst>
                      <a:ext uri="{53640926-AAD7-44D8-BBD7-CCE9431645EC}">
                        <a14:shadowObscured xmlns:a14="http://schemas.microsoft.com/office/drawing/2010/main"/>
                      </a:ext>
                    </a:extLst>
                  </pic:spPr>
                </pic:pic>
              </a:graphicData>
            </a:graphic>
          </wp:inline>
        </w:drawing>
      </w:r>
    </w:p>
    <w:p w14:paraId="699C7A9B" w14:textId="77777777" w:rsidR="00EA697E" w:rsidRPr="0082680A" w:rsidRDefault="00EA697E" w:rsidP="00EA697E">
      <w:pPr>
        <w:pStyle w:val="NoSpacing"/>
        <w:jc w:val="center"/>
        <w:rPr>
          <w:lang w:val="en-GB"/>
        </w:rPr>
      </w:pPr>
    </w:p>
    <w:p w14:paraId="41D09ADF" w14:textId="155C3DF5" w:rsidR="00F72F37" w:rsidRPr="0082680A" w:rsidRDefault="00F72F37" w:rsidP="00EA697E">
      <w:pPr>
        <w:pStyle w:val="Caption"/>
        <w:rPr>
          <w:lang w:val="en-GB"/>
        </w:rPr>
      </w:pPr>
      <w:bookmarkStart w:id="405" w:name="_Toc3226022"/>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1</w:t>
      </w:r>
      <w:r w:rsidR="00F45096" w:rsidRPr="0082680A">
        <w:rPr>
          <w:noProof/>
          <w:lang w:val="en-GB"/>
        </w:rPr>
        <w:fldChar w:fldCharType="end"/>
      </w:r>
      <w:r w:rsidRPr="0082680A">
        <w:rPr>
          <w:lang w:val="en-GB"/>
        </w:rPr>
        <w:t xml:space="preserve">: </w:t>
      </w:r>
      <w:r w:rsidRPr="007E3613">
        <w:rPr>
          <w:lang w:val="en-GB"/>
        </w:rPr>
        <w:t>Quality control results for GSE68605</w:t>
      </w:r>
      <w:r w:rsidR="007E3613">
        <w:rPr>
          <w:lang w:val="en-GB"/>
        </w:rPr>
        <w:t>. A</w:t>
      </w:r>
      <w:r w:rsidR="007E3613">
        <w:rPr>
          <w:b w:val="0"/>
          <w:lang w:val="en-GB"/>
        </w:rPr>
        <w:t xml:space="preserve"> </w:t>
      </w:r>
      <w:proofErr w:type="gramStart"/>
      <w:r w:rsidR="007E3613">
        <w:rPr>
          <w:b w:val="0"/>
          <w:lang w:val="en-GB"/>
        </w:rPr>
        <w:t>shows</w:t>
      </w:r>
      <w:proofErr w:type="gramEnd"/>
      <w:r w:rsidR="007E3613">
        <w:rPr>
          <w:b w:val="0"/>
          <w:lang w:val="en-GB"/>
        </w:rPr>
        <w:t xml:space="preserve"> a PCA plot of all samples. </w:t>
      </w:r>
      <w:r w:rsidR="007E3613">
        <w:rPr>
          <w:lang w:val="en-GB"/>
        </w:rPr>
        <w:t>B</w:t>
      </w:r>
      <w:r w:rsidR="007E3613">
        <w:rPr>
          <w:b w:val="0"/>
          <w:lang w:val="en-GB"/>
        </w:rPr>
        <w:t xml:space="preserve"> shows a boxplot of the log2 expression of the genes in each sample. </w:t>
      </w:r>
      <w:r w:rsidR="007E3613">
        <w:rPr>
          <w:lang w:val="en-GB"/>
        </w:rPr>
        <w:t>C</w:t>
      </w:r>
      <w:r w:rsidR="007E3613">
        <w:rPr>
          <w:b w:val="0"/>
          <w:lang w:val="en-GB"/>
        </w:rPr>
        <w:t xml:space="preserve"> shows an unsupervised clustering dendrogram of all samples. All expression is non-normalised. Orange indicates patients, turquoise indicates controls.</w:t>
      </w:r>
      <w:bookmarkEnd w:id="405"/>
      <w:r w:rsidRPr="0082680A">
        <w:rPr>
          <w:lang w:val="en-GB"/>
        </w:rPr>
        <w:br w:type="page"/>
      </w:r>
    </w:p>
    <w:p w14:paraId="236409F8" w14:textId="10A4F24A" w:rsidR="00F72F37" w:rsidRPr="0082680A" w:rsidRDefault="00236AFB" w:rsidP="00A96286">
      <w:pPr>
        <w:pStyle w:val="NoSpacing"/>
        <w:jc w:val="center"/>
        <w:rPr>
          <w:lang w:val="en-GB"/>
        </w:rPr>
      </w:pPr>
      <w:r>
        <w:rPr>
          <w:noProof/>
          <w:lang w:val="en-GB"/>
        </w:rPr>
        <w:lastRenderedPageBreak/>
        <mc:AlternateContent>
          <mc:Choice Requires="wps">
            <w:drawing>
              <wp:anchor distT="0" distB="0" distL="114300" distR="114300" simplePos="0" relativeHeight="251803648" behindDoc="0" locked="0" layoutInCell="1" allowOverlap="1" wp14:anchorId="04CD16C2" wp14:editId="74488B2D">
                <wp:simplePos x="0" y="0"/>
                <wp:positionH relativeFrom="column">
                  <wp:posOffset>958683</wp:posOffset>
                </wp:positionH>
                <wp:positionV relativeFrom="paragraph">
                  <wp:posOffset>1917633</wp:posOffset>
                </wp:positionV>
                <wp:extent cx="438484" cy="267369"/>
                <wp:effectExtent l="0" t="0" r="19050" b="12065"/>
                <wp:wrapNone/>
                <wp:docPr id="179" name="Rectangle 179"/>
                <wp:cNvGraphicFramePr/>
                <a:graphic xmlns:a="http://schemas.openxmlformats.org/drawingml/2006/main">
                  <a:graphicData uri="http://schemas.microsoft.com/office/word/2010/wordprocessingShape">
                    <wps:wsp>
                      <wps:cNvSpPr/>
                      <wps:spPr>
                        <a:xfrm>
                          <a:off x="0" y="0"/>
                          <a:ext cx="438484" cy="267369"/>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C73DB" id="Rectangle 179" o:spid="_x0000_s1026" style="position:absolute;margin-left:75.5pt;margin-top:151pt;width:34.55pt;height:21.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" filled="f" strokecolor="#5f497a [2407]"/>
            </w:pict>
          </mc:Fallback>
        </mc:AlternateContent>
      </w:r>
      <w:r w:rsidR="00AF0B4A" w:rsidRPr="00AF0B4A">
        <w:rPr>
          <w:noProof/>
          <w:lang w:val="en-GB"/>
        </w:rPr>
        <mc:AlternateContent>
          <mc:Choice Requires="wps">
            <w:drawing>
              <wp:anchor distT="0" distB="0" distL="114300" distR="114300" simplePos="0" relativeHeight="251713536" behindDoc="0" locked="0" layoutInCell="1" allowOverlap="1" wp14:anchorId="6E074683" wp14:editId="53940C21">
                <wp:simplePos x="0" y="0"/>
                <wp:positionH relativeFrom="column">
                  <wp:posOffset>438150</wp:posOffset>
                </wp:positionH>
                <wp:positionV relativeFrom="paragraph">
                  <wp:posOffset>2468073</wp:posOffset>
                </wp:positionV>
                <wp:extent cx="247015" cy="28384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18F6FA0F" w14:textId="77777777" w:rsidR="00C2072C" w:rsidRPr="00AF0B4A" w:rsidRDefault="00C2072C" w:rsidP="00AF0B4A">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74683" id="Text Box 54" o:spid="_x0000_s1042" type="#_x0000_t202" style="position:absolute;left:0;text-align:left;margin-left:34.5pt;margin-top:194.35pt;width:19.45pt;height:22.3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" fillcolor="white [3201]" stroked="f" strokeweight=".5pt">
                <v:textbox>
                  <w:txbxContent>
                    <w:p w14:paraId="18F6FA0F" w14:textId="77777777" w:rsidR="00C2072C" w:rsidRPr="00AF0B4A" w:rsidRDefault="00C2072C" w:rsidP="00AF0B4A">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00AF0B4A" w:rsidRPr="00AF0B4A">
        <w:rPr>
          <w:noProof/>
          <w:lang w:val="en-GB"/>
        </w:rPr>
        <mc:AlternateContent>
          <mc:Choice Requires="wps">
            <w:drawing>
              <wp:anchor distT="0" distB="0" distL="114300" distR="114300" simplePos="0" relativeHeight="251712512" behindDoc="0" locked="0" layoutInCell="1" allowOverlap="1" wp14:anchorId="4199E653" wp14:editId="6CCBD666">
                <wp:simplePos x="0" y="0"/>
                <wp:positionH relativeFrom="column">
                  <wp:posOffset>445135</wp:posOffset>
                </wp:positionH>
                <wp:positionV relativeFrom="paragraph">
                  <wp:posOffset>42545</wp:posOffset>
                </wp:positionV>
                <wp:extent cx="247015" cy="28384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1D969135" w14:textId="77777777" w:rsidR="00C2072C" w:rsidRPr="00AF0B4A" w:rsidRDefault="00C2072C" w:rsidP="00AF0B4A">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9E653" id="Text Box 53" o:spid="_x0000_s1043" type="#_x0000_t202" style="position:absolute;left:0;text-align:left;margin-left:35.05pt;margin-top:3.35pt;width:19.45pt;height:22.3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" fillcolor="white [3201]" stroked="f" strokeweight=".5pt">
                <v:textbox>
                  <w:txbxContent>
                    <w:p w14:paraId="1D969135" w14:textId="77777777" w:rsidR="00C2072C" w:rsidRPr="00AF0B4A" w:rsidRDefault="00C2072C" w:rsidP="00AF0B4A">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F72F37" w:rsidRPr="0082680A">
        <w:rPr>
          <w:noProof/>
          <w:lang w:val="en-GB"/>
        </w:rPr>
        <w:drawing>
          <wp:inline distT="0" distB="0" distL="0" distR="0" wp14:anchorId="757A5115" wp14:editId="5C9B7D47">
            <wp:extent cx="3657600" cy="250317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TLD_PCA.pdf"/>
                    <pic:cNvPicPr/>
                  </pic:nvPicPr>
                  <pic:blipFill rotWithShape="1">
                    <a:blip r:embed="rId174">
                      <a:extLst>
                        <a:ext uri="{28A0092B-C50C-407E-A947-70E740481C1C}">
                          <a14:useLocalDpi xmlns:a14="http://schemas.microsoft.com/office/drawing/2010/main" val="0"/>
                        </a:ext>
                      </a:extLst>
                    </a:blip>
                    <a:srcRect t="8631" r="2904"/>
                    <a:stretch/>
                  </pic:blipFill>
                  <pic:spPr bwMode="auto">
                    <a:xfrm>
                      <a:off x="0" y="0"/>
                      <a:ext cx="3658313" cy="2503658"/>
                    </a:xfrm>
                    <a:prstGeom prst="rect">
                      <a:avLst/>
                    </a:prstGeom>
                    <a:ln>
                      <a:noFill/>
                    </a:ln>
                    <a:extLst>
                      <a:ext uri="{53640926-AAD7-44D8-BBD7-CCE9431645EC}">
                        <a14:shadowObscured xmlns:a14="http://schemas.microsoft.com/office/drawing/2010/main"/>
                      </a:ext>
                    </a:extLst>
                  </pic:spPr>
                </pic:pic>
              </a:graphicData>
            </a:graphic>
          </wp:inline>
        </w:drawing>
      </w:r>
    </w:p>
    <w:p w14:paraId="4F0CABAD" w14:textId="4406D453" w:rsidR="00F72F37" w:rsidRDefault="00236AFB" w:rsidP="00A96286">
      <w:pPr>
        <w:pStyle w:val="NoSpacing"/>
        <w:jc w:val="center"/>
        <w:rPr>
          <w:lang w:val="en-GB"/>
        </w:rPr>
      </w:pPr>
      <w:r>
        <w:rPr>
          <w:noProof/>
          <w:lang w:val="en-GB"/>
        </w:rPr>
        <mc:AlternateContent>
          <mc:Choice Requires="wps">
            <w:drawing>
              <wp:anchor distT="0" distB="0" distL="114300" distR="114300" simplePos="0" relativeHeight="251807744" behindDoc="0" locked="0" layoutInCell="1" allowOverlap="1" wp14:anchorId="74621189" wp14:editId="5D25A44D">
                <wp:simplePos x="0" y="0"/>
                <wp:positionH relativeFrom="column">
                  <wp:posOffset>976396</wp:posOffset>
                </wp:positionH>
                <wp:positionV relativeFrom="paragraph">
                  <wp:posOffset>4026502</wp:posOffset>
                </wp:positionV>
                <wp:extent cx="138697" cy="560471"/>
                <wp:effectExtent l="0" t="0" r="13970" b="11430"/>
                <wp:wrapNone/>
                <wp:docPr id="181" name="Rectangle 181"/>
                <wp:cNvGraphicFramePr/>
                <a:graphic xmlns:a="http://schemas.openxmlformats.org/drawingml/2006/main">
                  <a:graphicData uri="http://schemas.microsoft.com/office/word/2010/wordprocessingShape">
                    <wps:wsp>
                      <wps:cNvSpPr/>
                      <wps:spPr>
                        <a:xfrm>
                          <a:off x="0" y="0"/>
                          <a:ext cx="138697" cy="56047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5E974" id="Rectangle 181" o:spid="_x0000_s1026" style="position:absolute;margin-left:76.9pt;margin-top:317.05pt;width:10.9pt;height:44.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" filled="f" strokecolor="#5f497a [2407]"/>
            </w:pict>
          </mc:Fallback>
        </mc:AlternateContent>
      </w:r>
      <w:r>
        <w:rPr>
          <w:noProof/>
          <w:lang w:val="en-GB"/>
        </w:rPr>
        <mc:AlternateContent>
          <mc:Choice Requires="wps">
            <w:drawing>
              <wp:anchor distT="0" distB="0" distL="114300" distR="114300" simplePos="0" relativeHeight="251805696" behindDoc="0" locked="0" layoutInCell="1" allowOverlap="1" wp14:anchorId="16DFB0FC" wp14:editId="2736F842">
                <wp:simplePos x="0" y="0"/>
                <wp:positionH relativeFrom="column">
                  <wp:posOffset>1744745</wp:posOffset>
                </wp:positionH>
                <wp:positionV relativeFrom="paragraph">
                  <wp:posOffset>1601537</wp:posOffset>
                </wp:positionV>
                <wp:extent cx="138697" cy="560471"/>
                <wp:effectExtent l="0" t="0" r="13970" b="11430"/>
                <wp:wrapNone/>
                <wp:docPr id="180" name="Rectangle 180"/>
                <wp:cNvGraphicFramePr/>
                <a:graphic xmlns:a="http://schemas.openxmlformats.org/drawingml/2006/main">
                  <a:graphicData uri="http://schemas.microsoft.com/office/word/2010/wordprocessingShape">
                    <wps:wsp>
                      <wps:cNvSpPr/>
                      <wps:spPr>
                        <a:xfrm>
                          <a:off x="0" y="0"/>
                          <a:ext cx="138697" cy="56047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7D28F474" w14:textId="02DEC808" w:rsidR="00C2072C" w:rsidRPr="00066B5A" w:rsidRDefault="00C2072C" w:rsidP="00066B5A">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FB0FC" id="Rectangle 180" o:spid="_x0000_s1044" style="position:absolute;left:0;text-align:left;margin-left:137.4pt;margin-top:126.1pt;width:10.9pt;height:44.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" filled="f" strokecolor="#5f497a [2407]">
                <v:textbox>
                  <w:txbxContent>
                    <w:p w14:paraId="7D28F474" w14:textId="02DEC808" w:rsidR="00C2072C" w:rsidRPr="00066B5A" w:rsidRDefault="00C2072C" w:rsidP="00066B5A">
                      <w:pPr>
                        <w:jc w:val="center"/>
                        <w:rPr>
                          <w:lang w:val="en-US"/>
                        </w:rPr>
                      </w:pPr>
                      <w:r>
                        <w:rPr>
                          <w:lang w:val="en-US"/>
                        </w:rPr>
                        <w:t xml:space="preserve"> </w:t>
                      </w:r>
                    </w:p>
                  </w:txbxContent>
                </v:textbox>
              </v:rect>
            </w:pict>
          </mc:Fallback>
        </mc:AlternateContent>
      </w:r>
      <w:r w:rsidR="00AF0B4A" w:rsidRPr="00AF0B4A">
        <w:rPr>
          <w:noProof/>
          <w:lang w:val="en-GB"/>
        </w:rPr>
        <mc:AlternateContent>
          <mc:Choice Requires="wps">
            <w:drawing>
              <wp:anchor distT="0" distB="0" distL="114300" distR="114300" simplePos="0" relativeHeight="251714560" behindDoc="0" locked="0" layoutInCell="1" allowOverlap="1" wp14:anchorId="49F3B4A2" wp14:editId="3F4159AB">
                <wp:simplePos x="0" y="0"/>
                <wp:positionH relativeFrom="column">
                  <wp:posOffset>438150</wp:posOffset>
                </wp:positionH>
                <wp:positionV relativeFrom="paragraph">
                  <wp:posOffset>2311863</wp:posOffset>
                </wp:positionV>
                <wp:extent cx="247015" cy="28384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21BDFEF7" w14:textId="77777777" w:rsidR="00C2072C" w:rsidRPr="00AF0B4A" w:rsidRDefault="00C2072C" w:rsidP="00AF0B4A">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F3B4A2" id="Text Box 56" o:spid="_x0000_s1045" type="#_x0000_t202" style="position:absolute;left:0;text-align:left;margin-left:34.5pt;margin-top:182.05pt;width:19.45pt;height:22.3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" fillcolor="white [3201]" stroked="f" strokeweight=".5pt">
                <v:textbox>
                  <w:txbxContent>
                    <w:p w14:paraId="21BDFEF7" w14:textId="77777777" w:rsidR="00C2072C" w:rsidRPr="00AF0B4A" w:rsidRDefault="00C2072C" w:rsidP="00AF0B4A">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4E78D179" wp14:editId="613F23EB">
            <wp:extent cx="3633044" cy="2307021"/>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TLD_Boxplot.pdf"/>
                    <pic:cNvPicPr/>
                  </pic:nvPicPr>
                  <pic:blipFill rotWithShape="1">
                    <a:blip r:embed="rId175" cstate="print">
                      <a:extLst>
                        <a:ext uri="{28A0092B-C50C-407E-A947-70E740481C1C}">
                          <a14:useLocalDpi xmlns:a14="http://schemas.microsoft.com/office/drawing/2010/main" val="0"/>
                        </a:ext>
                      </a:extLst>
                    </a:blip>
                    <a:srcRect l="1308" t="10692" r="3876" b="4164"/>
                    <a:stretch/>
                  </pic:blipFill>
                  <pic:spPr bwMode="auto">
                    <a:xfrm>
                      <a:off x="0" y="0"/>
                      <a:ext cx="3640000" cy="2311438"/>
                    </a:xfrm>
                    <a:prstGeom prst="rect">
                      <a:avLst/>
                    </a:prstGeom>
                    <a:ln>
                      <a:noFill/>
                    </a:ln>
                    <a:extLst>
                      <a:ext uri="{53640926-AAD7-44D8-BBD7-CCE9431645EC}">
                        <a14:shadowObscured xmlns:a14="http://schemas.microsoft.com/office/drawing/2010/main"/>
                      </a:ext>
                    </a:extLst>
                  </pic:spPr>
                </pic:pic>
              </a:graphicData>
            </a:graphic>
          </wp:inline>
        </w:drawing>
      </w:r>
      <w:r w:rsidR="00F72F37" w:rsidRPr="00A96286">
        <w:rPr>
          <w:noProof/>
        </w:rPr>
        <w:drawing>
          <wp:inline distT="0" distB="0" distL="0" distR="0" wp14:anchorId="4B7EBB4D" wp14:editId="68C41B18">
            <wp:extent cx="3641572" cy="2358860"/>
            <wp:effectExtent l="0" t="0" r="3810"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TLD_Cluster.pdf"/>
                    <pic:cNvPicPr/>
                  </pic:nvPicPr>
                  <pic:blipFill rotWithShape="1">
                    <a:blip r:embed="rId176">
                      <a:extLst>
                        <a:ext uri="{28A0092B-C50C-407E-A947-70E740481C1C}">
                          <a14:useLocalDpi xmlns:a14="http://schemas.microsoft.com/office/drawing/2010/main" val="0"/>
                        </a:ext>
                      </a:extLst>
                    </a:blip>
                    <a:srcRect l="2608" t="5430" r="2271" b="7480"/>
                    <a:stretch/>
                  </pic:blipFill>
                  <pic:spPr bwMode="auto">
                    <a:xfrm>
                      <a:off x="0" y="0"/>
                      <a:ext cx="3643862" cy="2360344"/>
                    </a:xfrm>
                    <a:prstGeom prst="rect">
                      <a:avLst/>
                    </a:prstGeom>
                    <a:ln>
                      <a:noFill/>
                    </a:ln>
                    <a:extLst>
                      <a:ext uri="{53640926-AAD7-44D8-BBD7-CCE9431645EC}">
                        <a14:shadowObscured xmlns:a14="http://schemas.microsoft.com/office/drawing/2010/main"/>
                      </a:ext>
                    </a:extLst>
                  </pic:spPr>
                </pic:pic>
              </a:graphicData>
            </a:graphic>
          </wp:inline>
        </w:drawing>
      </w:r>
    </w:p>
    <w:p w14:paraId="2DADAB3B" w14:textId="77777777" w:rsidR="00A96286" w:rsidRPr="0082680A" w:rsidRDefault="00A96286" w:rsidP="00A96286">
      <w:pPr>
        <w:pStyle w:val="NoSpacing"/>
        <w:jc w:val="center"/>
        <w:rPr>
          <w:lang w:val="en-GB"/>
        </w:rPr>
      </w:pPr>
    </w:p>
    <w:p w14:paraId="24170061" w14:textId="6F2BFE24" w:rsidR="00F72F37" w:rsidRPr="007E3613" w:rsidRDefault="00F72F37" w:rsidP="00A96286">
      <w:pPr>
        <w:pStyle w:val="Caption"/>
        <w:rPr>
          <w:b w:val="0"/>
          <w:lang w:val="en-GB"/>
        </w:rPr>
      </w:pPr>
      <w:bookmarkStart w:id="406" w:name="_Toc3226023"/>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2</w:t>
      </w:r>
      <w:r w:rsidR="00F45096" w:rsidRPr="0082680A">
        <w:rPr>
          <w:noProof/>
          <w:lang w:val="en-GB"/>
        </w:rPr>
        <w:fldChar w:fldCharType="end"/>
      </w:r>
      <w:r w:rsidRPr="0082680A">
        <w:rPr>
          <w:lang w:val="en-GB"/>
        </w:rPr>
        <w:t xml:space="preserve">: </w:t>
      </w:r>
      <w:r w:rsidRPr="007E3613">
        <w:rPr>
          <w:lang w:val="en-GB"/>
        </w:rPr>
        <w:t>Quality control for GSE13162</w:t>
      </w:r>
      <w:r w:rsidR="007E3613">
        <w:rPr>
          <w:lang w:val="en-GB"/>
        </w:rPr>
        <w:t>. A</w:t>
      </w:r>
      <w:r w:rsidR="007E3613">
        <w:rPr>
          <w:b w:val="0"/>
          <w:lang w:val="en-GB"/>
        </w:rPr>
        <w:t xml:space="preserve"> </w:t>
      </w:r>
      <w:proofErr w:type="gramStart"/>
      <w:r w:rsidR="007E3613">
        <w:rPr>
          <w:b w:val="0"/>
          <w:lang w:val="en-GB"/>
        </w:rPr>
        <w:t>shows</w:t>
      </w:r>
      <w:proofErr w:type="gramEnd"/>
      <w:r w:rsidR="007E3613">
        <w:rPr>
          <w:b w:val="0"/>
          <w:lang w:val="en-GB"/>
        </w:rPr>
        <w:t xml:space="preserve"> a PCA plot of all samples. </w:t>
      </w:r>
      <w:r w:rsidR="007E3613">
        <w:rPr>
          <w:lang w:val="en-GB"/>
        </w:rPr>
        <w:t>B</w:t>
      </w:r>
      <w:r w:rsidR="007E3613">
        <w:rPr>
          <w:b w:val="0"/>
          <w:lang w:val="en-GB"/>
        </w:rPr>
        <w:t xml:space="preserve"> shows a boxplot of the log2 expression of the genes in each sample. </w:t>
      </w:r>
      <w:r w:rsidR="007E3613">
        <w:rPr>
          <w:lang w:val="en-GB"/>
        </w:rPr>
        <w:t>C</w:t>
      </w:r>
      <w:r w:rsidR="007E3613">
        <w:rPr>
          <w:b w:val="0"/>
          <w:lang w:val="en-GB"/>
        </w:rPr>
        <w:t xml:space="preserve"> shows an unsupervised clustering dendrogram of all samples. All expression is non-normalised. Orange indicates patients, turquoise indicates controls</w:t>
      </w:r>
      <w:r w:rsidR="00236AFB">
        <w:rPr>
          <w:b w:val="0"/>
          <w:lang w:val="en-GB"/>
        </w:rPr>
        <w:t>. Box indicates removed sample.</w:t>
      </w:r>
      <w:bookmarkEnd w:id="406"/>
    </w:p>
    <w:p w14:paraId="40AAF0C7" w14:textId="44D895A9" w:rsidR="00F72F37" w:rsidRPr="0082680A" w:rsidRDefault="00F72F37" w:rsidP="00F72F37">
      <w:pPr>
        <w:jc w:val="center"/>
        <w:rPr>
          <w:i/>
          <w:iCs/>
          <w:lang w:val="en-GB"/>
        </w:rPr>
      </w:pPr>
    </w:p>
    <w:p w14:paraId="6C102A03" w14:textId="4252EF52" w:rsidR="00F72F37" w:rsidRPr="0082680A" w:rsidRDefault="00F72F37" w:rsidP="00F72F37">
      <w:pPr>
        <w:rPr>
          <w:lang w:val="en-GB"/>
        </w:rPr>
      </w:pPr>
    </w:p>
    <w:p w14:paraId="4328B884" w14:textId="0E841511" w:rsidR="00F72F37" w:rsidRPr="0082680A" w:rsidRDefault="00236AFB" w:rsidP="00A96286">
      <w:pPr>
        <w:pStyle w:val="NoSpacing"/>
        <w:jc w:val="center"/>
        <w:rPr>
          <w:lang w:val="en-GB"/>
        </w:rPr>
      </w:pPr>
      <w:r>
        <w:rPr>
          <w:noProof/>
          <w:lang w:val="en-GB"/>
        </w:rPr>
        <w:lastRenderedPageBreak/>
        <mc:AlternateContent>
          <mc:Choice Requires="wps">
            <w:drawing>
              <wp:anchor distT="0" distB="0" distL="114300" distR="114300" simplePos="0" relativeHeight="251809792" behindDoc="0" locked="0" layoutInCell="1" allowOverlap="1" wp14:anchorId="6592517B" wp14:editId="76B423EA">
                <wp:simplePos x="0" y="0"/>
                <wp:positionH relativeFrom="column">
                  <wp:posOffset>3862304</wp:posOffset>
                </wp:positionH>
                <wp:positionV relativeFrom="paragraph">
                  <wp:posOffset>623570</wp:posOffset>
                </wp:positionV>
                <wp:extent cx="398546" cy="192505"/>
                <wp:effectExtent l="0" t="0" r="8255" b="10795"/>
                <wp:wrapNone/>
                <wp:docPr id="221" name="Rectangle 221"/>
                <wp:cNvGraphicFramePr/>
                <a:graphic xmlns:a="http://schemas.openxmlformats.org/drawingml/2006/main">
                  <a:graphicData uri="http://schemas.microsoft.com/office/word/2010/wordprocessingShape">
                    <wps:wsp>
                      <wps:cNvSpPr/>
                      <wps:spPr>
                        <a:xfrm>
                          <a:off x="0" y="0"/>
                          <a:ext cx="398546" cy="192505"/>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2E458" id="Rectangle 221" o:spid="_x0000_s1026" style="position:absolute;margin-left:304.1pt;margin-top:49.1pt;width:31.4pt;height:15.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" filled="f" strokecolor="#5f497a [2407]"/>
            </w:pict>
          </mc:Fallback>
        </mc:AlternateContent>
      </w:r>
      <w:r w:rsidR="007E3613" w:rsidRPr="007E3613">
        <w:rPr>
          <w:noProof/>
          <w:lang w:val="en-GB"/>
        </w:rPr>
        <mc:AlternateContent>
          <mc:Choice Requires="wps">
            <w:drawing>
              <wp:anchor distT="0" distB="0" distL="114300" distR="114300" simplePos="0" relativeHeight="251720704" behindDoc="0" locked="0" layoutInCell="1" allowOverlap="1" wp14:anchorId="02122EE0" wp14:editId="42240E58">
                <wp:simplePos x="0" y="0"/>
                <wp:positionH relativeFrom="column">
                  <wp:posOffset>451828</wp:posOffset>
                </wp:positionH>
                <wp:positionV relativeFrom="paragraph">
                  <wp:posOffset>-635</wp:posOffset>
                </wp:positionV>
                <wp:extent cx="247135" cy="284205"/>
                <wp:effectExtent l="0" t="0" r="0" b="0"/>
                <wp:wrapNone/>
                <wp:docPr id="91" name="Text Box 91"/>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2C5190EC"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122EE0" id="Text Box 91" o:spid="_x0000_s1046" type="#_x0000_t202" style="position:absolute;left:0;text-align:left;margin-left:35.6pt;margin-top:-.05pt;width:19.45pt;height:22.4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" fillcolor="white [3201]" stroked="f" strokeweight=".5pt">
                <v:textbox>
                  <w:txbxContent>
                    <w:p w14:paraId="2C5190EC"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F72F37" w:rsidRPr="0082680A">
        <w:rPr>
          <w:noProof/>
          <w:lang w:val="en-GB"/>
        </w:rPr>
        <w:drawing>
          <wp:inline distT="0" distB="0" distL="0" distR="0" wp14:anchorId="160E1E9C" wp14:editId="69219121">
            <wp:extent cx="3489325" cy="2328042"/>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T_PCA.pdf"/>
                    <pic:cNvPicPr/>
                  </pic:nvPicPr>
                  <pic:blipFill rotWithShape="1">
                    <a:blip r:embed="rId177">
                      <a:extLst>
                        <a:ext uri="{28A0092B-C50C-407E-A947-70E740481C1C}">
                          <a14:useLocalDpi xmlns:a14="http://schemas.microsoft.com/office/drawing/2010/main" val="0"/>
                        </a:ext>
                      </a:extLst>
                    </a:blip>
                    <a:srcRect l="1" t="8851" r="2834" b="2010"/>
                    <a:stretch/>
                  </pic:blipFill>
                  <pic:spPr bwMode="auto">
                    <a:xfrm>
                      <a:off x="0" y="0"/>
                      <a:ext cx="3490553" cy="2328861"/>
                    </a:xfrm>
                    <a:prstGeom prst="rect">
                      <a:avLst/>
                    </a:prstGeom>
                    <a:ln>
                      <a:noFill/>
                    </a:ln>
                    <a:extLst>
                      <a:ext uri="{53640926-AAD7-44D8-BBD7-CCE9431645EC}">
                        <a14:shadowObscured xmlns:a14="http://schemas.microsoft.com/office/drawing/2010/main"/>
                      </a:ext>
                    </a:extLst>
                  </pic:spPr>
                </pic:pic>
              </a:graphicData>
            </a:graphic>
          </wp:inline>
        </w:drawing>
      </w:r>
    </w:p>
    <w:p w14:paraId="0C3B6A83" w14:textId="5AA15C34" w:rsidR="00F72F37" w:rsidRPr="00A12256" w:rsidRDefault="00236AFB" w:rsidP="00A96286">
      <w:pPr>
        <w:pStyle w:val="NoSpacing"/>
        <w:jc w:val="center"/>
        <w:rPr>
          <w:b/>
          <w:lang w:val="en-GB"/>
        </w:rPr>
      </w:pPr>
      <w:r>
        <w:rPr>
          <w:noProof/>
          <w:lang w:val="en-GB"/>
        </w:rPr>
        <mc:AlternateContent>
          <mc:Choice Requires="wps">
            <w:drawing>
              <wp:anchor distT="0" distB="0" distL="114300" distR="114300" simplePos="0" relativeHeight="251813888" behindDoc="0" locked="0" layoutInCell="1" allowOverlap="1" wp14:anchorId="3D1FEB5B" wp14:editId="4E927357">
                <wp:simplePos x="0" y="0"/>
                <wp:positionH relativeFrom="column">
                  <wp:posOffset>1773589</wp:posOffset>
                </wp:positionH>
                <wp:positionV relativeFrom="paragraph">
                  <wp:posOffset>1768442</wp:posOffset>
                </wp:positionV>
                <wp:extent cx="138697" cy="560471"/>
                <wp:effectExtent l="0" t="0" r="13970" b="11430"/>
                <wp:wrapNone/>
                <wp:docPr id="224" name="Rectangle 224"/>
                <wp:cNvGraphicFramePr/>
                <a:graphic xmlns:a="http://schemas.openxmlformats.org/drawingml/2006/main">
                  <a:graphicData uri="http://schemas.microsoft.com/office/word/2010/wordprocessingShape">
                    <wps:wsp>
                      <wps:cNvSpPr/>
                      <wps:spPr>
                        <a:xfrm>
                          <a:off x="0" y="0"/>
                          <a:ext cx="138697" cy="56047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5ECD2" id="Rectangle 224" o:spid="_x0000_s1026" style="position:absolute;margin-left:139.65pt;margin-top:139.25pt;width:10.9pt;height:44.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" filled="f" strokecolor="#5f497a [2407]"/>
            </w:pict>
          </mc:Fallback>
        </mc:AlternateContent>
      </w:r>
      <w:r w:rsidR="007E3613" w:rsidRPr="00A12256">
        <w:rPr>
          <w:b/>
          <w:noProof/>
          <w:lang w:val="en-GB"/>
        </w:rPr>
        <mc:AlternateContent>
          <mc:Choice Requires="wps">
            <w:drawing>
              <wp:anchor distT="0" distB="0" distL="114300" distR="114300" simplePos="0" relativeHeight="251721728" behindDoc="0" locked="0" layoutInCell="1" allowOverlap="1" wp14:anchorId="383EE423" wp14:editId="6A16B241">
                <wp:simplePos x="0" y="0"/>
                <wp:positionH relativeFrom="column">
                  <wp:posOffset>444500</wp:posOffset>
                </wp:positionH>
                <wp:positionV relativeFrom="paragraph">
                  <wp:posOffset>22225</wp:posOffset>
                </wp:positionV>
                <wp:extent cx="247015" cy="28384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503171EB"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3EE423" id="Text Box 95" o:spid="_x0000_s1047" type="#_x0000_t202" style="position:absolute;left:0;text-align:left;margin-left:35pt;margin-top:1.75pt;width:19.45pt;height:22.3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" fillcolor="white [3201]" stroked="f" strokeweight=".5pt">
                <v:textbox>
                  <w:txbxContent>
                    <w:p w14:paraId="503171EB"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00F72F37" w:rsidRPr="00A12256">
        <w:rPr>
          <w:b/>
          <w:noProof/>
          <w:lang w:val="en-GB"/>
        </w:rPr>
        <w:drawing>
          <wp:inline distT="0" distB="0" distL="0" distR="0" wp14:anchorId="708F7EEA" wp14:editId="44FF8842">
            <wp:extent cx="3646958" cy="2432599"/>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T_Boxplot.pdf"/>
                    <pic:cNvPicPr/>
                  </pic:nvPicPr>
                  <pic:blipFill rotWithShape="1">
                    <a:blip r:embed="rId178" cstate="print">
                      <a:extLst>
                        <a:ext uri="{28A0092B-C50C-407E-A947-70E740481C1C}">
                          <a14:useLocalDpi xmlns:a14="http://schemas.microsoft.com/office/drawing/2010/main" val="0"/>
                        </a:ext>
                      </a:extLst>
                    </a:blip>
                    <a:srcRect l="1365" t="10617" r="3876"/>
                    <a:stretch/>
                  </pic:blipFill>
                  <pic:spPr bwMode="auto">
                    <a:xfrm>
                      <a:off x="0" y="0"/>
                      <a:ext cx="3648647" cy="2433725"/>
                    </a:xfrm>
                    <a:prstGeom prst="rect">
                      <a:avLst/>
                    </a:prstGeom>
                    <a:ln>
                      <a:noFill/>
                    </a:ln>
                    <a:extLst>
                      <a:ext uri="{53640926-AAD7-44D8-BBD7-CCE9431645EC}">
                        <a14:shadowObscured xmlns:a14="http://schemas.microsoft.com/office/drawing/2010/main"/>
                      </a:ext>
                    </a:extLst>
                  </pic:spPr>
                </pic:pic>
              </a:graphicData>
            </a:graphic>
          </wp:inline>
        </w:drawing>
      </w:r>
    </w:p>
    <w:p w14:paraId="7FEE6A81" w14:textId="7AEFBFE3" w:rsidR="00F72F37" w:rsidRDefault="00236AFB" w:rsidP="00A96286">
      <w:pPr>
        <w:pStyle w:val="NoSpacing"/>
        <w:jc w:val="center"/>
        <w:rPr>
          <w:lang w:val="en-GB"/>
        </w:rPr>
      </w:pPr>
      <w:r>
        <w:rPr>
          <w:noProof/>
          <w:lang w:val="en-GB"/>
        </w:rPr>
        <mc:AlternateContent>
          <mc:Choice Requires="wps">
            <w:drawing>
              <wp:anchor distT="0" distB="0" distL="114300" distR="114300" simplePos="0" relativeHeight="251811840" behindDoc="0" locked="0" layoutInCell="1" allowOverlap="1" wp14:anchorId="5F187F19" wp14:editId="71280753">
                <wp:simplePos x="0" y="0"/>
                <wp:positionH relativeFrom="column">
                  <wp:posOffset>1051393</wp:posOffset>
                </wp:positionH>
                <wp:positionV relativeFrom="paragraph">
                  <wp:posOffset>1986915</wp:posOffset>
                </wp:positionV>
                <wp:extent cx="138697" cy="560471"/>
                <wp:effectExtent l="0" t="0" r="13970" b="11430"/>
                <wp:wrapNone/>
                <wp:docPr id="223" name="Rectangle 223"/>
                <wp:cNvGraphicFramePr/>
                <a:graphic xmlns:a="http://schemas.openxmlformats.org/drawingml/2006/main">
                  <a:graphicData uri="http://schemas.microsoft.com/office/word/2010/wordprocessingShape">
                    <wps:wsp>
                      <wps:cNvSpPr/>
                      <wps:spPr>
                        <a:xfrm>
                          <a:off x="0" y="0"/>
                          <a:ext cx="138697" cy="56047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3FBDA" id="Rectangle 223" o:spid="_x0000_s1026" style="position:absolute;margin-left:82.8pt;margin-top:156.45pt;width:10.9pt;height:44.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" filled="f" strokecolor="#5f497a [2407]"/>
            </w:pict>
          </mc:Fallback>
        </mc:AlternateContent>
      </w:r>
      <w:r w:rsidR="007E3613" w:rsidRPr="007E3613">
        <w:rPr>
          <w:noProof/>
          <w:lang w:val="en-GB"/>
        </w:rPr>
        <mc:AlternateContent>
          <mc:Choice Requires="wps">
            <w:drawing>
              <wp:anchor distT="0" distB="0" distL="114300" distR="114300" simplePos="0" relativeHeight="251722752" behindDoc="0" locked="0" layoutInCell="1" allowOverlap="1" wp14:anchorId="5216EAFC" wp14:editId="6BE519DA">
                <wp:simplePos x="0" y="0"/>
                <wp:positionH relativeFrom="column">
                  <wp:posOffset>444500</wp:posOffset>
                </wp:positionH>
                <wp:positionV relativeFrom="paragraph">
                  <wp:posOffset>37207</wp:posOffset>
                </wp:positionV>
                <wp:extent cx="247135" cy="284205"/>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13EC2974"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16EAFC" id="Text Box 101" o:spid="_x0000_s1048" type="#_x0000_t202" style="position:absolute;left:0;text-align:left;margin-left:35pt;margin-top:2.95pt;width:19.45pt;height:22.4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" fillcolor="white [3201]" stroked="f" strokeweight=".5pt">
                <v:textbox>
                  <w:txbxContent>
                    <w:p w14:paraId="13EC2974"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6FC6EF8A" wp14:editId="2B931A9E">
            <wp:extent cx="3510519" cy="264335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T_Cluster.pdf"/>
                    <pic:cNvPicPr/>
                  </pic:nvPicPr>
                  <pic:blipFill rotWithShape="1">
                    <a:blip r:embed="rId179">
                      <a:extLst>
                        <a:ext uri="{28A0092B-C50C-407E-A947-70E740481C1C}">
                          <a14:useLocalDpi xmlns:a14="http://schemas.microsoft.com/office/drawing/2010/main" val="0"/>
                        </a:ext>
                      </a:extLst>
                    </a:blip>
                    <a:srcRect l="3584" r="2458"/>
                    <a:stretch/>
                  </pic:blipFill>
                  <pic:spPr bwMode="auto">
                    <a:xfrm>
                      <a:off x="0" y="0"/>
                      <a:ext cx="3517951" cy="2648948"/>
                    </a:xfrm>
                    <a:prstGeom prst="rect">
                      <a:avLst/>
                    </a:prstGeom>
                    <a:ln>
                      <a:noFill/>
                    </a:ln>
                    <a:extLst>
                      <a:ext uri="{53640926-AAD7-44D8-BBD7-CCE9431645EC}">
                        <a14:shadowObscured xmlns:a14="http://schemas.microsoft.com/office/drawing/2010/main"/>
                      </a:ext>
                    </a:extLst>
                  </pic:spPr>
                </pic:pic>
              </a:graphicData>
            </a:graphic>
          </wp:inline>
        </w:drawing>
      </w:r>
    </w:p>
    <w:p w14:paraId="2848E5DD" w14:textId="77777777" w:rsidR="00A96286" w:rsidRPr="0082680A" w:rsidRDefault="00A96286" w:rsidP="00A96286">
      <w:pPr>
        <w:pStyle w:val="NoSpacing"/>
        <w:jc w:val="center"/>
        <w:rPr>
          <w:lang w:val="en-GB"/>
        </w:rPr>
      </w:pPr>
    </w:p>
    <w:p w14:paraId="5E71CCCD" w14:textId="030C8D94" w:rsidR="00F72F37" w:rsidRPr="00A12256" w:rsidRDefault="00F72F37" w:rsidP="00A96286">
      <w:pPr>
        <w:pStyle w:val="NoSpacing"/>
        <w:rPr>
          <w:lang w:val="en-GB"/>
        </w:rPr>
      </w:pPr>
      <w:bookmarkStart w:id="407" w:name="_Toc3226024"/>
      <w:r w:rsidRPr="007E3613">
        <w:rPr>
          <w:b/>
          <w:lang w:val="en-GB"/>
        </w:rPr>
        <w:t xml:space="preserve">Appendix Figure </w:t>
      </w:r>
      <w:r w:rsidR="00F45096" w:rsidRPr="007E3613">
        <w:rPr>
          <w:b/>
          <w:noProof/>
          <w:lang w:val="en-GB"/>
        </w:rPr>
        <w:fldChar w:fldCharType="begin"/>
      </w:r>
      <w:r w:rsidR="00F45096" w:rsidRPr="007E3613">
        <w:rPr>
          <w:b/>
          <w:noProof/>
          <w:lang w:val="en-GB"/>
        </w:rPr>
        <w:instrText xml:space="preserve"> SEQ Appendix_Figure \* ARABIC </w:instrText>
      </w:r>
      <w:r w:rsidR="00F45096" w:rsidRPr="007E3613">
        <w:rPr>
          <w:b/>
          <w:noProof/>
          <w:lang w:val="en-GB"/>
        </w:rPr>
        <w:fldChar w:fldCharType="separate"/>
      </w:r>
      <w:r w:rsidR="005B0AF1">
        <w:rPr>
          <w:b/>
          <w:noProof/>
          <w:lang w:val="en-GB"/>
        </w:rPr>
        <w:t>3</w:t>
      </w:r>
      <w:r w:rsidR="00F45096" w:rsidRPr="007E3613">
        <w:rPr>
          <w:b/>
          <w:noProof/>
          <w:lang w:val="en-GB"/>
        </w:rPr>
        <w:fldChar w:fldCharType="end"/>
      </w:r>
      <w:r w:rsidRPr="007E3613">
        <w:rPr>
          <w:b/>
          <w:lang w:val="en-GB"/>
        </w:rPr>
        <w:t>:</w:t>
      </w:r>
      <w:r w:rsidRPr="0082680A">
        <w:rPr>
          <w:lang w:val="en-GB"/>
        </w:rPr>
        <w:t xml:space="preserve"> </w:t>
      </w:r>
      <w:r w:rsidRPr="0082680A">
        <w:rPr>
          <w:b/>
          <w:lang w:val="en-GB"/>
        </w:rPr>
        <w:t>Quality control results for GSE67196</w:t>
      </w:r>
      <w:r w:rsidR="007E3613">
        <w:rPr>
          <w:b/>
          <w:lang w:val="en-GB"/>
        </w:rPr>
        <w:t xml:space="preserve">. </w:t>
      </w:r>
      <w:r w:rsidR="00A12256" w:rsidRPr="00A12256">
        <w:rPr>
          <w:b/>
          <w:lang w:val="en-GB"/>
        </w:rPr>
        <w:t>A</w:t>
      </w:r>
      <w:r w:rsidR="00A12256" w:rsidRPr="00A12256">
        <w:rPr>
          <w:lang w:val="en-GB"/>
        </w:rPr>
        <w:t xml:space="preserve"> </w:t>
      </w:r>
      <w:proofErr w:type="gramStart"/>
      <w:r w:rsidR="00A12256" w:rsidRPr="00A12256">
        <w:rPr>
          <w:lang w:val="en-GB"/>
        </w:rPr>
        <w:t>shows</w:t>
      </w:r>
      <w:proofErr w:type="gramEnd"/>
      <w:r w:rsidR="00A12256" w:rsidRPr="00A12256">
        <w:rPr>
          <w:lang w:val="en-GB"/>
        </w:rPr>
        <w:t xml:space="preserve"> a PCA plot of all samples. </w:t>
      </w:r>
      <w:r w:rsidR="00A12256" w:rsidRPr="00A12256">
        <w:rPr>
          <w:b/>
          <w:lang w:val="en-GB"/>
        </w:rPr>
        <w:t>B</w:t>
      </w:r>
      <w:r w:rsidR="00A12256" w:rsidRPr="00A12256">
        <w:rPr>
          <w:lang w:val="en-GB"/>
        </w:rPr>
        <w:t xml:space="preserve"> shows a boxplot of the log2 expression of the genes in each sample. </w:t>
      </w:r>
      <w:r w:rsidR="00A12256" w:rsidRPr="00A12256">
        <w:rPr>
          <w:b/>
          <w:lang w:val="en-GB"/>
        </w:rPr>
        <w:t>C</w:t>
      </w:r>
      <w:r w:rsidR="00A12256" w:rsidRPr="00A12256">
        <w:rPr>
          <w:lang w:val="en-GB"/>
        </w:rPr>
        <w:t xml:space="preserve"> shows an unsupervised clustering dendrogram of all samples. All expression is non-normalised. Orange indicates patients, turquoise indicates controls</w:t>
      </w:r>
      <w:r w:rsidR="00A12256">
        <w:rPr>
          <w:lang w:val="en-GB"/>
        </w:rPr>
        <w:t>.</w:t>
      </w:r>
      <w:r w:rsidR="00236AFB">
        <w:rPr>
          <w:lang w:val="en-GB"/>
        </w:rPr>
        <w:t xml:space="preserve"> Box indicates removed sample.</w:t>
      </w:r>
      <w:bookmarkEnd w:id="407"/>
    </w:p>
    <w:p w14:paraId="6246A984" w14:textId="77777777" w:rsidR="00F72F37" w:rsidRPr="0082680A" w:rsidRDefault="00F72F37" w:rsidP="00A96286">
      <w:pPr>
        <w:pStyle w:val="NoSpacing"/>
        <w:jc w:val="center"/>
        <w:rPr>
          <w:lang w:val="en-GB"/>
        </w:rPr>
      </w:pPr>
    </w:p>
    <w:p w14:paraId="4FFE4B33" w14:textId="2EED7EDF" w:rsidR="00F72F37" w:rsidRPr="0082680A" w:rsidRDefault="007E3613" w:rsidP="00A96286">
      <w:pPr>
        <w:pStyle w:val="NoSpacing"/>
        <w:jc w:val="center"/>
        <w:rPr>
          <w:lang w:val="en-GB"/>
        </w:rPr>
      </w:pPr>
      <w:r w:rsidRPr="007E3613">
        <w:rPr>
          <w:noProof/>
          <w:lang w:val="en-GB"/>
        </w:rPr>
        <w:lastRenderedPageBreak/>
        <mc:AlternateContent>
          <mc:Choice Requires="wps">
            <w:drawing>
              <wp:anchor distT="0" distB="0" distL="114300" distR="114300" simplePos="0" relativeHeight="251725824" behindDoc="0" locked="0" layoutInCell="1" allowOverlap="1" wp14:anchorId="490051B5" wp14:editId="6C29B73F">
                <wp:simplePos x="0" y="0"/>
                <wp:positionH relativeFrom="column">
                  <wp:posOffset>444500</wp:posOffset>
                </wp:positionH>
                <wp:positionV relativeFrom="paragraph">
                  <wp:posOffset>2362200</wp:posOffset>
                </wp:positionV>
                <wp:extent cx="247015" cy="283845"/>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6EC5F8B2"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0051B5" id="Text Box 103" o:spid="_x0000_s1049" type="#_x0000_t202" style="position:absolute;left:0;text-align:left;margin-left:35pt;margin-top:186pt;width:19.45pt;height:22.3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" fillcolor="white [3201]" stroked="f" strokeweight=".5pt">
                <v:textbox>
                  <w:txbxContent>
                    <w:p w14:paraId="6EC5F8B2"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7E3613">
        <w:rPr>
          <w:noProof/>
          <w:lang w:val="en-GB"/>
        </w:rPr>
        <mc:AlternateContent>
          <mc:Choice Requires="wps">
            <w:drawing>
              <wp:anchor distT="0" distB="0" distL="114300" distR="114300" simplePos="0" relativeHeight="251724800" behindDoc="0" locked="0" layoutInCell="1" allowOverlap="1" wp14:anchorId="0C0CEFE5" wp14:editId="047D1F1F">
                <wp:simplePos x="0" y="0"/>
                <wp:positionH relativeFrom="column">
                  <wp:posOffset>451828</wp:posOffset>
                </wp:positionH>
                <wp:positionV relativeFrom="paragraph">
                  <wp:posOffset>11722</wp:posOffset>
                </wp:positionV>
                <wp:extent cx="247135" cy="28420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7C002E7B"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0CEFE5" id="Text Box 102" o:spid="_x0000_s1050" type="#_x0000_t202" style="position:absolute;left:0;text-align:left;margin-left:35.6pt;margin-top:.9pt;width:19.45pt;height:22.4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" fillcolor="white [3201]" stroked="f" strokeweight=".5pt">
                <v:textbox>
                  <w:txbxContent>
                    <w:p w14:paraId="7C002E7B"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F72F37" w:rsidRPr="0082680A">
        <w:rPr>
          <w:noProof/>
          <w:lang w:val="en-GB"/>
        </w:rPr>
        <w:drawing>
          <wp:inline distT="0" distB="0" distL="0" distR="0" wp14:anchorId="64FA5E29" wp14:editId="19E943AD">
            <wp:extent cx="3531235" cy="2359573"/>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AV_PCA.pdf"/>
                    <pic:cNvPicPr/>
                  </pic:nvPicPr>
                  <pic:blipFill rotWithShape="1">
                    <a:blip r:embed="rId180">
                      <a:extLst>
                        <a:ext uri="{28A0092B-C50C-407E-A947-70E740481C1C}">
                          <a14:useLocalDpi xmlns:a14="http://schemas.microsoft.com/office/drawing/2010/main" val="0"/>
                        </a:ext>
                      </a:extLst>
                    </a:blip>
                    <a:srcRect t="8948" r="2805" b="1751"/>
                    <a:stretch/>
                  </pic:blipFill>
                  <pic:spPr bwMode="auto">
                    <a:xfrm>
                      <a:off x="0" y="0"/>
                      <a:ext cx="3532247" cy="2360249"/>
                    </a:xfrm>
                    <a:prstGeom prst="rect">
                      <a:avLst/>
                    </a:prstGeom>
                    <a:ln>
                      <a:noFill/>
                    </a:ln>
                    <a:extLst>
                      <a:ext uri="{53640926-AAD7-44D8-BBD7-CCE9431645EC}">
                        <a14:shadowObscured xmlns:a14="http://schemas.microsoft.com/office/drawing/2010/main"/>
                      </a:ext>
                    </a:extLst>
                  </pic:spPr>
                </pic:pic>
              </a:graphicData>
            </a:graphic>
          </wp:inline>
        </w:drawing>
      </w:r>
    </w:p>
    <w:p w14:paraId="0293020A" w14:textId="682903F5" w:rsidR="00F72F37" w:rsidRDefault="007E3613" w:rsidP="00A96286">
      <w:pPr>
        <w:pStyle w:val="NoSpacing"/>
        <w:jc w:val="center"/>
        <w:rPr>
          <w:lang w:val="en-GB"/>
        </w:rPr>
      </w:pPr>
      <w:r w:rsidRPr="007E3613">
        <w:rPr>
          <w:noProof/>
          <w:lang w:val="en-GB"/>
        </w:rPr>
        <mc:AlternateContent>
          <mc:Choice Requires="wps">
            <w:drawing>
              <wp:anchor distT="0" distB="0" distL="114300" distR="114300" simplePos="0" relativeHeight="251726848" behindDoc="0" locked="0" layoutInCell="1" allowOverlap="1" wp14:anchorId="6413223C" wp14:editId="106F0B43">
                <wp:simplePos x="0" y="0"/>
                <wp:positionH relativeFrom="column">
                  <wp:posOffset>444500</wp:posOffset>
                </wp:positionH>
                <wp:positionV relativeFrom="paragraph">
                  <wp:posOffset>2425666</wp:posOffset>
                </wp:positionV>
                <wp:extent cx="247015" cy="28384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010F9F5E"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13223C" id="Text Box 105" o:spid="_x0000_s1051" type="#_x0000_t202" style="position:absolute;left:0;text-align:left;margin-left:35pt;margin-top:191pt;width:19.45pt;height:22.3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" fillcolor="white [3201]" stroked="f" strokeweight=".5pt">
                <v:textbox>
                  <w:txbxContent>
                    <w:p w14:paraId="010F9F5E"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0A62F0EC" wp14:editId="3B985F76">
            <wp:extent cx="3598545" cy="2301766"/>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V_Boxplot.pdf"/>
                    <pic:cNvPicPr/>
                  </pic:nvPicPr>
                  <pic:blipFill rotWithShape="1">
                    <a:blip r:embed="rId181" cstate="print">
                      <a:extLst>
                        <a:ext uri="{28A0092B-C50C-407E-A947-70E740481C1C}">
                          <a14:useLocalDpi xmlns:a14="http://schemas.microsoft.com/office/drawing/2010/main" val="0"/>
                        </a:ext>
                      </a:extLst>
                    </a:blip>
                    <a:srcRect l="1660" t="10952" r="3609" b="3360"/>
                    <a:stretch/>
                  </pic:blipFill>
                  <pic:spPr bwMode="auto">
                    <a:xfrm>
                      <a:off x="0" y="0"/>
                      <a:ext cx="3600206" cy="2302828"/>
                    </a:xfrm>
                    <a:prstGeom prst="rect">
                      <a:avLst/>
                    </a:prstGeom>
                    <a:ln>
                      <a:noFill/>
                    </a:ln>
                    <a:extLst>
                      <a:ext uri="{53640926-AAD7-44D8-BBD7-CCE9431645EC}">
                        <a14:shadowObscured xmlns:a14="http://schemas.microsoft.com/office/drawing/2010/main"/>
                      </a:ext>
                    </a:extLst>
                  </pic:spPr>
                </pic:pic>
              </a:graphicData>
            </a:graphic>
          </wp:inline>
        </w:drawing>
      </w:r>
      <w:r w:rsidR="00F72F37" w:rsidRPr="0082680A">
        <w:rPr>
          <w:noProof/>
          <w:lang w:val="en-GB"/>
        </w:rPr>
        <w:drawing>
          <wp:inline distT="0" distB="0" distL="0" distR="0" wp14:anchorId="60B04922" wp14:editId="1DA73182">
            <wp:extent cx="3661470" cy="2406869"/>
            <wp:effectExtent l="0" t="0" r="0"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V_Cluster.pdf"/>
                    <pic:cNvPicPr/>
                  </pic:nvPicPr>
                  <pic:blipFill rotWithShape="1">
                    <a:blip r:embed="rId182">
                      <a:extLst>
                        <a:ext uri="{28A0092B-C50C-407E-A947-70E740481C1C}">
                          <a14:useLocalDpi xmlns:a14="http://schemas.microsoft.com/office/drawing/2010/main" val="0"/>
                        </a:ext>
                      </a:extLst>
                    </a:blip>
                    <a:srcRect l="3477" t="4716" r="3223" b="8596"/>
                    <a:stretch/>
                  </pic:blipFill>
                  <pic:spPr bwMode="auto">
                    <a:xfrm>
                      <a:off x="0" y="0"/>
                      <a:ext cx="3666135" cy="2409935"/>
                    </a:xfrm>
                    <a:prstGeom prst="rect">
                      <a:avLst/>
                    </a:prstGeom>
                    <a:ln>
                      <a:noFill/>
                    </a:ln>
                    <a:extLst>
                      <a:ext uri="{53640926-AAD7-44D8-BBD7-CCE9431645EC}">
                        <a14:shadowObscured xmlns:a14="http://schemas.microsoft.com/office/drawing/2010/main"/>
                      </a:ext>
                    </a:extLst>
                  </pic:spPr>
                </pic:pic>
              </a:graphicData>
            </a:graphic>
          </wp:inline>
        </w:drawing>
      </w:r>
    </w:p>
    <w:p w14:paraId="053E41A0" w14:textId="77777777" w:rsidR="00A96286" w:rsidRPr="0082680A" w:rsidRDefault="00A96286" w:rsidP="00A96286">
      <w:pPr>
        <w:pStyle w:val="NoSpacing"/>
        <w:jc w:val="center"/>
        <w:rPr>
          <w:lang w:val="en-GB"/>
        </w:rPr>
      </w:pPr>
    </w:p>
    <w:p w14:paraId="2684BD90" w14:textId="75F15822" w:rsidR="00F72F37" w:rsidRDefault="00F72F37" w:rsidP="00A96286">
      <w:pPr>
        <w:pStyle w:val="Caption"/>
        <w:rPr>
          <w:lang w:val="en-GB"/>
        </w:rPr>
      </w:pPr>
      <w:bookmarkStart w:id="408" w:name="_Toc3226025"/>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4</w:t>
      </w:r>
      <w:r w:rsidR="00F45096" w:rsidRPr="0082680A">
        <w:rPr>
          <w:noProof/>
          <w:lang w:val="en-GB"/>
        </w:rPr>
        <w:fldChar w:fldCharType="end"/>
      </w:r>
      <w:r w:rsidRPr="0082680A">
        <w:rPr>
          <w:lang w:val="en-GB"/>
        </w:rPr>
        <w:t xml:space="preserve">: </w:t>
      </w:r>
      <w:r w:rsidRPr="00A12256">
        <w:rPr>
          <w:lang w:val="en-GB"/>
        </w:rPr>
        <w:t>Quality control results for GSE6220</w:t>
      </w:r>
      <w:r w:rsidR="00A12256">
        <w:rPr>
          <w:lang w:val="en-GB"/>
        </w:rPr>
        <w:t>. 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08"/>
      <w:r w:rsidRPr="0082680A">
        <w:rPr>
          <w:lang w:val="en-GB"/>
        </w:rPr>
        <w:br w:type="page"/>
      </w:r>
    </w:p>
    <w:p w14:paraId="1C784907" w14:textId="77777777" w:rsidR="002C3F01" w:rsidRPr="00D60147" w:rsidRDefault="002C3F01" w:rsidP="002C3F01">
      <w:pPr>
        <w:rPr>
          <w:lang w:val="en-GB"/>
        </w:rPr>
      </w:pPr>
      <w:r w:rsidRPr="007E3613">
        <w:rPr>
          <w:noProof/>
          <w:lang w:val="en-GB"/>
        </w:rPr>
        <w:lastRenderedPageBreak/>
        <mc:AlternateContent>
          <mc:Choice Requires="wps">
            <w:drawing>
              <wp:anchor distT="0" distB="0" distL="114300" distR="114300" simplePos="0" relativeHeight="251829248" behindDoc="0" locked="0" layoutInCell="1" allowOverlap="1" wp14:anchorId="09A3D776" wp14:editId="5420E399">
                <wp:simplePos x="0" y="0"/>
                <wp:positionH relativeFrom="column">
                  <wp:posOffset>417767</wp:posOffset>
                </wp:positionH>
                <wp:positionV relativeFrom="paragraph">
                  <wp:posOffset>-92710</wp:posOffset>
                </wp:positionV>
                <wp:extent cx="247015" cy="233680"/>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32A55042"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A3D776" id="Text Box 255" o:spid="_x0000_s1052" type="#_x0000_t202" style="position:absolute;margin-left:32.9pt;margin-top:-7.3pt;width:19.45pt;height:18.4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" fillcolor="white [3201]" stroked="f" strokeweight=".5pt">
                <v:textbox>
                  <w:txbxContent>
                    <w:p w14:paraId="32A55042"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A</w:t>
                      </w:r>
                    </w:p>
                  </w:txbxContent>
                </v:textbox>
              </v:shape>
            </w:pict>
          </mc:Fallback>
        </mc:AlternateContent>
      </w:r>
      <w:r w:rsidRPr="00D60147">
        <w:rPr>
          <w:noProof/>
          <w:lang w:val="en-GB"/>
        </w:rPr>
        <w:drawing>
          <wp:anchor distT="0" distB="0" distL="114300" distR="114300" simplePos="0" relativeHeight="251816960" behindDoc="1" locked="0" layoutInCell="1" allowOverlap="1" wp14:anchorId="66DDB859" wp14:editId="62F6168E">
            <wp:simplePos x="0" y="0"/>
            <wp:positionH relativeFrom="column">
              <wp:posOffset>2742565</wp:posOffset>
            </wp:positionH>
            <wp:positionV relativeFrom="paragraph">
              <wp:posOffset>1905</wp:posOffset>
            </wp:positionV>
            <wp:extent cx="1852930" cy="1248410"/>
            <wp:effectExtent l="0" t="0" r="1270" b="0"/>
            <wp:wrapTight wrapText="bothSides">
              <wp:wrapPolygon edited="0">
                <wp:start x="0" y="0"/>
                <wp:lineTo x="0" y="21314"/>
                <wp:lineTo x="21467" y="21314"/>
                <wp:lineTo x="21467"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9_Boxplot.pdf"/>
                    <pic:cNvPicPr/>
                  </pic:nvPicPr>
                  <pic:blipFill rotWithShape="1">
                    <a:blip r:embed="rId183" cstate="print">
                      <a:extLst>
                        <a:ext uri="{28A0092B-C50C-407E-A947-70E740481C1C}">
                          <a14:useLocalDpi xmlns:a14="http://schemas.microsoft.com/office/drawing/2010/main" val="0"/>
                        </a:ext>
                      </a:extLst>
                    </a:blip>
                    <a:srcRect l="831" t="1107" b="4392"/>
                    <a:stretch/>
                  </pic:blipFill>
                  <pic:spPr bwMode="auto">
                    <a:xfrm>
                      <a:off x="0" y="0"/>
                      <a:ext cx="1852930" cy="1248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0147">
        <w:rPr>
          <w:noProof/>
          <w:lang w:val="en-GB"/>
        </w:rPr>
        <w:drawing>
          <wp:anchor distT="0" distB="0" distL="114300" distR="114300" simplePos="0" relativeHeight="251815936" behindDoc="1" locked="0" layoutInCell="1" allowOverlap="1" wp14:anchorId="15CC38D4" wp14:editId="56ACDE6D">
            <wp:simplePos x="0" y="0"/>
            <wp:positionH relativeFrom="column">
              <wp:posOffset>626745</wp:posOffset>
            </wp:positionH>
            <wp:positionV relativeFrom="paragraph">
              <wp:posOffset>1905</wp:posOffset>
            </wp:positionV>
            <wp:extent cx="2024380" cy="1257935"/>
            <wp:effectExtent l="0" t="0" r="0" b="0"/>
            <wp:wrapTight wrapText="bothSides">
              <wp:wrapPolygon edited="0">
                <wp:start x="0" y="0"/>
                <wp:lineTo x="0" y="21371"/>
                <wp:lineTo x="21410" y="21371"/>
                <wp:lineTo x="21410"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9_Boxplot.pdf"/>
                    <pic:cNvPicPr/>
                  </pic:nvPicPr>
                  <pic:blipFill rotWithShape="1">
                    <a:blip r:embed="rId184" cstate="print">
                      <a:extLst>
                        <a:ext uri="{28A0092B-C50C-407E-A947-70E740481C1C}">
                          <a14:useLocalDpi xmlns:a14="http://schemas.microsoft.com/office/drawing/2010/main" val="0"/>
                        </a:ext>
                      </a:extLst>
                    </a:blip>
                    <a:srcRect l="1" t="11417" r="3216" b="3499"/>
                    <a:stretch/>
                  </pic:blipFill>
                  <pic:spPr bwMode="auto">
                    <a:xfrm>
                      <a:off x="0" y="0"/>
                      <a:ext cx="2024380" cy="1257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964877"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5392" behindDoc="0" locked="0" layoutInCell="1" allowOverlap="1" wp14:anchorId="40DDEB64" wp14:editId="1C9C3578">
                <wp:simplePos x="0" y="0"/>
                <wp:positionH relativeFrom="column">
                  <wp:posOffset>4311967</wp:posOffset>
                </wp:positionH>
                <wp:positionV relativeFrom="paragraph">
                  <wp:posOffset>141225</wp:posOffset>
                </wp:positionV>
                <wp:extent cx="816489" cy="233680"/>
                <wp:effectExtent l="0" t="952" r="0" b="0"/>
                <wp:wrapNone/>
                <wp:docPr id="261" name="Text Box 261"/>
                <wp:cNvGraphicFramePr/>
                <a:graphic xmlns:a="http://schemas.openxmlformats.org/drawingml/2006/main">
                  <a:graphicData uri="http://schemas.microsoft.com/office/word/2010/wordprocessingShape">
                    <wps:wsp>
                      <wps:cNvSpPr txBox="1"/>
                      <wps:spPr>
                        <a:xfrm rot="16200000">
                          <a:off x="0" y="0"/>
                          <a:ext cx="816489" cy="233680"/>
                        </a:xfrm>
                        <a:prstGeom prst="rect">
                          <a:avLst/>
                        </a:prstGeom>
                        <a:solidFill>
                          <a:schemeClr val="lt1"/>
                        </a:solidFill>
                        <a:ln w="6350">
                          <a:noFill/>
                        </a:ln>
                      </wps:spPr>
                      <wps:txbx>
                        <w:txbxContent>
                          <w:p w14:paraId="53109452" w14:textId="77777777" w:rsidR="00C2072C" w:rsidRPr="00AF0B4A" w:rsidRDefault="00C2072C" w:rsidP="002C3F01">
                            <w:pPr>
                              <w:rPr>
                                <w:rFonts w:asciiTheme="majorHAnsi" w:hAnsiTheme="majorHAnsi" w:cstheme="majorHAnsi"/>
                                <w:lang w:val="en-US"/>
                              </w:rPr>
                            </w:pPr>
                            <w:r w:rsidRPr="0047553A">
                              <w:t>GSE68605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DEB64" id="Text Box 261" o:spid="_x0000_s1053" type="#_x0000_t202" style="position:absolute;margin-left:339.5pt;margin-top:11.1pt;width:64.3pt;height:18.4pt;rotation:-90;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" fillcolor="white [3201]" stroked="f" strokeweight=".5pt">
                <v:textbox>
                  <w:txbxContent>
                    <w:p w14:paraId="53109452" w14:textId="77777777" w:rsidR="00C2072C" w:rsidRPr="00AF0B4A" w:rsidRDefault="00C2072C" w:rsidP="002C3F01">
                      <w:pPr>
                        <w:rPr>
                          <w:rFonts w:asciiTheme="majorHAnsi" w:hAnsiTheme="majorHAnsi" w:cstheme="majorHAnsi"/>
                          <w:lang w:val="en-US"/>
                        </w:rPr>
                      </w:pPr>
                      <w:r w:rsidRPr="0047553A">
                        <w:t>GSE68605</w:t>
                      </w:r>
                    </w:p>
                  </w:txbxContent>
                </v:textbox>
              </v:shape>
            </w:pict>
          </mc:Fallback>
        </mc:AlternateContent>
      </w:r>
    </w:p>
    <w:p w14:paraId="1966DC8B" w14:textId="77777777" w:rsidR="002C3F01" w:rsidRDefault="002C3F01" w:rsidP="002C3F01">
      <w:pPr>
        <w:rPr>
          <w:lang w:val="en-GB"/>
        </w:rPr>
      </w:pPr>
    </w:p>
    <w:p w14:paraId="1A2775C6" w14:textId="77777777" w:rsidR="002C3F01" w:rsidRDefault="002C3F01" w:rsidP="002C3F01">
      <w:pPr>
        <w:rPr>
          <w:lang w:val="en-GB"/>
        </w:rPr>
      </w:pPr>
    </w:p>
    <w:p w14:paraId="76DDE606"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0272" behindDoc="0" locked="0" layoutInCell="1" allowOverlap="1" wp14:anchorId="2FBC03C7" wp14:editId="122C34A5">
                <wp:simplePos x="0" y="0"/>
                <wp:positionH relativeFrom="column">
                  <wp:posOffset>422847</wp:posOffset>
                </wp:positionH>
                <wp:positionV relativeFrom="paragraph">
                  <wp:posOffset>212090</wp:posOffset>
                </wp:positionV>
                <wp:extent cx="247015" cy="233680"/>
                <wp:effectExtent l="0" t="0" r="0" b="0"/>
                <wp:wrapNone/>
                <wp:docPr id="256" name="Text Box 256"/>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106795AA"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BC03C7" id="Text Box 256" o:spid="_x0000_s1054" type="#_x0000_t202" style="position:absolute;margin-left:33.3pt;margin-top:16.7pt;width:19.45pt;height:18.4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" fillcolor="white [3201]" stroked="f" strokeweight=".5pt">
                <v:textbox>
                  <w:txbxContent>
                    <w:p w14:paraId="106795AA"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p>
    <w:p w14:paraId="39CE5DC1" w14:textId="77777777" w:rsidR="002C3F01" w:rsidRDefault="002C3F01" w:rsidP="002C3F01">
      <w:pPr>
        <w:rPr>
          <w:lang w:val="en-GB"/>
        </w:rPr>
      </w:pPr>
      <w:r>
        <w:rPr>
          <w:noProof/>
          <w:lang w:val="en-GB"/>
        </w:rPr>
        <w:drawing>
          <wp:anchor distT="0" distB="0" distL="114300" distR="114300" simplePos="0" relativeHeight="251821056" behindDoc="1" locked="0" layoutInCell="1" allowOverlap="1" wp14:anchorId="52661E40" wp14:editId="32A36148">
            <wp:simplePos x="0" y="0"/>
            <wp:positionH relativeFrom="column">
              <wp:posOffset>661670</wp:posOffset>
            </wp:positionH>
            <wp:positionV relativeFrom="paragraph">
              <wp:posOffset>92710</wp:posOffset>
            </wp:positionV>
            <wp:extent cx="1986915" cy="1140460"/>
            <wp:effectExtent l="0" t="0" r="0" b="2540"/>
            <wp:wrapTight wrapText="bothSides">
              <wp:wrapPolygon edited="0">
                <wp:start x="0" y="0"/>
                <wp:lineTo x="0" y="21408"/>
                <wp:lineTo x="21400" y="21408"/>
                <wp:lineTo x="21400"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TDP_SALS_Boxplot.jpg"/>
                    <pic:cNvPicPr/>
                  </pic:nvPicPr>
                  <pic:blipFill rotWithShape="1">
                    <a:blip r:embed="rId185" cstate="print">
                      <a:extLst>
                        <a:ext uri="{28A0092B-C50C-407E-A947-70E740481C1C}">
                          <a14:useLocalDpi xmlns:a14="http://schemas.microsoft.com/office/drawing/2010/main" val="0"/>
                        </a:ext>
                      </a:extLst>
                    </a:blip>
                    <a:srcRect l="1060" t="10488" r="3704" b="12149"/>
                    <a:stretch/>
                  </pic:blipFill>
                  <pic:spPr bwMode="auto">
                    <a:xfrm>
                      <a:off x="0" y="0"/>
                      <a:ext cx="1986915" cy="1140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1313">
        <w:rPr>
          <w:i/>
          <w:noProof/>
        </w:rPr>
        <w:drawing>
          <wp:anchor distT="0" distB="0" distL="114300" distR="114300" simplePos="0" relativeHeight="251820032" behindDoc="1" locked="0" layoutInCell="1" allowOverlap="1" wp14:anchorId="40D7CD70" wp14:editId="31F12A10">
            <wp:simplePos x="0" y="0"/>
            <wp:positionH relativeFrom="column">
              <wp:posOffset>2736215</wp:posOffset>
            </wp:positionH>
            <wp:positionV relativeFrom="paragraph">
              <wp:posOffset>74832</wp:posOffset>
            </wp:positionV>
            <wp:extent cx="1866265" cy="1160145"/>
            <wp:effectExtent l="0" t="0" r="635" b="0"/>
            <wp:wrapTight wrapText="bothSides">
              <wp:wrapPolygon edited="0">
                <wp:start x="0" y="0"/>
                <wp:lineTo x="0" y="21281"/>
                <wp:lineTo x="21460" y="21281"/>
                <wp:lineTo x="2146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S_Boxplot.pdf"/>
                    <pic:cNvPicPr/>
                  </pic:nvPicPr>
                  <pic:blipFill rotWithShape="1">
                    <a:blip r:embed="rId186" cstate="print">
                      <a:extLst>
                        <a:ext uri="{28A0092B-C50C-407E-A947-70E740481C1C}">
                          <a14:useLocalDpi xmlns:a14="http://schemas.microsoft.com/office/drawing/2010/main" val="0"/>
                        </a:ext>
                      </a:extLst>
                    </a:blip>
                    <a:srcRect b="12020"/>
                    <a:stretch/>
                  </pic:blipFill>
                  <pic:spPr bwMode="auto">
                    <a:xfrm>
                      <a:off x="0" y="0"/>
                      <a:ext cx="1866265" cy="1160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EF8C68"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6416" behindDoc="0" locked="0" layoutInCell="1" allowOverlap="1" wp14:anchorId="0BE782A1" wp14:editId="4B8B13A8">
                <wp:simplePos x="0" y="0"/>
                <wp:positionH relativeFrom="column">
                  <wp:posOffset>4475543</wp:posOffset>
                </wp:positionH>
                <wp:positionV relativeFrom="paragraph">
                  <wp:posOffset>222885</wp:posOffset>
                </wp:positionV>
                <wp:extent cx="536481" cy="233680"/>
                <wp:effectExtent l="0" t="1270" r="0" b="0"/>
                <wp:wrapNone/>
                <wp:docPr id="262" name="Text Box 262"/>
                <wp:cNvGraphicFramePr/>
                <a:graphic xmlns:a="http://schemas.openxmlformats.org/drawingml/2006/main">
                  <a:graphicData uri="http://schemas.microsoft.com/office/word/2010/wordprocessingShape">
                    <wps:wsp>
                      <wps:cNvSpPr txBox="1"/>
                      <wps:spPr>
                        <a:xfrm rot="16200000">
                          <a:off x="0" y="0"/>
                          <a:ext cx="536481" cy="233680"/>
                        </a:xfrm>
                        <a:prstGeom prst="rect">
                          <a:avLst/>
                        </a:prstGeom>
                        <a:solidFill>
                          <a:schemeClr val="lt1"/>
                        </a:solidFill>
                        <a:ln w="6350">
                          <a:noFill/>
                        </a:ln>
                      </wps:spPr>
                      <wps:txbx>
                        <w:txbxContent>
                          <w:p w14:paraId="2692B582" w14:textId="77777777" w:rsidR="00C2072C" w:rsidRPr="0080727C" w:rsidRDefault="00C2072C" w:rsidP="002C3F01">
                            <w:pPr>
                              <w:rPr>
                                <w:rFonts w:asciiTheme="majorHAnsi" w:hAnsiTheme="majorHAnsi" w:cstheme="majorHAnsi"/>
                                <w:lang w:val="en-US"/>
                              </w:rPr>
                            </w:pPr>
                            <w:r>
                              <w:rPr>
                                <w:lang w:val="en-US"/>
                              </w:rPr>
                              <w:t>Kirby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782A1" id="Text Box 262" o:spid="_x0000_s1055" type="#_x0000_t202" style="position:absolute;margin-left:352.4pt;margin-top:17.55pt;width:42.25pt;height:18.4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" fillcolor="white [3201]" stroked="f" strokeweight=".5pt">
                <v:textbox>
                  <w:txbxContent>
                    <w:p w14:paraId="2692B582" w14:textId="77777777" w:rsidR="00C2072C" w:rsidRPr="0080727C" w:rsidRDefault="00C2072C" w:rsidP="002C3F01">
                      <w:pPr>
                        <w:rPr>
                          <w:rFonts w:asciiTheme="majorHAnsi" w:hAnsiTheme="majorHAnsi" w:cstheme="majorHAnsi"/>
                          <w:lang w:val="en-US"/>
                        </w:rPr>
                      </w:pPr>
                      <w:r>
                        <w:rPr>
                          <w:lang w:val="en-US"/>
                        </w:rPr>
                        <w:t>Kirby</w:t>
                      </w:r>
                    </w:p>
                  </w:txbxContent>
                </v:textbox>
              </v:shape>
            </w:pict>
          </mc:Fallback>
        </mc:AlternateContent>
      </w:r>
    </w:p>
    <w:p w14:paraId="4CEA3CB6" w14:textId="77777777" w:rsidR="002C3F01" w:rsidRDefault="002C3F01" w:rsidP="002C3F01">
      <w:pPr>
        <w:rPr>
          <w:lang w:val="en-GB"/>
        </w:rPr>
      </w:pPr>
    </w:p>
    <w:p w14:paraId="5127DE2B" w14:textId="77777777" w:rsidR="002C3F01" w:rsidRDefault="002C3F01" w:rsidP="002C3F01">
      <w:pPr>
        <w:rPr>
          <w:lang w:val="en-GB"/>
        </w:rPr>
      </w:pPr>
    </w:p>
    <w:p w14:paraId="0182FF7A" w14:textId="77777777" w:rsidR="002C3F01" w:rsidRDefault="002C3F01" w:rsidP="002C3F01">
      <w:pPr>
        <w:rPr>
          <w:lang w:val="en-GB"/>
        </w:rPr>
      </w:pPr>
    </w:p>
    <w:p w14:paraId="198F955C"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1296" behindDoc="0" locked="0" layoutInCell="1" allowOverlap="1" wp14:anchorId="317E0493" wp14:editId="63649D1F">
                <wp:simplePos x="0" y="0"/>
                <wp:positionH relativeFrom="column">
                  <wp:posOffset>410908</wp:posOffset>
                </wp:positionH>
                <wp:positionV relativeFrom="paragraph">
                  <wp:posOffset>6350</wp:posOffset>
                </wp:positionV>
                <wp:extent cx="247015" cy="233680"/>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6249895E"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7E0493" id="Text Box 257" o:spid="_x0000_s1056" type="#_x0000_t202" style="position:absolute;margin-left:32.35pt;margin-top:.5pt;width:19.45pt;height:18.4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" fillcolor="white [3201]" stroked="f" strokeweight=".5pt">
                <v:textbox>
                  <w:txbxContent>
                    <w:p w14:paraId="6249895E"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Pr="00D60147">
        <w:rPr>
          <w:noProof/>
          <w:lang w:val="en-GB"/>
        </w:rPr>
        <w:drawing>
          <wp:anchor distT="0" distB="0" distL="114300" distR="114300" simplePos="0" relativeHeight="251819008" behindDoc="1" locked="0" layoutInCell="1" allowOverlap="1" wp14:anchorId="040A48D7" wp14:editId="19990666">
            <wp:simplePos x="0" y="0"/>
            <wp:positionH relativeFrom="column">
              <wp:posOffset>2739536</wp:posOffset>
            </wp:positionH>
            <wp:positionV relativeFrom="paragraph">
              <wp:posOffset>105703</wp:posOffset>
            </wp:positionV>
            <wp:extent cx="1864360" cy="1274445"/>
            <wp:effectExtent l="0" t="0" r="2540" b="0"/>
            <wp:wrapTight wrapText="bothSides">
              <wp:wrapPolygon edited="0">
                <wp:start x="0" y="0"/>
                <wp:lineTo x="0" y="21309"/>
                <wp:lineTo x="21482" y="21309"/>
                <wp:lineTo x="21482"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TLD_Boxplot.pdf"/>
                    <pic:cNvPicPr/>
                  </pic:nvPicPr>
                  <pic:blipFill rotWithShape="1">
                    <a:blip r:embed="rId187" cstate="print">
                      <a:extLst>
                        <a:ext uri="{28A0092B-C50C-407E-A947-70E740481C1C}">
                          <a14:useLocalDpi xmlns:a14="http://schemas.microsoft.com/office/drawing/2010/main" val="0"/>
                        </a:ext>
                      </a:extLst>
                    </a:blip>
                    <a:srcRect b="3270"/>
                    <a:stretch/>
                  </pic:blipFill>
                  <pic:spPr bwMode="auto">
                    <a:xfrm>
                      <a:off x="0" y="0"/>
                      <a:ext cx="1864360" cy="1274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0147">
        <w:rPr>
          <w:noProof/>
          <w:lang w:val="en-GB"/>
        </w:rPr>
        <w:drawing>
          <wp:anchor distT="0" distB="0" distL="114300" distR="114300" simplePos="0" relativeHeight="251817984" behindDoc="1" locked="0" layoutInCell="1" allowOverlap="1" wp14:anchorId="1E972391" wp14:editId="273C211B">
            <wp:simplePos x="0" y="0"/>
            <wp:positionH relativeFrom="column">
              <wp:posOffset>661035</wp:posOffset>
            </wp:positionH>
            <wp:positionV relativeFrom="paragraph">
              <wp:posOffset>107560</wp:posOffset>
            </wp:positionV>
            <wp:extent cx="2006600" cy="1273810"/>
            <wp:effectExtent l="0" t="0" r="0" b="0"/>
            <wp:wrapTight wrapText="bothSides">
              <wp:wrapPolygon edited="0">
                <wp:start x="0" y="0"/>
                <wp:lineTo x="0" y="21320"/>
                <wp:lineTo x="21463" y="21320"/>
                <wp:lineTo x="21463"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TLD_Boxplot.pdf"/>
                    <pic:cNvPicPr/>
                  </pic:nvPicPr>
                  <pic:blipFill rotWithShape="1">
                    <a:blip r:embed="rId188" cstate="print">
                      <a:extLst>
                        <a:ext uri="{28A0092B-C50C-407E-A947-70E740481C1C}">
                          <a14:useLocalDpi xmlns:a14="http://schemas.microsoft.com/office/drawing/2010/main" val="0"/>
                        </a:ext>
                      </a:extLst>
                    </a:blip>
                    <a:srcRect l="1308" t="10692" r="3876" b="4164"/>
                    <a:stretch/>
                  </pic:blipFill>
                  <pic:spPr bwMode="auto">
                    <a:xfrm>
                      <a:off x="0" y="0"/>
                      <a:ext cx="2006600" cy="1273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619A14" w14:textId="77777777" w:rsidR="002C3F01" w:rsidRDefault="002C3F01" w:rsidP="002C3F01">
      <w:pPr>
        <w:rPr>
          <w:lang w:val="en-GB"/>
        </w:rPr>
      </w:pPr>
    </w:p>
    <w:p w14:paraId="1F60C453"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7440" behindDoc="0" locked="0" layoutInCell="1" allowOverlap="1" wp14:anchorId="48CEE1D3" wp14:editId="43BA2D66">
                <wp:simplePos x="0" y="0"/>
                <wp:positionH relativeFrom="column">
                  <wp:posOffset>4348480</wp:posOffset>
                </wp:positionH>
                <wp:positionV relativeFrom="paragraph">
                  <wp:posOffset>22860</wp:posOffset>
                </wp:positionV>
                <wp:extent cx="815975" cy="233680"/>
                <wp:effectExtent l="0" t="952" r="0" b="0"/>
                <wp:wrapNone/>
                <wp:docPr id="263" name="Text Box 263"/>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24F1AA8F" w14:textId="77777777" w:rsidR="00C2072C" w:rsidRPr="00AF0B4A" w:rsidRDefault="00C2072C" w:rsidP="002C3F01">
                            <w:pPr>
                              <w:rPr>
                                <w:rFonts w:asciiTheme="majorHAnsi" w:hAnsiTheme="majorHAnsi" w:cstheme="majorHAnsi"/>
                                <w:lang w:val="en-US"/>
                              </w:rPr>
                            </w:pPr>
                            <w:r w:rsidRPr="00E01313">
                              <w:t>GSE13162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EE1D3" id="Text Box 263" o:spid="_x0000_s1057" type="#_x0000_t202" style="position:absolute;margin-left:342.4pt;margin-top:1.8pt;width:64.25pt;height:18.4pt;rotation:-90;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" fillcolor="white [3201]" stroked="f" strokeweight=".5pt">
                <v:textbox>
                  <w:txbxContent>
                    <w:p w14:paraId="24F1AA8F" w14:textId="77777777" w:rsidR="00C2072C" w:rsidRPr="00AF0B4A" w:rsidRDefault="00C2072C" w:rsidP="002C3F01">
                      <w:pPr>
                        <w:rPr>
                          <w:rFonts w:asciiTheme="majorHAnsi" w:hAnsiTheme="majorHAnsi" w:cstheme="majorHAnsi"/>
                          <w:lang w:val="en-US"/>
                        </w:rPr>
                      </w:pPr>
                      <w:r w:rsidRPr="00E01313">
                        <w:t>GSE13162</w:t>
                      </w:r>
                    </w:p>
                  </w:txbxContent>
                </v:textbox>
              </v:shape>
            </w:pict>
          </mc:Fallback>
        </mc:AlternateContent>
      </w:r>
    </w:p>
    <w:p w14:paraId="5E58782F" w14:textId="77777777" w:rsidR="002C3F01" w:rsidRDefault="002C3F01" w:rsidP="002C3F01">
      <w:pPr>
        <w:rPr>
          <w:lang w:val="en-GB"/>
        </w:rPr>
      </w:pPr>
    </w:p>
    <w:p w14:paraId="030784F9" w14:textId="77777777" w:rsidR="002C3F01" w:rsidRDefault="002C3F01" w:rsidP="002C3F01">
      <w:pPr>
        <w:rPr>
          <w:lang w:val="en-GB"/>
        </w:rPr>
      </w:pPr>
    </w:p>
    <w:p w14:paraId="5284F0D0"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2320" behindDoc="0" locked="0" layoutInCell="1" allowOverlap="1" wp14:anchorId="586C8269" wp14:editId="55D3E69C">
                <wp:simplePos x="0" y="0"/>
                <wp:positionH relativeFrom="column">
                  <wp:posOffset>414592</wp:posOffset>
                </wp:positionH>
                <wp:positionV relativeFrom="paragraph">
                  <wp:posOffset>70485</wp:posOffset>
                </wp:positionV>
                <wp:extent cx="247015" cy="233680"/>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4F18DFAD"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6C8269" id="Text Box 258" o:spid="_x0000_s1058" type="#_x0000_t202" style="position:absolute;margin-left:32.65pt;margin-top:5.55pt;width:19.45pt;height:18.4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" fillcolor="white [3201]" stroked="f" strokeweight=".5pt">
                <v:textbox>
                  <w:txbxContent>
                    <w:p w14:paraId="4F18DFAD"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D</w:t>
                      </w:r>
                    </w:p>
                  </w:txbxContent>
                </v:textbox>
              </v:shape>
            </w:pict>
          </mc:Fallback>
        </mc:AlternateContent>
      </w:r>
    </w:p>
    <w:p w14:paraId="511749C9" w14:textId="7BC2EBEE" w:rsidR="002C3F01" w:rsidRDefault="002C3F01" w:rsidP="002C3F01">
      <w:pPr>
        <w:rPr>
          <w:lang w:val="en-GB"/>
        </w:rPr>
      </w:pPr>
      <w:r>
        <w:rPr>
          <w:noProof/>
          <w:lang w:val="en-GB"/>
        </w:rPr>
        <w:drawing>
          <wp:anchor distT="0" distB="0" distL="114300" distR="114300" simplePos="0" relativeHeight="251823104" behindDoc="1" locked="0" layoutInCell="1" allowOverlap="1" wp14:anchorId="3D42E12A" wp14:editId="49C4D0B7">
            <wp:simplePos x="0" y="0"/>
            <wp:positionH relativeFrom="column">
              <wp:posOffset>624205</wp:posOffset>
            </wp:positionH>
            <wp:positionV relativeFrom="paragraph">
              <wp:posOffset>20955</wp:posOffset>
            </wp:positionV>
            <wp:extent cx="2030730" cy="1361440"/>
            <wp:effectExtent l="0" t="0" r="1270" b="0"/>
            <wp:wrapTight wrapText="bothSides">
              <wp:wrapPolygon edited="0">
                <wp:start x="0" y="0"/>
                <wp:lineTo x="0" y="21358"/>
                <wp:lineTo x="21478" y="21358"/>
                <wp:lineTo x="21478"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TDP_VCP_Boxplot.jpg"/>
                    <pic:cNvPicPr/>
                  </pic:nvPicPr>
                  <pic:blipFill rotWithShape="1">
                    <a:blip r:embed="rId189" cstate="print">
                      <a:extLst>
                        <a:ext uri="{28A0092B-C50C-407E-A947-70E740481C1C}">
                          <a14:useLocalDpi xmlns:a14="http://schemas.microsoft.com/office/drawing/2010/main" val="0"/>
                        </a:ext>
                      </a:extLst>
                    </a:blip>
                    <a:srcRect l="1325" t="10489" r="4233"/>
                    <a:stretch/>
                  </pic:blipFill>
                  <pic:spPr bwMode="auto">
                    <a:xfrm>
                      <a:off x="0" y="0"/>
                      <a:ext cx="2030730" cy="1361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2256">
        <w:rPr>
          <w:b/>
          <w:noProof/>
          <w:lang w:val="en-GB"/>
        </w:rPr>
        <w:drawing>
          <wp:anchor distT="0" distB="0" distL="114300" distR="114300" simplePos="0" relativeHeight="251825152" behindDoc="1" locked="0" layoutInCell="1" allowOverlap="1" wp14:anchorId="1E87C8C3" wp14:editId="5A2D90DE">
            <wp:simplePos x="0" y="0"/>
            <wp:positionH relativeFrom="column">
              <wp:posOffset>624205</wp:posOffset>
            </wp:positionH>
            <wp:positionV relativeFrom="paragraph">
              <wp:posOffset>1378585</wp:posOffset>
            </wp:positionV>
            <wp:extent cx="2077720" cy="1384300"/>
            <wp:effectExtent l="0" t="0" r="5080" b="0"/>
            <wp:wrapTight wrapText="bothSides">
              <wp:wrapPolygon edited="0">
                <wp:start x="0" y="0"/>
                <wp:lineTo x="0" y="21402"/>
                <wp:lineTo x="21521" y="21402"/>
                <wp:lineTo x="21521"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T_Boxplot.pdf"/>
                    <pic:cNvPicPr/>
                  </pic:nvPicPr>
                  <pic:blipFill rotWithShape="1">
                    <a:blip r:embed="rId190" cstate="print">
                      <a:extLst>
                        <a:ext uri="{28A0092B-C50C-407E-A947-70E740481C1C}">
                          <a14:useLocalDpi xmlns:a14="http://schemas.microsoft.com/office/drawing/2010/main" val="0"/>
                        </a:ext>
                      </a:extLst>
                    </a:blip>
                    <a:srcRect l="1365" t="10617" r="3876"/>
                    <a:stretch/>
                  </pic:blipFill>
                  <pic:spPr bwMode="auto">
                    <a:xfrm>
                      <a:off x="0" y="0"/>
                      <a:ext cx="2077720" cy="138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1313">
        <w:rPr>
          <w:noProof/>
        </w:rPr>
        <w:drawing>
          <wp:anchor distT="0" distB="0" distL="114300" distR="114300" simplePos="0" relativeHeight="251822080" behindDoc="1" locked="0" layoutInCell="1" allowOverlap="1" wp14:anchorId="27FCFFDB" wp14:editId="42AB9821">
            <wp:simplePos x="0" y="0"/>
            <wp:positionH relativeFrom="column">
              <wp:posOffset>2687320</wp:posOffset>
            </wp:positionH>
            <wp:positionV relativeFrom="paragraph">
              <wp:posOffset>24765</wp:posOffset>
            </wp:positionV>
            <wp:extent cx="1916430" cy="1355090"/>
            <wp:effectExtent l="0" t="0" r="1270" b="3810"/>
            <wp:wrapTight wrapText="bothSides">
              <wp:wrapPolygon edited="0">
                <wp:start x="0" y="0"/>
                <wp:lineTo x="0" y="21458"/>
                <wp:lineTo x="21471" y="21458"/>
                <wp:lineTo x="21471"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CP_Boxplot.pdf"/>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916430" cy="1355090"/>
                    </a:xfrm>
                    <a:prstGeom prst="rect">
                      <a:avLst/>
                    </a:prstGeom>
                  </pic:spPr>
                </pic:pic>
              </a:graphicData>
            </a:graphic>
            <wp14:sizeRelH relativeFrom="page">
              <wp14:pctWidth>0</wp14:pctWidth>
            </wp14:sizeRelH>
            <wp14:sizeRelV relativeFrom="page">
              <wp14:pctHeight>0</wp14:pctHeight>
            </wp14:sizeRelV>
          </wp:anchor>
        </w:drawing>
      </w:r>
    </w:p>
    <w:p w14:paraId="057675EC"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8464" behindDoc="0" locked="0" layoutInCell="1" allowOverlap="1" wp14:anchorId="3027BA4C" wp14:editId="7F22CD0C">
                <wp:simplePos x="0" y="0"/>
                <wp:positionH relativeFrom="column">
                  <wp:posOffset>4351962</wp:posOffset>
                </wp:positionH>
                <wp:positionV relativeFrom="paragraph">
                  <wp:posOffset>185502</wp:posOffset>
                </wp:positionV>
                <wp:extent cx="815975" cy="233680"/>
                <wp:effectExtent l="0" t="952" r="0" b="0"/>
                <wp:wrapNone/>
                <wp:docPr id="264" name="Text Box 264"/>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11C576DF" w14:textId="77777777" w:rsidR="00C2072C" w:rsidRPr="00AF0B4A" w:rsidRDefault="00C2072C" w:rsidP="002C3F01">
                            <w:pPr>
                              <w:rPr>
                                <w:rFonts w:asciiTheme="majorHAnsi" w:hAnsiTheme="majorHAnsi" w:cstheme="majorHAnsi"/>
                                <w:lang w:val="en-US"/>
                              </w:rPr>
                            </w:pPr>
                            <w:r w:rsidRPr="00E01313">
                              <w:t>GSE30806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7BA4C" id="Text Box 264" o:spid="_x0000_s1059" type="#_x0000_t202" style="position:absolute;margin-left:342.65pt;margin-top:14.6pt;width:64.25pt;height:18.4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" fillcolor="white [3201]" stroked="f" strokeweight=".5pt">
                <v:textbox>
                  <w:txbxContent>
                    <w:p w14:paraId="11C576DF" w14:textId="77777777" w:rsidR="00C2072C" w:rsidRPr="00AF0B4A" w:rsidRDefault="00C2072C" w:rsidP="002C3F01">
                      <w:pPr>
                        <w:rPr>
                          <w:rFonts w:asciiTheme="majorHAnsi" w:hAnsiTheme="majorHAnsi" w:cstheme="majorHAnsi"/>
                          <w:lang w:val="en-US"/>
                        </w:rPr>
                      </w:pPr>
                      <w:r w:rsidRPr="00E01313">
                        <w:t>GSE30806</w:t>
                      </w:r>
                    </w:p>
                  </w:txbxContent>
                </v:textbox>
              </v:shape>
            </w:pict>
          </mc:Fallback>
        </mc:AlternateContent>
      </w:r>
    </w:p>
    <w:p w14:paraId="2C96804E" w14:textId="77777777" w:rsidR="002C3F01" w:rsidRDefault="002C3F01" w:rsidP="002C3F01">
      <w:pPr>
        <w:rPr>
          <w:lang w:val="en-GB"/>
        </w:rPr>
      </w:pPr>
    </w:p>
    <w:p w14:paraId="24C4F233" w14:textId="77777777" w:rsidR="002C3F01" w:rsidRDefault="002C3F01" w:rsidP="002C3F01">
      <w:pPr>
        <w:rPr>
          <w:lang w:val="en-GB"/>
        </w:rPr>
      </w:pPr>
    </w:p>
    <w:p w14:paraId="328C5B68" w14:textId="77777777" w:rsidR="002C3F01" w:rsidRDefault="002C3F01" w:rsidP="002C3F01">
      <w:pPr>
        <w:rPr>
          <w:lang w:val="en-GB"/>
        </w:rPr>
      </w:pPr>
    </w:p>
    <w:p w14:paraId="4D9B6631" w14:textId="7FE1F98D" w:rsidR="002C3F01" w:rsidRDefault="002C3F01" w:rsidP="002C3F01">
      <w:pPr>
        <w:rPr>
          <w:lang w:val="en-GB"/>
        </w:rPr>
      </w:pPr>
      <w:r w:rsidRPr="00E01313">
        <w:rPr>
          <w:noProof/>
        </w:rPr>
        <w:drawing>
          <wp:anchor distT="0" distB="0" distL="114300" distR="114300" simplePos="0" relativeHeight="251824128" behindDoc="1" locked="0" layoutInCell="1" allowOverlap="1" wp14:anchorId="211B7F0C" wp14:editId="62DAFFD1">
            <wp:simplePos x="0" y="0"/>
            <wp:positionH relativeFrom="column">
              <wp:posOffset>2688590</wp:posOffset>
            </wp:positionH>
            <wp:positionV relativeFrom="paragraph">
              <wp:posOffset>219710</wp:posOffset>
            </wp:positionV>
            <wp:extent cx="1936115" cy="1330325"/>
            <wp:effectExtent l="0" t="0" r="0" b="3175"/>
            <wp:wrapTight wrapText="bothSides">
              <wp:wrapPolygon edited="0">
                <wp:start x="0" y="0"/>
                <wp:lineTo x="0" y="21445"/>
                <wp:lineTo x="21395" y="21445"/>
                <wp:lineTo x="21395"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T_Boxplot.pdf"/>
                    <pic:cNvPicPr/>
                  </pic:nvPicPr>
                  <pic:blipFill rotWithShape="1">
                    <a:blip r:embed="rId192" cstate="print">
                      <a:extLst>
                        <a:ext uri="{28A0092B-C50C-407E-A947-70E740481C1C}">
                          <a14:useLocalDpi xmlns:a14="http://schemas.microsoft.com/office/drawing/2010/main" val="0"/>
                        </a:ext>
                      </a:extLst>
                    </a:blip>
                    <a:srcRect b="2821"/>
                    <a:stretch/>
                  </pic:blipFill>
                  <pic:spPr bwMode="auto">
                    <a:xfrm>
                      <a:off x="0" y="0"/>
                      <a:ext cx="1936115" cy="133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3613">
        <w:rPr>
          <w:noProof/>
          <w:lang w:val="en-GB"/>
        </w:rPr>
        <mc:AlternateContent>
          <mc:Choice Requires="wps">
            <w:drawing>
              <wp:anchor distT="0" distB="0" distL="114300" distR="114300" simplePos="0" relativeHeight="251833344" behindDoc="0" locked="0" layoutInCell="1" allowOverlap="1" wp14:anchorId="75214496" wp14:editId="185118D1">
                <wp:simplePos x="0" y="0"/>
                <wp:positionH relativeFrom="column">
                  <wp:posOffset>415862</wp:posOffset>
                </wp:positionH>
                <wp:positionV relativeFrom="paragraph">
                  <wp:posOffset>15240</wp:posOffset>
                </wp:positionV>
                <wp:extent cx="247015" cy="233680"/>
                <wp:effectExtent l="0" t="0" r="0" b="0"/>
                <wp:wrapNone/>
                <wp:docPr id="259" name="Text Box 259"/>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1AA70BA2"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214496" id="Text Box 259" o:spid="_x0000_s1060" type="#_x0000_t202" style="position:absolute;margin-left:32.75pt;margin-top:1.2pt;width:19.45pt;height:18.4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" fillcolor="white [3201]" stroked="f" strokeweight=".5pt">
                <v:textbox>
                  <w:txbxContent>
                    <w:p w14:paraId="1AA70BA2"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E</w:t>
                      </w:r>
                    </w:p>
                  </w:txbxContent>
                </v:textbox>
              </v:shape>
            </w:pict>
          </mc:Fallback>
        </mc:AlternateContent>
      </w:r>
    </w:p>
    <w:p w14:paraId="5DAC5598" w14:textId="77777777" w:rsidR="002C3F01" w:rsidRDefault="002C3F01" w:rsidP="002C3F01">
      <w:pPr>
        <w:rPr>
          <w:lang w:val="en-GB"/>
        </w:rPr>
      </w:pPr>
    </w:p>
    <w:p w14:paraId="375C825C"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9488" behindDoc="0" locked="0" layoutInCell="1" allowOverlap="1" wp14:anchorId="7A31DA2C" wp14:editId="658BB86D">
                <wp:simplePos x="0" y="0"/>
                <wp:positionH relativeFrom="column">
                  <wp:posOffset>4351962</wp:posOffset>
                </wp:positionH>
                <wp:positionV relativeFrom="paragraph">
                  <wp:posOffset>138323</wp:posOffset>
                </wp:positionV>
                <wp:extent cx="815975" cy="233680"/>
                <wp:effectExtent l="0" t="952" r="0" b="0"/>
                <wp:wrapNone/>
                <wp:docPr id="265" name="Text Box 265"/>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6E9C6720" w14:textId="77777777" w:rsidR="00C2072C" w:rsidRPr="00AF0B4A" w:rsidRDefault="00C2072C" w:rsidP="002C3F01">
                            <w:pPr>
                              <w:rPr>
                                <w:rFonts w:asciiTheme="majorHAnsi" w:hAnsiTheme="majorHAnsi" w:cstheme="majorHAnsi"/>
                                <w:lang w:val="en-US"/>
                              </w:rPr>
                            </w:pPr>
                            <w:r w:rsidRPr="00E01313">
                              <w:t>GSE67196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1DA2C" id="Text Box 265" o:spid="_x0000_s1061" type="#_x0000_t202" style="position:absolute;margin-left:342.65pt;margin-top:10.9pt;width:64.25pt;height:18.4pt;rotation:-9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" fillcolor="white [3201]" stroked="f" strokeweight=".5pt">
                <v:textbox>
                  <w:txbxContent>
                    <w:p w14:paraId="6E9C6720" w14:textId="77777777" w:rsidR="00C2072C" w:rsidRPr="00AF0B4A" w:rsidRDefault="00C2072C" w:rsidP="002C3F01">
                      <w:pPr>
                        <w:rPr>
                          <w:rFonts w:asciiTheme="majorHAnsi" w:hAnsiTheme="majorHAnsi" w:cstheme="majorHAnsi"/>
                          <w:lang w:val="en-US"/>
                        </w:rPr>
                      </w:pPr>
                      <w:r w:rsidRPr="00E01313">
                        <w:t>GSE67196</w:t>
                      </w:r>
                    </w:p>
                  </w:txbxContent>
                </v:textbox>
              </v:shape>
            </w:pict>
          </mc:Fallback>
        </mc:AlternateContent>
      </w:r>
    </w:p>
    <w:p w14:paraId="7301CA9A" w14:textId="77777777" w:rsidR="002C3F01" w:rsidRDefault="002C3F01" w:rsidP="002C3F01">
      <w:pPr>
        <w:rPr>
          <w:lang w:val="en-GB"/>
        </w:rPr>
      </w:pPr>
    </w:p>
    <w:p w14:paraId="26C66537" w14:textId="77777777" w:rsidR="002C3F01" w:rsidRDefault="002C3F01" w:rsidP="002C3F01">
      <w:pPr>
        <w:rPr>
          <w:lang w:val="en-GB"/>
        </w:rPr>
      </w:pPr>
    </w:p>
    <w:p w14:paraId="2425BEC8"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34368" behindDoc="0" locked="0" layoutInCell="1" allowOverlap="1" wp14:anchorId="3C2F23E9" wp14:editId="1D7F334A">
                <wp:simplePos x="0" y="0"/>
                <wp:positionH relativeFrom="column">
                  <wp:posOffset>422338</wp:posOffset>
                </wp:positionH>
                <wp:positionV relativeFrom="paragraph">
                  <wp:posOffset>128270</wp:posOffset>
                </wp:positionV>
                <wp:extent cx="247015" cy="233680"/>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3F1BAF13"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2F23E9" id="Text Box 260" o:spid="_x0000_s1062" type="#_x0000_t202" style="position:absolute;margin-left:33.25pt;margin-top:10.1pt;width:19.45pt;height:18.4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" fillcolor="white [3201]" stroked="f" strokeweight=".5pt">
                <v:textbox>
                  <w:txbxContent>
                    <w:p w14:paraId="3F1BAF13" w14:textId="77777777" w:rsidR="00C2072C" w:rsidRPr="00AF0B4A" w:rsidRDefault="00C2072C" w:rsidP="002C3F01">
                      <w:pPr>
                        <w:rPr>
                          <w:rFonts w:asciiTheme="majorHAnsi" w:hAnsiTheme="majorHAnsi" w:cstheme="majorHAnsi"/>
                          <w:lang w:val="en-US"/>
                        </w:rPr>
                      </w:pPr>
                      <w:r>
                        <w:rPr>
                          <w:rFonts w:asciiTheme="majorHAnsi" w:hAnsiTheme="majorHAnsi" w:cstheme="majorHAnsi"/>
                          <w:lang w:val="en-US"/>
                        </w:rPr>
                        <w:t>F</w:t>
                      </w:r>
                    </w:p>
                  </w:txbxContent>
                </v:textbox>
              </v:shape>
            </w:pict>
          </mc:Fallback>
        </mc:AlternateContent>
      </w:r>
    </w:p>
    <w:p w14:paraId="5714C34A" w14:textId="77777777" w:rsidR="002C3F01" w:rsidRDefault="002C3F01" w:rsidP="002C3F01">
      <w:pPr>
        <w:rPr>
          <w:lang w:val="en-GB"/>
        </w:rPr>
      </w:pPr>
      <w:r w:rsidRPr="00E01313">
        <w:rPr>
          <w:noProof/>
        </w:rPr>
        <w:drawing>
          <wp:anchor distT="0" distB="0" distL="114300" distR="114300" simplePos="0" relativeHeight="251827200" behindDoc="1" locked="0" layoutInCell="1" allowOverlap="1" wp14:anchorId="3C544244" wp14:editId="624B8AFD">
            <wp:simplePos x="0" y="0"/>
            <wp:positionH relativeFrom="column">
              <wp:posOffset>2704893</wp:posOffset>
            </wp:positionH>
            <wp:positionV relativeFrom="paragraph">
              <wp:posOffset>209550</wp:posOffset>
            </wp:positionV>
            <wp:extent cx="1915160" cy="1299845"/>
            <wp:effectExtent l="0" t="0" r="2540" b="0"/>
            <wp:wrapTight wrapText="bothSides">
              <wp:wrapPolygon edited="0">
                <wp:start x="0" y="0"/>
                <wp:lineTo x="0" y="21315"/>
                <wp:lineTo x="21485" y="21315"/>
                <wp:lineTo x="21485"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V_Boxplot.pdf"/>
                    <pic:cNvPicPr/>
                  </pic:nvPicPr>
                  <pic:blipFill rotWithShape="1">
                    <a:blip r:embed="rId193" cstate="print">
                      <a:extLst>
                        <a:ext uri="{28A0092B-C50C-407E-A947-70E740481C1C}">
                          <a14:useLocalDpi xmlns:a14="http://schemas.microsoft.com/office/drawing/2010/main" val="0"/>
                        </a:ext>
                      </a:extLst>
                    </a:blip>
                    <a:srcRect l="1197" b="5179"/>
                    <a:stretch/>
                  </pic:blipFill>
                  <pic:spPr bwMode="auto">
                    <a:xfrm>
                      <a:off x="0" y="0"/>
                      <a:ext cx="1915160" cy="1299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26176" behindDoc="1" locked="0" layoutInCell="1" allowOverlap="1" wp14:anchorId="2B7A013A" wp14:editId="028DD209">
            <wp:simplePos x="0" y="0"/>
            <wp:positionH relativeFrom="column">
              <wp:posOffset>652066</wp:posOffset>
            </wp:positionH>
            <wp:positionV relativeFrom="paragraph">
              <wp:posOffset>209026</wp:posOffset>
            </wp:positionV>
            <wp:extent cx="2081530" cy="1330325"/>
            <wp:effectExtent l="0" t="0" r="1270" b="3175"/>
            <wp:wrapTight wrapText="bothSides">
              <wp:wrapPolygon edited="0">
                <wp:start x="0" y="0"/>
                <wp:lineTo x="0" y="21445"/>
                <wp:lineTo x="21481" y="21445"/>
                <wp:lineTo x="21481"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V_Boxplot.pdf"/>
                    <pic:cNvPicPr/>
                  </pic:nvPicPr>
                  <pic:blipFill rotWithShape="1">
                    <a:blip r:embed="rId194" cstate="print">
                      <a:extLst>
                        <a:ext uri="{28A0092B-C50C-407E-A947-70E740481C1C}">
                          <a14:useLocalDpi xmlns:a14="http://schemas.microsoft.com/office/drawing/2010/main" val="0"/>
                        </a:ext>
                      </a:extLst>
                    </a:blip>
                    <a:srcRect l="1660" t="10952" r="3609" b="3360"/>
                    <a:stretch/>
                  </pic:blipFill>
                  <pic:spPr bwMode="auto">
                    <a:xfrm>
                      <a:off x="0" y="0"/>
                      <a:ext cx="2081530" cy="133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94D668" w14:textId="77777777" w:rsidR="002C3F01" w:rsidRDefault="002C3F01" w:rsidP="002C3F01">
      <w:pPr>
        <w:rPr>
          <w:lang w:val="en-GB"/>
        </w:rPr>
      </w:pPr>
      <w:r w:rsidRPr="007E3613">
        <w:rPr>
          <w:noProof/>
          <w:lang w:val="en-GB"/>
        </w:rPr>
        <mc:AlternateContent>
          <mc:Choice Requires="wps">
            <w:drawing>
              <wp:anchor distT="0" distB="0" distL="114300" distR="114300" simplePos="0" relativeHeight="251840512" behindDoc="0" locked="0" layoutInCell="1" allowOverlap="1" wp14:anchorId="15BF4D15" wp14:editId="66FCDFBE">
                <wp:simplePos x="0" y="0"/>
                <wp:positionH relativeFrom="column">
                  <wp:posOffset>4351961</wp:posOffset>
                </wp:positionH>
                <wp:positionV relativeFrom="paragraph">
                  <wp:posOffset>169858</wp:posOffset>
                </wp:positionV>
                <wp:extent cx="815975" cy="233680"/>
                <wp:effectExtent l="0" t="952" r="0" b="0"/>
                <wp:wrapNone/>
                <wp:docPr id="266" name="Text Box 266"/>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4F052C04" w14:textId="77777777" w:rsidR="00C2072C" w:rsidRPr="00AF0B4A" w:rsidRDefault="00C2072C" w:rsidP="002C3F01">
                            <w:pPr>
                              <w:rPr>
                                <w:rFonts w:asciiTheme="majorHAnsi" w:hAnsiTheme="majorHAnsi" w:cstheme="majorHAnsi"/>
                                <w:lang w:val="en-US"/>
                              </w:rPr>
                            </w:pPr>
                            <w:r w:rsidRPr="00E01313">
                              <w:t>GSE6220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F4D15" id="Text Box 266" o:spid="_x0000_s1063" type="#_x0000_t202" style="position:absolute;margin-left:342.65pt;margin-top:13.35pt;width:64.25pt;height:18.4pt;rotation:-9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" fillcolor="white [3201]" stroked="f" strokeweight=".5pt">
                <v:textbox>
                  <w:txbxContent>
                    <w:p w14:paraId="4F052C04" w14:textId="77777777" w:rsidR="00C2072C" w:rsidRPr="00AF0B4A" w:rsidRDefault="00C2072C" w:rsidP="002C3F01">
                      <w:pPr>
                        <w:rPr>
                          <w:rFonts w:asciiTheme="majorHAnsi" w:hAnsiTheme="majorHAnsi" w:cstheme="majorHAnsi"/>
                          <w:lang w:val="en-US"/>
                        </w:rPr>
                      </w:pPr>
                      <w:r w:rsidRPr="00E01313">
                        <w:t>GSE6220</w:t>
                      </w:r>
                    </w:p>
                  </w:txbxContent>
                </v:textbox>
              </v:shape>
            </w:pict>
          </mc:Fallback>
        </mc:AlternateContent>
      </w:r>
    </w:p>
    <w:p w14:paraId="32F23C88" w14:textId="77777777" w:rsidR="002C3F01" w:rsidRDefault="002C3F01" w:rsidP="002C3F01">
      <w:pPr>
        <w:rPr>
          <w:lang w:val="en-GB"/>
        </w:rPr>
      </w:pPr>
    </w:p>
    <w:p w14:paraId="120904B3" w14:textId="77777777" w:rsidR="002C3F01" w:rsidRDefault="002C3F01" w:rsidP="002C3F01">
      <w:pPr>
        <w:rPr>
          <w:lang w:val="en-GB"/>
        </w:rPr>
      </w:pPr>
    </w:p>
    <w:p w14:paraId="7F0611F4" w14:textId="77777777" w:rsidR="002C3F01" w:rsidRDefault="002C3F01" w:rsidP="002C3F01">
      <w:pPr>
        <w:rPr>
          <w:lang w:val="en-GB"/>
        </w:rPr>
      </w:pPr>
    </w:p>
    <w:p w14:paraId="26EBB00F" w14:textId="77777777" w:rsidR="002C3F01" w:rsidRDefault="002C3F01" w:rsidP="002C3F01">
      <w:pPr>
        <w:rPr>
          <w:lang w:val="en-GB"/>
        </w:rPr>
      </w:pPr>
    </w:p>
    <w:p w14:paraId="3ACDF103" w14:textId="77777777" w:rsidR="002C3F01" w:rsidRDefault="002C3F01" w:rsidP="002C3F01">
      <w:pPr>
        <w:rPr>
          <w:lang w:val="en-GB"/>
        </w:rPr>
      </w:pPr>
      <w:r>
        <w:rPr>
          <w:noProof/>
        </w:rPr>
        <mc:AlternateContent>
          <mc:Choice Requires="wps">
            <w:drawing>
              <wp:anchor distT="0" distB="0" distL="114300" distR="114300" simplePos="0" relativeHeight="251828224" behindDoc="1" locked="0" layoutInCell="1" allowOverlap="1" wp14:anchorId="0E2066F3" wp14:editId="0C1A3379">
                <wp:simplePos x="0" y="0"/>
                <wp:positionH relativeFrom="column">
                  <wp:posOffset>75565</wp:posOffset>
                </wp:positionH>
                <wp:positionV relativeFrom="paragraph">
                  <wp:posOffset>208610</wp:posOffset>
                </wp:positionV>
                <wp:extent cx="5034915" cy="635"/>
                <wp:effectExtent l="0" t="0" r="0" b="3175"/>
                <wp:wrapTight wrapText="bothSides">
                  <wp:wrapPolygon edited="0">
                    <wp:start x="0" y="0"/>
                    <wp:lineTo x="0" y="21324"/>
                    <wp:lineTo x="21521" y="21324"/>
                    <wp:lineTo x="21521" y="0"/>
                    <wp:lineTo x="0" y="0"/>
                  </wp:wrapPolygon>
                </wp:wrapTight>
                <wp:docPr id="253" name="Text Box 253"/>
                <wp:cNvGraphicFramePr/>
                <a:graphic xmlns:a="http://schemas.openxmlformats.org/drawingml/2006/main">
                  <a:graphicData uri="http://schemas.microsoft.com/office/word/2010/wordprocessingShape">
                    <wps:wsp>
                      <wps:cNvSpPr txBox="1"/>
                      <wps:spPr>
                        <a:xfrm>
                          <a:off x="0" y="0"/>
                          <a:ext cx="5034915" cy="635"/>
                        </a:xfrm>
                        <a:prstGeom prst="rect">
                          <a:avLst/>
                        </a:prstGeom>
                        <a:solidFill>
                          <a:prstClr val="white"/>
                        </a:solidFill>
                        <a:ln>
                          <a:noFill/>
                        </a:ln>
                      </wps:spPr>
                      <wps:txbx>
                        <w:txbxContent>
                          <w:p w14:paraId="20DD07CC" w14:textId="3BB584B7" w:rsidR="00C2072C" w:rsidRPr="0080727C" w:rsidRDefault="00C2072C" w:rsidP="002C3F01">
                            <w:pPr>
                              <w:pStyle w:val="Caption"/>
                              <w:rPr>
                                <w:b w:val="0"/>
                                <w:i/>
                                <w:noProof/>
                                <w:szCs w:val="22"/>
                              </w:rPr>
                            </w:pPr>
                            <w:bookmarkStart w:id="409" w:name="_Toc3226026"/>
                            <w:r>
                              <w:t xml:space="preserve">Appendix Figure </w:t>
                            </w:r>
                            <w:r>
                              <w:rPr>
                                <w:noProof/>
                              </w:rPr>
                              <w:fldChar w:fldCharType="begin"/>
                            </w:r>
                            <w:r>
                              <w:rPr>
                                <w:noProof/>
                              </w:rPr>
                              <w:instrText xml:space="preserve"> SEQ Appendix_Figure \* ARABIC </w:instrText>
                            </w:r>
                            <w:r>
                              <w:rPr>
                                <w:noProof/>
                              </w:rPr>
                              <w:fldChar w:fldCharType="separate"/>
                            </w:r>
                            <w:r>
                              <w:rPr>
                                <w:noProof/>
                              </w:rPr>
                              <w:t>5</w:t>
                            </w:r>
                            <w:r>
                              <w:rPr>
                                <w:noProof/>
                              </w:rPr>
                              <w:fldChar w:fldCharType="end"/>
                            </w:r>
                            <w:r>
                              <w:t xml:space="preserve">: Variance of each TDP-43 dataset before and after normalisation. </w:t>
                            </w:r>
                            <w:r>
                              <w:rPr>
                                <w:b w:val="0"/>
                              </w:rPr>
                              <w:t>Plots indicate a consistent range of variance in log2 expression between microarray (A-D) and RNA-Seq (E-F) conditions. RNA-Seq range is larger compared to microarray, though this is expected due to technological differences</w:t>
                            </w:r>
                            <w:bookmarkEnd w:id="4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2066F3" id="Text Box 253" o:spid="_x0000_s1064" type="#_x0000_t202" style="position:absolute;margin-left:5.95pt;margin-top:16.45pt;width:396.45pt;height:.05pt;z-index:-25148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" stroked="f">
                <v:textbox style="mso-fit-shape-to-text:t" inset="0,0,0,0">
                  <w:txbxContent>
                    <w:p w14:paraId="20DD07CC" w14:textId="3BB584B7" w:rsidR="00C2072C" w:rsidRPr="0080727C" w:rsidRDefault="00C2072C" w:rsidP="002C3F01">
                      <w:pPr>
                        <w:pStyle w:val="Caption"/>
                        <w:rPr>
                          <w:b w:val="0"/>
                          <w:i/>
                          <w:noProof/>
                          <w:szCs w:val="22"/>
                        </w:rPr>
                      </w:pPr>
                      <w:bookmarkStart w:id="410" w:name="_Toc3226026"/>
                      <w:r>
                        <w:t xml:space="preserve">Appendix Figure </w:t>
                      </w:r>
                      <w:r>
                        <w:rPr>
                          <w:noProof/>
                        </w:rPr>
                        <w:fldChar w:fldCharType="begin"/>
                      </w:r>
                      <w:r>
                        <w:rPr>
                          <w:noProof/>
                        </w:rPr>
                        <w:instrText xml:space="preserve"> SEQ Appendix_Figure \* ARABIC </w:instrText>
                      </w:r>
                      <w:r>
                        <w:rPr>
                          <w:noProof/>
                        </w:rPr>
                        <w:fldChar w:fldCharType="separate"/>
                      </w:r>
                      <w:r>
                        <w:rPr>
                          <w:noProof/>
                        </w:rPr>
                        <w:t>5</w:t>
                      </w:r>
                      <w:r>
                        <w:rPr>
                          <w:noProof/>
                        </w:rPr>
                        <w:fldChar w:fldCharType="end"/>
                      </w:r>
                      <w:r>
                        <w:t xml:space="preserve">: Variance of each TDP-43 dataset before and after normalisation. </w:t>
                      </w:r>
                      <w:r>
                        <w:rPr>
                          <w:b w:val="0"/>
                        </w:rPr>
                        <w:t>Plots indicate a consistent range of variance in log2 expression between microarray (A-D) and RNA-Seq (E-F) conditions. RNA-Seq range is larger compared to microarray, though this is expected due to technological differences</w:t>
                      </w:r>
                      <w:bookmarkEnd w:id="410"/>
                    </w:p>
                  </w:txbxContent>
                </v:textbox>
                <w10:wrap type="tight"/>
              </v:shape>
            </w:pict>
          </mc:Fallback>
        </mc:AlternateContent>
      </w:r>
    </w:p>
    <w:p w14:paraId="1E5D6953" w14:textId="0AB45A6D" w:rsidR="002C3F01" w:rsidRDefault="002C3F01">
      <w:pPr>
        <w:rPr>
          <w:lang w:val="en-GB"/>
        </w:rPr>
      </w:pPr>
      <w:r>
        <w:rPr>
          <w:lang w:val="en-GB"/>
        </w:rPr>
        <w:br w:type="page"/>
      </w:r>
    </w:p>
    <w:p w14:paraId="61199A3F" w14:textId="77777777" w:rsidR="00F72F37" w:rsidRPr="0082680A" w:rsidRDefault="00F72F37" w:rsidP="00774535">
      <w:pPr>
        <w:pStyle w:val="Caption"/>
        <w:ind w:left="-567"/>
        <w:rPr>
          <w:b w:val="0"/>
          <w:szCs w:val="22"/>
          <w:lang w:val="en-GB"/>
        </w:rPr>
      </w:pPr>
      <w:r w:rsidRPr="0082680A">
        <w:rPr>
          <w:b w:val="0"/>
          <w:noProof/>
          <w:szCs w:val="22"/>
          <w:lang w:val="en-GB"/>
        </w:rPr>
        <w:lastRenderedPageBreak/>
        <w:drawing>
          <wp:inline distT="0" distB="0" distL="0" distR="0" wp14:anchorId="4221A996" wp14:editId="2073A5DA">
            <wp:extent cx="5728873" cy="841387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TDP_LoF_1.pdf"/>
                    <pic:cNvPicPr/>
                  </pic:nvPicPr>
                  <pic:blipFill rotWithShape="1">
                    <a:blip r:embed="rId195">
                      <a:extLst>
                        <a:ext uri="{28A0092B-C50C-407E-A947-70E740481C1C}">
                          <a14:useLocalDpi xmlns:a14="http://schemas.microsoft.com/office/drawing/2010/main" val="0"/>
                        </a:ext>
                      </a:extLst>
                    </a:blip>
                    <a:srcRect r="3639" b="688"/>
                    <a:stretch/>
                  </pic:blipFill>
                  <pic:spPr bwMode="auto">
                    <a:xfrm>
                      <a:off x="0" y="0"/>
                      <a:ext cx="5731960" cy="8418404"/>
                    </a:xfrm>
                    <a:prstGeom prst="rect">
                      <a:avLst/>
                    </a:prstGeom>
                    <a:ln>
                      <a:noFill/>
                    </a:ln>
                    <a:extLst>
                      <a:ext uri="{53640926-AAD7-44D8-BBD7-CCE9431645EC}">
                        <a14:shadowObscured xmlns:a14="http://schemas.microsoft.com/office/drawing/2010/main"/>
                      </a:ext>
                    </a:extLst>
                  </pic:spPr>
                </pic:pic>
              </a:graphicData>
            </a:graphic>
          </wp:inline>
        </w:drawing>
      </w:r>
    </w:p>
    <w:p w14:paraId="2E3F5335" w14:textId="77777777" w:rsidR="00F72F37" w:rsidRPr="0082680A" w:rsidRDefault="00F72F37" w:rsidP="00774535">
      <w:pPr>
        <w:ind w:left="-284"/>
        <w:rPr>
          <w:lang w:val="en-GB"/>
        </w:rPr>
      </w:pPr>
      <w:r w:rsidRPr="0082680A">
        <w:rPr>
          <w:noProof/>
          <w:lang w:val="en-GB"/>
        </w:rPr>
        <w:lastRenderedPageBreak/>
        <w:drawing>
          <wp:inline distT="0" distB="0" distL="0" distR="0" wp14:anchorId="0FAE652E" wp14:editId="306C460A">
            <wp:extent cx="5729288" cy="8496034"/>
            <wp:effectExtent l="0" t="0" r="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TDP_LoF_2.pdf"/>
                    <pic:cNvPicPr/>
                  </pic:nvPicPr>
                  <pic:blipFill rotWithShape="1">
                    <a:blip r:embed="rId196">
                      <a:extLst>
                        <a:ext uri="{28A0092B-C50C-407E-A947-70E740481C1C}">
                          <a14:useLocalDpi xmlns:a14="http://schemas.microsoft.com/office/drawing/2010/main" val="0"/>
                        </a:ext>
                      </a:extLst>
                    </a:blip>
                    <a:srcRect r="4647" b="775"/>
                    <a:stretch/>
                  </pic:blipFill>
                  <pic:spPr bwMode="auto">
                    <a:xfrm>
                      <a:off x="0" y="0"/>
                      <a:ext cx="5732410" cy="8500664"/>
                    </a:xfrm>
                    <a:prstGeom prst="rect">
                      <a:avLst/>
                    </a:prstGeom>
                    <a:ln>
                      <a:noFill/>
                    </a:ln>
                    <a:extLst>
                      <a:ext uri="{53640926-AAD7-44D8-BBD7-CCE9431645EC}">
                        <a14:shadowObscured xmlns:a14="http://schemas.microsoft.com/office/drawing/2010/main"/>
                      </a:ext>
                    </a:extLst>
                  </pic:spPr>
                </pic:pic>
              </a:graphicData>
            </a:graphic>
          </wp:inline>
        </w:drawing>
      </w:r>
    </w:p>
    <w:p w14:paraId="08E76674" w14:textId="77777777" w:rsidR="002961C1" w:rsidRDefault="00F72F37" w:rsidP="002961C1">
      <w:pPr>
        <w:pStyle w:val="NoSpacing"/>
        <w:keepNext/>
      </w:pPr>
      <w:r w:rsidRPr="0082680A">
        <w:rPr>
          <w:noProof/>
          <w:lang w:val="en-GB"/>
        </w:rPr>
        <w:lastRenderedPageBreak/>
        <w:drawing>
          <wp:inline distT="0" distB="0" distL="0" distR="0" wp14:anchorId="44C7CD8B" wp14:editId="6D3FB4CC">
            <wp:extent cx="5261811" cy="8084820"/>
            <wp:effectExtent l="0" t="0" r="0" b="508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TDP_LoF_3.pdf"/>
                    <pic:cNvPicPr/>
                  </pic:nvPicPr>
                  <pic:blipFill rotWithShape="1">
                    <a:blip r:embed="rId197">
                      <a:extLst>
                        <a:ext uri="{28A0092B-C50C-407E-A947-70E740481C1C}">
                          <a14:useLocalDpi xmlns:a14="http://schemas.microsoft.com/office/drawing/2010/main" val="0"/>
                        </a:ext>
                      </a:extLst>
                    </a:blip>
                    <a:srcRect r="7254"/>
                    <a:stretch/>
                  </pic:blipFill>
                  <pic:spPr bwMode="auto">
                    <a:xfrm>
                      <a:off x="0" y="0"/>
                      <a:ext cx="5271417" cy="8099580"/>
                    </a:xfrm>
                    <a:prstGeom prst="rect">
                      <a:avLst/>
                    </a:prstGeom>
                    <a:ln>
                      <a:noFill/>
                    </a:ln>
                    <a:extLst>
                      <a:ext uri="{53640926-AAD7-44D8-BBD7-CCE9431645EC}">
                        <a14:shadowObscured xmlns:a14="http://schemas.microsoft.com/office/drawing/2010/main"/>
                      </a:ext>
                    </a:extLst>
                  </pic:spPr>
                </pic:pic>
              </a:graphicData>
            </a:graphic>
          </wp:inline>
        </w:drawing>
      </w:r>
    </w:p>
    <w:p w14:paraId="37A9B49A" w14:textId="7E34F1D7" w:rsidR="00F72F37" w:rsidRPr="0082680A" w:rsidRDefault="002961C1" w:rsidP="002961C1">
      <w:pPr>
        <w:pStyle w:val="Caption"/>
        <w:rPr>
          <w:lang w:val="en-GB"/>
        </w:rPr>
      </w:pPr>
      <w:bookmarkStart w:id="411" w:name="_Toc3225981"/>
      <w:r>
        <w:t xml:space="preserve">Appendix Table </w:t>
      </w:r>
      <w:r w:rsidR="00413A9D">
        <w:rPr>
          <w:noProof/>
        </w:rPr>
        <w:fldChar w:fldCharType="begin"/>
      </w:r>
      <w:r w:rsidR="00413A9D">
        <w:rPr>
          <w:noProof/>
        </w:rPr>
        <w:instrText xml:space="preserve"> SEQ Appendix_Table \* ARABIC </w:instrText>
      </w:r>
      <w:r w:rsidR="00413A9D">
        <w:rPr>
          <w:noProof/>
        </w:rPr>
        <w:fldChar w:fldCharType="separate"/>
      </w:r>
      <w:r w:rsidR="00066B5A">
        <w:rPr>
          <w:noProof/>
        </w:rPr>
        <w:t>1</w:t>
      </w:r>
      <w:r w:rsidR="00413A9D">
        <w:rPr>
          <w:noProof/>
        </w:rPr>
        <w:fldChar w:fldCharType="end"/>
      </w:r>
      <w:r>
        <w:t>:</w:t>
      </w:r>
      <w:r w:rsidRPr="0082680A">
        <w:rPr>
          <w:lang w:val="en-GB"/>
        </w:rPr>
        <w:t xml:space="preserve"> </w:t>
      </w:r>
      <w:r w:rsidRPr="0082680A">
        <w:rPr>
          <w:b w:val="0"/>
          <w:lang w:val="en-GB"/>
        </w:rPr>
        <w:t>LoF results for TDP-43 common coexpression genes</w:t>
      </w:r>
      <w:r>
        <w:rPr>
          <w:b w:val="0"/>
          <w:lang w:val="en-GB"/>
        </w:rPr>
        <w:t xml:space="preserve">. </w:t>
      </w:r>
      <w:r w:rsidRPr="00A96286">
        <w:rPr>
          <w:b w:val="0"/>
          <w:i/>
          <w:lang w:val="en-GB"/>
        </w:rPr>
        <w:t>Gene Symbol</w:t>
      </w:r>
      <w:r>
        <w:rPr>
          <w:b w:val="0"/>
          <w:i/>
          <w:lang w:val="en-GB"/>
        </w:rPr>
        <w:t xml:space="preserve"> </w:t>
      </w:r>
      <w:r>
        <w:rPr>
          <w:b w:val="0"/>
          <w:lang w:val="en-GB"/>
        </w:rPr>
        <w:t xml:space="preserve">indicates the reported associated HGNC symbol. </w:t>
      </w:r>
      <w:proofErr w:type="spellStart"/>
      <w:r w:rsidRPr="007A46FA">
        <w:rPr>
          <w:b w:val="0"/>
          <w:i/>
          <w:lang w:val="en-GB"/>
        </w:rPr>
        <w:t>Hom</w:t>
      </w:r>
      <w:proofErr w:type="spellEnd"/>
      <w:r w:rsidRPr="007A46FA">
        <w:rPr>
          <w:b w:val="0"/>
          <w:i/>
          <w:lang w:val="en-GB"/>
        </w:rPr>
        <w:t>/Het</w:t>
      </w:r>
      <w:r>
        <w:rPr>
          <w:b w:val="0"/>
          <w:lang w:val="en-GB"/>
        </w:rPr>
        <w:t xml:space="preserve"> indicates if the mutation was homozygous or heterozygous in the patient it was discovered in.</w:t>
      </w:r>
      <w:bookmarkEnd w:id="411"/>
    </w:p>
    <w:p w14:paraId="6DDFCA31" w14:textId="385EC5E8" w:rsidR="007A46FA" w:rsidRPr="007A46FA" w:rsidRDefault="007A46FA" w:rsidP="007A46FA">
      <w:pPr>
        <w:pStyle w:val="Caption"/>
        <w:ind w:left="-284"/>
        <w:rPr>
          <w:lang w:val="en-GB"/>
        </w:rPr>
      </w:pPr>
      <w:r>
        <w:rPr>
          <w:lang w:val="en-GB"/>
        </w:rPr>
        <w:br w:type="page"/>
      </w:r>
    </w:p>
    <w:p w14:paraId="1FCD9C5C" w14:textId="77777777" w:rsidR="002961C1" w:rsidRDefault="00F72F37" w:rsidP="002961C1">
      <w:pPr>
        <w:pStyle w:val="NoSpacing"/>
        <w:keepNext/>
        <w:ind w:left="-284"/>
      </w:pPr>
      <w:r w:rsidRPr="0082680A">
        <w:rPr>
          <w:noProof/>
          <w:lang w:val="en-GB"/>
        </w:rPr>
        <w:lastRenderedPageBreak/>
        <w:drawing>
          <wp:inline distT="0" distB="0" distL="0" distR="0" wp14:anchorId="69830105" wp14:editId="2D9DFE0F">
            <wp:extent cx="5307761" cy="7563853"/>
            <wp:effectExtent l="0" t="0" r="1270" b="571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DP_LobbyIndexScores.pdf"/>
                    <pic:cNvPicPr/>
                  </pic:nvPicPr>
                  <pic:blipFill>
                    <a:blip r:embed="rId198">
                      <a:extLst>
                        <a:ext uri="{28A0092B-C50C-407E-A947-70E740481C1C}">
                          <a14:useLocalDpi xmlns:a14="http://schemas.microsoft.com/office/drawing/2010/main" val="0"/>
                        </a:ext>
                      </a:extLst>
                    </a:blip>
                    <a:stretch>
                      <a:fillRect/>
                    </a:stretch>
                  </pic:blipFill>
                  <pic:spPr>
                    <a:xfrm>
                      <a:off x="0" y="0"/>
                      <a:ext cx="5315831" cy="7575353"/>
                    </a:xfrm>
                    <a:prstGeom prst="rect">
                      <a:avLst/>
                    </a:prstGeom>
                  </pic:spPr>
                </pic:pic>
              </a:graphicData>
            </a:graphic>
          </wp:inline>
        </w:drawing>
      </w:r>
    </w:p>
    <w:p w14:paraId="1765FAD8" w14:textId="546A3F8C" w:rsidR="00F72F37" w:rsidRPr="0082680A" w:rsidRDefault="002961C1" w:rsidP="002961C1">
      <w:pPr>
        <w:pStyle w:val="Caption"/>
        <w:rPr>
          <w:lang w:val="en-GB"/>
        </w:rPr>
      </w:pPr>
      <w:bookmarkStart w:id="412" w:name="_Toc3225982"/>
      <w:r>
        <w:t xml:space="preserve">Appendix Table </w:t>
      </w:r>
      <w:r w:rsidR="00413A9D">
        <w:rPr>
          <w:noProof/>
        </w:rPr>
        <w:fldChar w:fldCharType="begin"/>
      </w:r>
      <w:r w:rsidR="00413A9D">
        <w:rPr>
          <w:noProof/>
        </w:rPr>
        <w:instrText xml:space="preserve"> SEQ Appendix_Table \* ARABIC </w:instrText>
      </w:r>
      <w:r w:rsidR="00413A9D">
        <w:rPr>
          <w:noProof/>
        </w:rPr>
        <w:fldChar w:fldCharType="separate"/>
      </w:r>
      <w:r w:rsidR="00066B5A">
        <w:rPr>
          <w:noProof/>
        </w:rPr>
        <w:t>2</w:t>
      </w:r>
      <w:r w:rsidR="00413A9D">
        <w:rPr>
          <w:noProof/>
        </w:rPr>
        <w:fldChar w:fldCharType="end"/>
      </w:r>
      <w:r>
        <w:t xml:space="preserve">: </w:t>
      </w:r>
      <w:r w:rsidRPr="0082680A">
        <w:rPr>
          <w:b w:val="0"/>
          <w:szCs w:val="22"/>
          <w:lang w:val="en-GB"/>
        </w:rPr>
        <w:t xml:space="preserve">Lobby index </w:t>
      </w:r>
      <w:r>
        <w:rPr>
          <w:b w:val="0"/>
          <w:szCs w:val="22"/>
          <w:lang w:val="en-GB"/>
        </w:rPr>
        <w:t>values</w:t>
      </w:r>
      <w:r w:rsidRPr="0082680A">
        <w:rPr>
          <w:b w:val="0"/>
          <w:szCs w:val="22"/>
          <w:lang w:val="en-GB"/>
        </w:rPr>
        <w:t xml:space="preserve"> for TDP-43 common coexpression module members</w:t>
      </w:r>
      <w:r>
        <w:rPr>
          <w:b w:val="0"/>
          <w:szCs w:val="22"/>
          <w:lang w:val="en-GB"/>
        </w:rPr>
        <w:t xml:space="preserve"> and resulting prioritisation score from 1-5.</w:t>
      </w:r>
      <w:bookmarkEnd w:id="412"/>
    </w:p>
    <w:p w14:paraId="31F42F13" w14:textId="77777777" w:rsidR="002961C1" w:rsidRDefault="00F72F37" w:rsidP="002961C1">
      <w:pPr>
        <w:pStyle w:val="NoSpacing"/>
        <w:keepNext/>
        <w:ind w:left="-567"/>
      </w:pPr>
      <w:r w:rsidRPr="0082680A">
        <w:rPr>
          <w:lang w:val="en-GB"/>
        </w:rPr>
        <w:br w:type="page"/>
      </w:r>
      <w:r w:rsidRPr="0082680A">
        <w:rPr>
          <w:noProof/>
          <w:lang w:val="en-GB"/>
        </w:rPr>
        <w:lastRenderedPageBreak/>
        <w:drawing>
          <wp:inline distT="0" distB="0" distL="0" distR="0" wp14:anchorId="4533FC5F" wp14:editId="7665A771">
            <wp:extent cx="5727700" cy="8034728"/>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DP_GeneXplain_Scores.pdf"/>
                    <pic:cNvPicPr/>
                  </pic:nvPicPr>
                  <pic:blipFill rotWithShape="1">
                    <a:blip r:embed="rId199">
                      <a:extLst>
                        <a:ext uri="{28A0092B-C50C-407E-A947-70E740481C1C}">
                          <a14:useLocalDpi xmlns:a14="http://schemas.microsoft.com/office/drawing/2010/main" val="0"/>
                        </a:ext>
                      </a:extLst>
                    </a:blip>
                    <a:srcRect b="1563"/>
                    <a:stretch/>
                  </pic:blipFill>
                  <pic:spPr bwMode="auto">
                    <a:xfrm>
                      <a:off x="0" y="0"/>
                      <a:ext cx="5727700" cy="8034728"/>
                    </a:xfrm>
                    <a:prstGeom prst="rect">
                      <a:avLst/>
                    </a:prstGeom>
                    <a:ln>
                      <a:noFill/>
                    </a:ln>
                    <a:extLst>
                      <a:ext uri="{53640926-AAD7-44D8-BBD7-CCE9431645EC}">
                        <a14:shadowObscured xmlns:a14="http://schemas.microsoft.com/office/drawing/2010/main"/>
                      </a:ext>
                    </a:extLst>
                  </pic:spPr>
                </pic:pic>
              </a:graphicData>
            </a:graphic>
          </wp:inline>
        </w:drawing>
      </w:r>
    </w:p>
    <w:p w14:paraId="393032FB" w14:textId="524B21B2" w:rsidR="00F72F37" w:rsidRPr="0082680A" w:rsidRDefault="002961C1" w:rsidP="002961C1">
      <w:pPr>
        <w:pStyle w:val="Caption"/>
        <w:rPr>
          <w:lang w:val="en-GB"/>
        </w:rPr>
      </w:pPr>
      <w:bookmarkStart w:id="413" w:name="_Toc3225983"/>
      <w:r>
        <w:t xml:space="preserve">Appendix Table </w:t>
      </w:r>
      <w:r w:rsidR="00413A9D">
        <w:rPr>
          <w:noProof/>
        </w:rPr>
        <w:fldChar w:fldCharType="begin"/>
      </w:r>
      <w:r w:rsidR="00413A9D">
        <w:rPr>
          <w:noProof/>
        </w:rPr>
        <w:instrText xml:space="preserve"> SEQ Appendix_Table \* ARABIC </w:instrText>
      </w:r>
      <w:r w:rsidR="00413A9D">
        <w:rPr>
          <w:noProof/>
        </w:rPr>
        <w:fldChar w:fldCharType="separate"/>
      </w:r>
      <w:r w:rsidR="00066B5A">
        <w:rPr>
          <w:noProof/>
        </w:rPr>
        <w:t>3</w:t>
      </w:r>
      <w:r w:rsidR="00413A9D">
        <w:rPr>
          <w:noProof/>
        </w:rPr>
        <w:fldChar w:fldCharType="end"/>
      </w:r>
      <w:r w:rsidRPr="0082680A">
        <w:rPr>
          <w:lang w:val="en-GB"/>
        </w:rPr>
        <w:t xml:space="preserve">: </w:t>
      </w:r>
      <w:r w:rsidRPr="0082680A">
        <w:rPr>
          <w:b w:val="0"/>
          <w:szCs w:val="22"/>
          <w:lang w:val="en-GB"/>
        </w:rPr>
        <w:t xml:space="preserve">GeneXplain </w:t>
      </w:r>
      <w:r>
        <w:rPr>
          <w:b w:val="0"/>
          <w:szCs w:val="22"/>
          <w:lang w:val="en-GB"/>
        </w:rPr>
        <w:t>rank</w:t>
      </w:r>
      <w:r w:rsidRPr="0082680A">
        <w:rPr>
          <w:b w:val="0"/>
          <w:szCs w:val="22"/>
          <w:lang w:val="en-GB"/>
        </w:rPr>
        <w:t xml:space="preserve"> for TDP-43 common coexpression module members</w:t>
      </w:r>
      <w:r>
        <w:rPr>
          <w:b w:val="0"/>
          <w:szCs w:val="22"/>
          <w:lang w:val="en-GB"/>
        </w:rPr>
        <w:t>. Ranks sum is the score given by GeneXplain on which genes are ranked. Prioritisation is scored 1-5.</w:t>
      </w:r>
      <w:bookmarkEnd w:id="413"/>
    </w:p>
    <w:p w14:paraId="75796988" w14:textId="77777777" w:rsidR="00F72F37" w:rsidRPr="0082680A" w:rsidRDefault="00F72F37" w:rsidP="00F72F37">
      <w:pPr>
        <w:rPr>
          <w:i/>
          <w:iCs/>
          <w:color w:val="1F497D" w:themeColor="text2"/>
          <w:lang w:val="en-GB"/>
        </w:rPr>
      </w:pPr>
      <w:r w:rsidRPr="0082680A">
        <w:rPr>
          <w:lang w:val="en-GB"/>
        </w:rPr>
        <w:br w:type="page"/>
      </w:r>
    </w:p>
    <w:p w14:paraId="08A23105" w14:textId="77777777" w:rsidR="002961C1" w:rsidRDefault="00F72F37" w:rsidP="002961C1">
      <w:pPr>
        <w:pStyle w:val="Caption"/>
        <w:keepNext/>
        <w:ind w:left="-142"/>
        <w:jc w:val="center"/>
      </w:pPr>
      <w:r w:rsidRPr="0082680A">
        <w:rPr>
          <w:noProof/>
          <w:szCs w:val="22"/>
          <w:lang w:val="en-GB"/>
        </w:rPr>
        <w:lastRenderedPageBreak/>
        <w:drawing>
          <wp:inline distT="0" distB="0" distL="0" distR="0" wp14:anchorId="34D59F93" wp14:editId="02579842">
            <wp:extent cx="4946754" cy="7862049"/>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DP_IP_Relationships.pdf"/>
                    <pic:cNvPicPr/>
                  </pic:nvPicPr>
                  <pic:blipFill rotWithShape="1">
                    <a:blip r:embed="rId200">
                      <a:extLst>
                        <a:ext uri="{28A0092B-C50C-407E-A947-70E740481C1C}">
                          <a14:useLocalDpi xmlns:a14="http://schemas.microsoft.com/office/drawing/2010/main" val="0"/>
                        </a:ext>
                      </a:extLst>
                    </a:blip>
                    <a:srcRect l="2618" t="1630" r="10998" b="2027"/>
                    <a:stretch/>
                  </pic:blipFill>
                  <pic:spPr bwMode="auto">
                    <a:xfrm>
                      <a:off x="0" y="0"/>
                      <a:ext cx="4947878" cy="7863835"/>
                    </a:xfrm>
                    <a:prstGeom prst="rect">
                      <a:avLst/>
                    </a:prstGeom>
                    <a:ln>
                      <a:noFill/>
                    </a:ln>
                    <a:extLst>
                      <a:ext uri="{53640926-AAD7-44D8-BBD7-CCE9431645EC}">
                        <a14:shadowObscured xmlns:a14="http://schemas.microsoft.com/office/drawing/2010/main"/>
                      </a:ext>
                    </a:extLst>
                  </pic:spPr>
                </pic:pic>
              </a:graphicData>
            </a:graphic>
          </wp:inline>
        </w:drawing>
      </w:r>
    </w:p>
    <w:p w14:paraId="796B88CC" w14:textId="4F5D499F" w:rsidR="00F72F37" w:rsidRPr="0082680A" w:rsidRDefault="002961C1" w:rsidP="002961C1">
      <w:pPr>
        <w:pStyle w:val="Caption"/>
        <w:rPr>
          <w:lang w:val="en-GB"/>
        </w:rPr>
      </w:pPr>
      <w:bookmarkStart w:id="414" w:name="_Toc3225984"/>
      <w:r>
        <w:t xml:space="preserve">Appendix Table </w:t>
      </w:r>
      <w:r w:rsidR="00413A9D">
        <w:rPr>
          <w:noProof/>
        </w:rPr>
        <w:fldChar w:fldCharType="begin"/>
      </w:r>
      <w:r w:rsidR="00413A9D">
        <w:rPr>
          <w:noProof/>
        </w:rPr>
        <w:instrText xml:space="preserve"> SEQ Appendix_Table \* ARABIC </w:instrText>
      </w:r>
      <w:r w:rsidR="00413A9D">
        <w:rPr>
          <w:noProof/>
        </w:rPr>
        <w:fldChar w:fldCharType="separate"/>
      </w:r>
      <w:r w:rsidR="00066B5A">
        <w:rPr>
          <w:noProof/>
        </w:rPr>
        <w:t>4</w:t>
      </w:r>
      <w:r w:rsidR="00413A9D">
        <w:rPr>
          <w:noProof/>
        </w:rPr>
        <w:fldChar w:fldCharType="end"/>
      </w:r>
      <w:r w:rsidRPr="0082680A">
        <w:rPr>
          <w:lang w:val="en-GB"/>
        </w:rPr>
        <w:t xml:space="preserve">: </w:t>
      </w:r>
      <w:r w:rsidRPr="0082680A">
        <w:rPr>
          <w:b w:val="0"/>
          <w:szCs w:val="22"/>
          <w:lang w:val="en-GB"/>
        </w:rPr>
        <w:t>IPA regulatory relationships between TDP-43 common coexpression module members</w:t>
      </w:r>
      <w:r>
        <w:rPr>
          <w:b w:val="0"/>
          <w:szCs w:val="22"/>
          <w:lang w:val="en-GB"/>
        </w:rPr>
        <w:t>.</w:t>
      </w:r>
      <w:bookmarkEnd w:id="414"/>
    </w:p>
    <w:p w14:paraId="73BFE530" w14:textId="77777777" w:rsidR="00F72F37" w:rsidRPr="0082680A" w:rsidRDefault="00F72F37" w:rsidP="00F72F37">
      <w:pPr>
        <w:rPr>
          <w:lang w:val="en-GB"/>
        </w:rPr>
      </w:pPr>
    </w:p>
    <w:p w14:paraId="23C868F0" w14:textId="77777777" w:rsidR="00F72F37" w:rsidRPr="0082680A" w:rsidRDefault="00F72F37" w:rsidP="00F72F37">
      <w:pPr>
        <w:rPr>
          <w:lang w:val="en-GB"/>
        </w:rPr>
      </w:pPr>
      <w:r w:rsidRPr="0082680A">
        <w:rPr>
          <w:lang w:val="en-GB"/>
        </w:rPr>
        <w:br w:type="page"/>
      </w:r>
    </w:p>
    <w:p w14:paraId="6AE50412" w14:textId="77777777" w:rsidR="002961C1" w:rsidRDefault="00F72F37" w:rsidP="002961C1">
      <w:pPr>
        <w:pStyle w:val="NoSpacing"/>
        <w:keepNext/>
        <w:ind w:left="-284"/>
      </w:pPr>
      <w:r w:rsidRPr="0082680A">
        <w:rPr>
          <w:noProof/>
          <w:lang w:val="en-GB"/>
        </w:rPr>
        <w:lastRenderedPageBreak/>
        <w:drawing>
          <wp:inline distT="0" distB="0" distL="0" distR="0" wp14:anchorId="7578C4E2" wp14:editId="3526190D">
            <wp:extent cx="5443538" cy="389001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DP_IPA_Scores.pdf"/>
                    <pic:cNvPicPr/>
                  </pic:nvPicPr>
                  <pic:blipFill rotWithShape="1">
                    <a:blip r:embed="rId201">
                      <a:extLst>
                        <a:ext uri="{28A0092B-C50C-407E-A947-70E740481C1C}">
                          <a14:useLocalDpi xmlns:a14="http://schemas.microsoft.com/office/drawing/2010/main" val="0"/>
                        </a:ext>
                      </a:extLst>
                    </a:blip>
                    <a:srcRect r="4952" b="7899"/>
                    <a:stretch/>
                  </pic:blipFill>
                  <pic:spPr bwMode="auto">
                    <a:xfrm>
                      <a:off x="0" y="0"/>
                      <a:ext cx="5444022" cy="3890356"/>
                    </a:xfrm>
                    <a:prstGeom prst="rect">
                      <a:avLst/>
                    </a:prstGeom>
                    <a:ln>
                      <a:noFill/>
                    </a:ln>
                    <a:extLst>
                      <a:ext uri="{53640926-AAD7-44D8-BBD7-CCE9431645EC}">
                        <a14:shadowObscured xmlns:a14="http://schemas.microsoft.com/office/drawing/2010/main"/>
                      </a:ext>
                    </a:extLst>
                  </pic:spPr>
                </pic:pic>
              </a:graphicData>
            </a:graphic>
          </wp:inline>
        </w:drawing>
      </w:r>
    </w:p>
    <w:p w14:paraId="178A4BA3" w14:textId="063E097B" w:rsidR="00F72F37" w:rsidRPr="0082680A" w:rsidRDefault="002961C1" w:rsidP="002961C1">
      <w:pPr>
        <w:pStyle w:val="Caption"/>
        <w:rPr>
          <w:lang w:val="en-GB"/>
        </w:rPr>
      </w:pPr>
      <w:bookmarkStart w:id="415" w:name="_Toc3225985"/>
      <w:r>
        <w:t xml:space="preserve">Appendix Table </w:t>
      </w:r>
      <w:r w:rsidR="00413A9D">
        <w:rPr>
          <w:noProof/>
        </w:rPr>
        <w:fldChar w:fldCharType="begin"/>
      </w:r>
      <w:r w:rsidR="00413A9D">
        <w:rPr>
          <w:noProof/>
        </w:rPr>
        <w:instrText xml:space="preserve"> SEQ Appendix_Table \* ARABIC </w:instrText>
      </w:r>
      <w:r w:rsidR="00413A9D">
        <w:rPr>
          <w:noProof/>
        </w:rPr>
        <w:fldChar w:fldCharType="separate"/>
      </w:r>
      <w:r w:rsidR="00066B5A">
        <w:rPr>
          <w:noProof/>
        </w:rPr>
        <w:t>5</w:t>
      </w:r>
      <w:r w:rsidR="00413A9D">
        <w:rPr>
          <w:noProof/>
        </w:rPr>
        <w:fldChar w:fldCharType="end"/>
      </w:r>
      <w:r w:rsidRPr="0082680A">
        <w:rPr>
          <w:lang w:val="en-GB"/>
        </w:rPr>
        <w:t xml:space="preserve">: </w:t>
      </w:r>
      <w:r w:rsidRPr="0082680A">
        <w:rPr>
          <w:b w:val="0"/>
          <w:szCs w:val="22"/>
          <w:lang w:val="en-GB"/>
        </w:rPr>
        <w:t>IPA scores for TDP-43 common coexpression module members</w:t>
      </w:r>
      <w:r>
        <w:rPr>
          <w:b w:val="0"/>
          <w:szCs w:val="22"/>
          <w:lang w:val="en-GB"/>
        </w:rPr>
        <w:t xml:space="preserve">. </w:t>
      </w:r>
      <w:r w:rsidRPr="007A46FA">
        <w:rPr>
          <w:b w:val="0"/>
          <w:i/>
          <w:szCs w:val="22"/>
          <w:lang w:val="en-GB"/>
        </w:rPr>
        <w:t>Number of targets</w:t>
      </w:r>
      <w:r>
        <w:rPr>
          <w:b w:val="0"/>
          <w:i/>
          <w:szCs w:val="22"/>
          <w:lang w:val="en-GB"/>
        </w:rPr>
        <w:t xml:space="preserve"> </w:t>
      </w:r>
      <w:r>
        <w:rPr>
          <w:b w:val="0"/>
          <w:szCs w:val="22"/>
          <w:lang w:val="en-GB"/>
        </w:rPr>
        <w:t xml:space="preserve">refers to the number of molecules each </w:t>
      </w:r>
      <w:r w:rsidRPr="007A46FA">
        <w:rPr>
          <w:b w:val="0"/>
          <w:i/>
          <w:szCs w:val="22"/>
          <w:lang w:val="en-GB"/>
        </w:rPr>
        <w:t>From Molecule</w:t>
      </w:r>
      <w:r>
        <w:rPr>
          <w:b w:val="0"/>
          <w:szCs w:val="22"/>
          <w:lang w:val="en-GB"/>
        </w:rPr>
        <w:t xml:space="preserve"> influences. Scores are from 1-5 based on this value</w:t>
      </w:r>
      <w:bookmarkEnd w:id="415"/>
    </w:p>
    <w:p w14:paraId="0535DB15" w14:textId="77777777" w:rsidR="00F72F37" w:rsidRPr="0082680A" w:rsidRDefault="00F72F37" w:rsidP="00F72F37">
      <w:pPr>
        <w:pStyle w:val="NoSpacing"/>
        <w:ind w:left="-284"/>
        <w:rPr>
          <w:lang w:val="en-GB"/>
        </w:rPr>
      </w:pPr>
    </w:p>
    <w:p w14:paraId="16A403BB" w14:textId="77777777" w:rsidR="00F72F37" w:rsidRPr="0082680A" w:rsidRDefault="00F72F37" w:rsidP="00F72F37">
      <w:pPr>
        <w:rPr>
          <w:i/>
          <w:iCs/>
          <w:color w:val="1F497D" w:themeColor="text2"/>
          <w:lang w:val="en-GB"/>
        </w:rPr>
      </w:pPr>
      <w:r w:rsidRPr="0082680A">
        <w:rPr>
          <w:lang w:val="en-GB"/>
        </w:rPr>
        <w:br w:type="page"/>
      </w:r>
    </w:p>
    <w:p w14:paraId="030D78D4" w14:textId="77777777" w:rsidR="002961C1" w:rsidRDefault="00F72F37" w:rsidP="002961C1">
      <w:pPr>
        <w:pStyle w:val="Caption"/>
        <w:keepNext/>
        <w:ind w:left="-426"/>
        <w:jc w:val="center"/>
      </w:pPr>
      <w:r w:rsidRPr="0082680A">
        <w:rPr>
          <w:noProof/>
          <w:szCs w:val="22"/>
          <w:lang w:val="en-GB"/>
        </w:rPr>
        <w:lastRenderedPageBreak/>
        <w:drawing>
          <wp:inline distT="0" distB="0" distL="0" distR="0" wp14:anchorId="119BD760" wp14:editId="22A23493">
            <wp:extent cx="5727700" cy="8162290"/>
            <wp:effectExtent l="0" t="0" r="0" b="381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DP_EndeavourScores.pdf"/>
                    <pic:cNvPicPr/>
                  </pic:nvPicPr>
                  <pic:blipFill>
                    <a:blip r:embed="rId202">
                      <a:extLst>
                        <a:ext uri="{28A0092B-C50C-407E-A947-70E740481C1C}">
                          <a14:useLocalDpi xmlns:a14="http://schemas.microsoft.com/office/drawing/2010/main" val="0"/>
                        </a:ext>
                      </a:extLst>
                    </a:blip>
                    <a:stretch>
                      <a:fillRect/>
                    </a:stretch>
                  </pic:blipFill>
                  <pic:spPr>
                    <a:xfrm>
                      <a:off x="0" y="0"/>
                      <a:ext cx="5727700" cy="8162290"/>
                    </a:xfrm>
                    <a:prstGeom prst="rect">
                      <a:avLst/>
                    </a:prstGeom>
                  </pic:spPr>
                </pic:pic>
              </a:graphicData>
            </a:graphic>
          </wp:inline>
        </w:drawing>
      </w:r>
    </w:p>
    <w:p w14:paraId="70010CAB" w14:textId="51E3F282" w:rsidR="00F72F37" w:rsidRPr="0082680A" w:rsidRDefault="002961C1" w:rsidP="002961C1">
      <w:pPr>
        <w:pStyle w:val="Caption"/>
        <w:rPr>
          <w:lang w:val="en-GB"/>
        </w:rPr>
      </w:pPr>
      <w:bookmarkStart w:id="416" w:name="_Toc3225986"/>
      <w:r>
        <w:t xml:space="preserve">Appendix Table </w:t>
      </w:r>
      <w:r w:rsidR="00413A9D">
        <w:rPr>
          <w:noProof/>
        </w:rPr>
        <w:fldChar w:fldCharType="begin"/>
      </w:r>
      <w:r w:rsidR="00413A9D">
        <w:rPr>
          <w:noProof/>
        </w:rPr>
        <w:instrText xml:space="preserve"> SEQ Appendix_Table \* ARABIC </w:instrText>
      </w:r>
      <w:r w:rsidR="00413A9D">
        <w:rPr>
          <w:noProof/>
        </w:rPr>
        <w:fldChar w:fldCharType="separate"/>
      </w:r>
      <w:r w:rsidR="00066B5A">
        <w:rPr>
          <w:noProof/>
        </w:rPr>
        <w:t>6</w:t>
      </w:r>
      <w:r w:rsidR="00413A9D">
        <w:rPr>
          <w:noProof/>
        </w:rPr>
        <w:fldChar w:fldCharType="end"/>
      </w:r>
      <w:r>
        <w:t>:</w:t>
      </w:r>
      <w:r w:rsidRPr="002961C1">
        <w:rPr>
          <w:b w:val="0"/>
          <w:szCs w:val="22"/>
          <w:lang w:val="en-GB"/>
        </w:rPr>
        <w:t xml:space="preserve"> </w:t>
      </w:r>
      <w:r w:rsidRPr="0082680A">
        <w:rPr>
          <w:b w:val="0"/>
          <w:szCs w:val="22"/>
          <w:lang w:val="en-GB"/>
        </w:rPr>
        <w:t>Endeavour Scores for TDP-43 common coexpression module members</w:t>
      </w:r>
      <w:r>
        <w:rPr>
          <w:b w:val="0"/>
          <w:szCs w:val="22"/>
          <w:lang w:val="en-GB"/>
        </w:rPr>
        <w:t>. Endeavour rank is the position after ranking by p-value. Score is from 0-5.</w:t>
      </w:r>
      <w:bookmarkEnd w:id="416"/>
    </w:p>
    <w:p w14:paraId="1DF68258" w14:textId="542B4462" w:rsidR="00F72F37" w:rsidRPr="0082680A" w:rsidRDefault="00F72F37" w:rsidP="00F72F37">
      <w:pPr>
        <w:pStyle w:val="Caption"/>
        <w:ind w:left="-426"/>
        <w:rPr>
          <w:noProof/>
          <w:szCs w:val="22"/>
          <w:lang w:val="en-GB"/>
        </w:rPr>
      </w:pPr>
      <w:r w:rsidRPr="0082680A">
        <w:rPr>
          <w:noProof/>
          <w:szCs w:val="22"/>
          <w:lang w:val="en-GB"/>
        </w:rPr>
        <w:br w:type="page"/>
      </w:r>
    </w:p>
    <w:p w14:paraId="0D8A6D2C" w14:textId="355ECC5A" w:rsidR="00F72F37" w:rsidRPr="0082680A" w:rsidRDefault="00F72F37" w:rsidP="00F72F37">
      <w:pPr>
        <w:spacing w:after="0" w:line="240" w:lineRule="auto"/>
        <w:contextualSpacing w:val="0"/>
        <w:rPr>
          <w:lang w:val="en-GB"/>
        </w:rPr>
      </w:pPr>
    </w:p>
    <w:p w14:paraId="28E9726F" w14:textId="77777777" w:rsidR="00F9241F" w:rsidRDefault="007E3613" w:rsidP="00F9241F">
      <w:pPr>
        <w:pStyle w:val="NoSpacing"/>
        <w:keepNext/>
        <w:jc w:val="center"/>
      </w:pPr>
      <w:r w:rsidRPr="007E3613">
        <w:rPr>
          <w:noProof/>
        </w:rPr>
        <mc:AlternateContent>
          <mc:Choice Requires="wps">
            <w:drawing>
              <wp:anchor distT="0" distB="0" distL="114300" distR="114300" simplePos="0" relativeHeight="251728896" behindDoc="0" locked="0" layoutInCell="1" allowOverlap="1" wp14:anchorId="563798E4" wp14:editId="42ED0B15">
                <wp:simplePos x="0" y="0"/>
                <wp:positionH relativeFrom="column">
                  <wp:posOffset>371475</wp:posOffset>
                </wp:positionH>
                <wp:positionV relativeFrom="paragraph">
                  <wp:posOffset>1905</wp:posOffset>
                </wp:positionV>
                <wp:extent cx="247015" cy="283845"/>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23A9552F"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3798E4" id="Text Box 114" o:spid="_x0000_s1065" type="#_x0000_t202" style="position:absolute;left:0;text-align:left;margin-left:29.25pt;margin-top:.15pt;width:19.45pt;height:22.3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" fillcolor="white [3201]" stroked="f" strokeweight=".5pt">
                <v:textbox>
                  <w:txbxContent>
                    <w:p w14:paraId="23A9552F"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Pr="007E3613">
        <w:rPr>
          <w:noProof/>
        </w:rPr>
        <mc:AlternateContent>
          <mc:Choice Requires="wps">
            <w:drawing>
              <wp:anchor distT="0" distB="0" distL="114300" distR="114300" simplePos="0" relativeHeight="251729920" behindDoc="0" locked="0" layoutInCell="1" allowOverlap="1" wp14:anchorId="1EE72D4C" wp14:editId="507F6907">
                <wp:simplePos x="0" y="0"/>
                <wp:positionH relativeFrom="column">
                  <wp:posOffset>364490</wp:posOffset>
                </wp:positionH>
                <wp:positionV relativeFrom="paragraph">
                  <wp:posOffset>2352675</wp:posOffset>
                </wp:positionV>
                <wp:extent cx="247015" cy="283845"/>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3235AE2A"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E72D4C" id="Text Box 115" o:spid="_x0000_s1066" type="#_x0000_t202" style="position:absolute;left:0;text-align:left;margin-left:28.7pt;margin-top:185.25pt;width:19.45pt;height:22.3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" fillcolor="white [3201]" stroked="f" strokeweight=".5pt">
                <v:textbox>
                  <w:txbxContent>
                    <w:p w14:paraId="3235AE2A"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7E3613">
        <w:rPr>
          <w:noProof/>
        </w:rPr>
        <mc:AlternateContent>
          <mc:Choice Requires="wps">
            <w:drawing>
              <wp:anchor distT="0" distB="0" distL="114300" distR="114300" simplePos="0" relativeHeight="251730944" behindDoc="0" locked="0" layoutInCell="1" allowOverlap="1" wp14:anchorId="0D037EFB" wp14:editId="61A34AF4">
                <wp:simplePos x="0" y="0"/>
                <wp:positionH relativeFrom="column">
                  <wp:posOffset>364644</wp:posOffset>
                </wp:positionH>
                <wp:positionV relativeFrom="paragraph">
                  <wp:posOffset>4682576</wp:posOffset>
                </wp:positionV>
                <wp:extent cx="247135" cy="284205"/>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50673CAD"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037EFB" id="Text Box 116" o:spid="_x0000_s1067" type="#_x0000_t202" style="position:absolute;left:0;text-align:left;margin-left:28.7pt;margin-top:368.7pt;width:19.45pt;height:22.4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" fillcolor="white [3201]" stroked="f" strokeweight=".5pt">
                <v:textbox>
                  <w:txbxContent>
                    <w:p w14:paraId="50673CAD"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B57F61">
        <w:rPr>
          <w:noProof/>
        </w:rPr>
        <w:drawing>
          <wp:inline distT="0" distB="0" distL="0" distR="0" wp14:anchorId="16E73637" wp14:editId="74A69342">
            <wp:extent cx="3679825" cy="2406587"/>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J_PCA.pdf"/>
                    <pic:cNvPicPr/>
                  </pic:nvPicPr>
                  <pic:blipFill rotWithShape="1">
                    <a:blip r:embed="rId203">
                      <a:extLst>
                        <a:ext uri="{28A0092B-C50C-407E-A947-70E740481C1C}">
                          <a14:useLocalDpi xmlns:a14="http://schemas.microsoft.com/office/drawing/2010/main" val="0"/>
                        </a:ext>
                      </a:extLst>
                    </a:blip>
                    <a:srcRect t="7854" b="2222"/>
                    <a:stretch/>
                  </pic:blipFill>
                  <pic:spPr bwMode="auto">
                    <a:xfrm>
                      <a:off x="0" y="0"/>
                      <a:ext cx="3680573" cy="2407076"/>
                    </a:xfrm>
                    <a:prstGeom prst="rect">
                      <a:avLst/>
                    </a:prstGeom>
                    <a:ln>
                      <a:noFill/>
                    </a:ln>
                    <a:extLst>
                      <a:ext uri="{53640926-AAD7-44D8-BBD7-CCE9431645EC}">
                        <a14:shadowObscured xmlns:a14="http://schemas.microsoft.com/office/drawing/2010/main"/>
                      </a:ext>
                    </a:extLst>
                  </pic:spPr>
                </pic:pic>
              </a:graphicData>
            </a:graphic>
          </wp:inline>
        </w:drawing>
      </w:r>
      <w:r w:rsidR="00F72F37" w:rsidRPr="00B57F61">
        <w:rPr>
          <w:noProof/>
        </w:rPr>
        <w:drawing>
          <wp:inline distT="0" distB="0" distL="0" distR="0" wp14:anchorId="09D83FC9" wp14:editId="30C8AF2F">
            <wp:extent cx="3729852" cy="2148840"/>
            <wp:effectExtent l="0" t="0" r="444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J_Boxplot.pdf"/>
                    <pic:cNvPicPr/>
                  </pic:nvPicPr>
                  <pic:blipFill rotWithShape="1">
                    <a:blip r:embed="rId204" cstate="print">
                      <a:extLst>
                        <a:ext uri="{28A0092B-C50C-407E-A947-70E740481C1C}">
                          <a14:useLocalDpi xmlns:a14="http://schemas.microsoft.com/office/drawing/2010/main" val="0"/>
                        </a:ext>
                      </a:extLst>
                    </a:blip>
                    <a:srcRect l="1328" t="10886" r="4418" b="12322"/>
                    <a:stretch/>
                  </pic:blipFill>
                  <pic:spPr bwMode="auto">
                    <a:xfrm>
                      <a:off x="0" y="0"/>
                      <a:ext cx="3732483" cy="2150356"/>
                    </a:xfrm>
                    <a:prstGeom prst="rect">
                      <a:avLst/>
                    </a:prstGeom>
                    <a:ln>
                      <a:noFill/>
                    </a:ln>
                    <a:extLst>
                      <a:ext uri="{53640926-AAD7-44D8-BBD7-CCE9431645EC}">
                        <a14:shadowObscured xmlns:a14="http://schemas.microsoft.com/office/drawing/2010/main"/>
                      </a:ext>
                    </a:extLst>
                  </pic:spPr>
                </pic:pic>
              </a:graphicData>
            </a:graphic>
          </wp:inline>
        </w:drawing>
      </w:r>
      <w:r w:rsidR="00F72F37" w:rsidRPr="00B57F61">
        <w:rPr>
          <w:noProof/>
        </w:rPr>
        <w:drawing>
          <wp:inline distT="0" distB="0" distL="0" distR="0" wp14:anchorId="38C7680F" wp14:editId="476E86FF">
            <wp:extent cx="3800694" cy="235394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J_Cluster.pdf"/>
                    <pic:cNvPicPr/>
                  </pic:nvPicPr>
                  <pic:blipFill rotWithShape="1">
                    <a:blip r:embed="rId205">
                      <a:extLst>
                        <a:ext uri="{28A0092B-C50C-407E-A947-70E740481C1C}">
                          <a14:useLocalDpi xmlns:a14="http://schemas.microsoft.com/office/drawing/2010/main" val="0"/>
                        </a:ext>
                      </a:extLst>
                    </a:blip>
                    <a:srcRect l="3612" t="4907" r="3103" b="13431"/>
                    <a:stretch/>
                  </pic:blipFill>
                  <pic:spPr bwMode="auto">
                    <a:xfrm>
                      <a:off x="0" y="0"/>
                      <a:ext cx="3809272" cy="2359258"/>
                    </a:xfrm>
                    <a:prstGeom prst="rect">
                      <a:avLst/>
                    </a:prstGeom>
                    <a:ln>
                      <a:noFill/>
                    </a:ln>
                    <a:extLst>
                      <a:ext uri="{53640926-AAD7-44D8-BBD7-CCE9431645EC}">
                        <a14:shadowObscured xmlns:a14="http://schemas.microsoft.com/office/drawing/2010/main"/>
                      </a:ext>
                    </a:extLst>
                  </pic:spPr>
                </pic:pic>
              </a:graphicData>
            </a:graphic>
          </wp:inline>
        </w:drawing>
      </w:r>
    </w:p>
    <w:p w14:paraId="4A4D5F97" w14:textId="7366FDC4" w:rsidR="00F72F37" w:rsidRDefault="00F9241F" w:rsidP="00F9241F">
      <w:pPr>
        <w:pStyle w:val="Caption"/>
      </w:pPr>
      <w:bookmarkStart w:id="417" w:name="_Toc3226027"/>
      <w:r>
        <w:t xml:space="preserve">Appendix Figure </w:t>
      </w:r>
      <w:r w:rsidR="00413A9D">
        <w:rPr>
          <w:noProof/>
        </w:rPr>
        <w:fldChar w:fldCharType="begin"/>
      </w:r>
      <w:r w:rsidR="00413A9D">
        <w:rPr>
          <w:noProof/>
        </w:rPr>
        <w:instrText xml:space="preserve"> SEQ Appendix_Figure \* ARABIC </w:instrText>
      </w:r>
      <w:r w:rsidR="00413A9D">
        <w:rPr>
          <w:noProof/>
        </w:rPr>
        <w:fldChar w:fldCharType="separate"/>
      </w:r>
      <w:r w:rsidR="00066B5A">
        <w:rPr>
          <w:noProof/>
        </w:rPr>
        <w:t>6</w:t>
      </w:r>
      <w:r w:rsidR="00413A9D">
        <w:rPr>
          <w:noProof/>
        </w:rPr>
        <w:fldChar w:fldCharType="end"/>
      </w:r>
      <w:r w:rsidRPr="0082680A">
        <w:rPr>
          <w:lang w:val="en-GB"/>
        </w:rPr>
        <w:t xml:space="preserve">: </w:t>
      </w:r>
      <w:r w:rsidRPr="00A12256">
        <w:rPr>
          <w:szCs w:val="22"/>
          <w:lang w:val="en-GB"/>
        </w:rPr>
        <w:t>Quality control results for GSE49036</w:t>
      </w:r>
      <w:r>
        <w:rPr>
          <w:lang w:val="en-GB"/>
        </w:rPr>
        <w:t>. A</w:t>
      </w:r>
      <w:r>
        <w:rPr>
          <w:b w:val="0"/>
          <w:lang w:val="en-GB"/>
        </w:rPr>
        <w:t xml:space="preserve"> </w:t>
      </w:r>
      <w:proofErr w:type="gramStart"/>
      <w:r>
        <w:rPr>
          <w:b w:val="0"/>
          <w:lang w:val="en-GB"/>
        </w:rPr>
        <w:t>shows</w:t>
      </w:r>
      <w:proofErr w:type="gramEnd"/>
      <w:r>
        <w:rPr>
          <w:b w:val="0"/>
          <w:lang w:val="en-GB"/>
        </w:rPr>
        <w:t xml:space="preserve"> a PCA plot of all samples. </w:t>
      </w:r>
      <w:r>
        <w:rPr>
          <w:lang w:val="en-GB"/>
        </w:rPr>
        <w:t>B</w:t>
      </w:r>
      <w:r>
        <w:rPr>
          <w:b w:val="0"/>
          <w:lang w:val="en-GB"/>
        </w:rPr>
        <w:t xml:space="preserve"> shows a boxplot of the log2 expression of the genes in each sample. </w:t>
      </w:r>
      <w:r>
        <w:rPr>
          <w:lang w:val="en-GB"/>
        </w:rPr>
        <w:t>C</w:t>
      </w:r>
      <w:r>
        <w:rPr>
          <w:b w:val="0"/>
          <w:lang w:val="en-GB"/>
        </w:rPr>
        <w:t xml:space="preserve"> shows an unsupervised clustering dendrogram of all samples. All expression is non-normalised. Orange indicates patients, turquoise indicates controls</w:t>
      </w:r>
      <w:bookmarkEnd w:id="417"/>
    </w:p>
    <w:p w14:paraId="3925FDFB" w14:textId="77777777" w:rsidR="00B57F61" w:rsidRPr="00B57F61" w:rsidRDefault="00B57F61" w:rsidP="00B57F61">
      <w:pPr>
        <w:pStyle w:val="NoSpacing"/>
        <w:jc w:val="center"/>
      </w:pPr>
    </w:p>
    <w:p w14:paraId="483AE4F0" w14:textId="77777777" w:rsidR="00F9241F" w:rsidRDefault="00F9241F" w:rsidP="00B57F61">
      <w:pPr>
        <w:pStyle w:val="Caption"/>
        <w:rPr>
          <w:lang w:val="en-GB"/>
        </w:rPr>
      </w:pPr>
    </w:p>
    <w:p w14:paraId="62B7CB82" w14:textId="04017D91" w:rsidR="00F72F37" w:rsidRPr="0082680A" w:rsidRDefault="00F9241F" w:rsidP="00B57F61">
      <w:pPr>
        <w:pStyle w:val="Caption"/>
        <w:rPr>
          <w:lang w:val="en-GB"/>
        </w:rPr>
      </w:pPr>
      <w:r w:rsidRPr="0082680A">
        <w:rPr>
          <w:lang w:val="en-GB"/>
        </w:rPr>
        <w:t xml:space="preserve"> </w:t>
      </w:r>
      <w:r w:rsidR="00F72F37" w:rsidRPr="0082680A">
        <w:rPr>
          <w:lang w:val="en-GB"/>
        </w:rPr>
        <w:br w:type="page"/>
      </w:r>
    </w:p>
    <w:p w14:paraId="40071D0F" w14:textId="492D661D" w:rsidR="00F72F37" w:rsidRPr="0082680A" w:rsidRDefault="007E3613" w:rsidP="00D170A4">
      <w:pPr>
        <w:pStyle w:val="NoSpacing"/>
        <w:jc w:val="center"/>
        <w:rPr>
          <w:lang w:val="en-GB"/>
        </w:rPr>
      </w:pPr>
      <w:r w:rsidRPr="007E3613">
        <w:rPr>
          <w:noProof/>
          <w:lang w:val="en-GB"/>
        </w:rPr>
        <w:lastRenderedPageBreak/>
        <mc:AlternateContent>
          <mc:Choice Requires="wps">
            <w:drawing>
              <wp:anchor distT="0" distB="0" distL="114300" distR="114300" simplePos="0" relativeHeight="251734016" behindDoc="0" locked="0" layoutInCell="1" allowOverlap="1" wp14:anchorId="050D9829" wp14:editId="468FA80D">
                <wp:simplePos x="0" y="0"/>
                <wp:positionH relativeFrom="column">
                  <wp:posOffset>456565</wp:posOffset>
                </wp:positionH>
                <wp:positionV relativeFrom="paragraph">
                  <wp:posOffset>2350135</wp:posOffset>
                </wp:positionV>
                <wp:extent cx="247015" cy="283845"/>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4247C3B4"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0D9829" id="Text Box 155" o:spid="_x0000_s1068" type="#_x0000_t202" style="position:absolute;left:0;text-align:left;margin-left:35.95pt;margin-top:185.05pt;width:19.45pt;height:22.3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" fillcolor="white [3201]" stroked="f" strokeweight=".5pt">
                <v:textbox>
                  <w:txbxContent>
                    <w:p w14:paraId="4247C3B4"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7E3613">
        <w:rPr>
          <w:noProof/>
          <w:lang w:val="en-GB"/>
        </w:rPr>
        <mc:AlternateContent>
          <mc:Choice Requires="wps">
            <w:drawing>
              <wp:anchor distT="0" distB="0" distL="114300" distR="114300" simplePos="0" relativeHeight="251732992" behindDoc="0" locked="0" layoutInCell="1" allowOverlap="1" wp14:anchorId="785805DD" wp14:editId="1731D424">
                <wp:simplePos x="0" y="0"/>
                <wp:positionH relativeFrom="column">
                  <wp:posOffset>464184</wp:posOffset>
                </wp:positionH>
                <wp:positionV relativeFrom="paragraph">
                  <wp:posOffset>-635</wp:posOffset>
                </wp:positionV>
                <wp:extent cx="247135" cy="28420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1ACF00CB"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5805DD" id="Text Box 146" o:spid="_x0000_s1069" type="#_x0000_t202" style="position:absolute;left:0;text-align:left;margin-left:36.55pt;margin-top:-.05pt;width:19.45pt;height:22.4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" fillcolor="white [3201]" stroked="f" strokeweight=".5pt">
                <v:textbox>
                  <w:txbxContent>
                    <w:p w14:paraId="1ACF00CB"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F72F37" w:rsidRPr="0082680A">
        <w:rPr>
          <w:noProof/>
          <w:lang w:val="en-GB"/>
        </w:rPr>
        <w:drawing>
          <wp:inline distT="0" distB="0" distL="0" distR="0" wp14:anchorId="0E416C7C" wp14:editId="0E972116">
            <wp:extent cx="3526155" cy="2359573"/>
            <wp:effectExtent l="0" t="0" r="4445" b="317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FR_PCA.pdf"/>
                    <pic:cNvPicPr/>
                  </pic:nvPicPr>
                  <pic:blipFill rotWithShape="1">
                    <a:blip r:embed="rId206">
                      <a:extLst>
                        <a:ext uri="{28A0092B-C50C-407E-A947-70E740481C1C}">
                          <a14:useLocalDpi xmlns:a14="http://schemas.microsoft.com/office/drawing/2010/main" val="0"/>
                        </a:ext>
                      </a:extLst>
                    </a:blip>
                    <a:srcRect t="8184" r="2572" b="2173"/>
                    <a:stretch/>
                  </pic:blipFill>
                  <pic:spPr bwMode="auto">
                    <a:xfrm>
                      <a:off x="0" y="0"/>
                      <a:ext cx="3527558" cy="2360512"/>
                    </a:xfrm>
                    <a:prstGeom prst="rect">
                      <a:avLst/>
                    </a:prstGeom>
                    <a:ln>
                      <a:noFill/>
                    </a:ln>
                    <a:extLst>
                      <a:ext uri="{53640926-AAD7-44D8-BBD7-CCE9431645EC}">
                        <a14:shadowObscured xmlns:a14="http://schemas.microsoft.com/office/drawing/2010/main"/>
                      </a:ext>
                    </a:extLst>
                  </pic:spPr>
                </pic:pic>
              </a:graphicData>
            </a:graphic>
          </wp:inline>
        </w:drawing>
      </w:r>
    </w:p>
    <w:p w14:paraId="6BF29253" w14:textId="3B648A9B" w:rsidR="00F72F37" w:rsidRPr="0082680A" w:rsidRDefault="00F72F37" w:rsidP="00D170A4">
      <w:pPr>
        <w:pStyle w:val="NoSpacing"/>
        <w:jc w:val="center"/>
        <w:rPr>
          <w:lang w:val="en-GB"/>
        </w:rPr>
      </w:pPr>
      <w:r w:rsidRPr="0082680A">
        <w:rPr>
          <w:noProof/>
          <w:lang w:val="en-GB"/>
        </w:rPr>
        <w:drawing>
          <wp:inline distT="0" distB="0" distL="0" distR="0" wp14:anchorId="2E222504" wp14:editId="56DD11F9">
            <wp:extent cx="3561516" cy="2017395"/>
            <wp:effectExtent l="0" t="0" r="0" b="190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FR_Boxplot.pdf"/>
                    <pic:cNvPicPr/>
                  </pic:nvPicPr>
                  <pic:blipFill rotWithShape="1">
                    <a:blip r:embed="rId207" cstate="print">
                      <a:extLst>
                        <a:ext uri="{28A0092B-C50C-407E-A947-70E740481C1C}">
                          <a14:useLocalDpi xmlns:a14="http://schemas.microsoft.com/office/drawing/2010/main" val="0"/>
                        </a:ext>
                      </a:extLst>
                    </a:blip>
                    <a:srcRect l="840" t="10881" r="4284" b="13120"/>
                    <a:stretch/>
                  </pic:blipFill>
                  <pic:spPr bwMode="auto">
                    <a:xfrm>
                      <a:off x="0" y="0"/>
                      <a:ext cx="3564390" cy="2019023"/>
                    </a:xfrm>
                    <a:prstGeom prst="rect">
                      <a:avLst/>
                    </a:prstGeom>
                    <a:ln>
                      <a:noFill/>
                    </a:ln>
                    <a:extLst>
                      <a:ext uri="{53640926-AAD7-44D8-BBD7-CCE9431645EC}">
                        <a14:shadowObscured xmlns:a14="http://schemas.microsoft.com/office/drawing/2010/main"/>
                      </a:ext>
                    </a:extLst>
                  </pic:spPr>
                </pic:pic>
              </a:graphicData>
            </a:graphic>
          </wp:inline>
        </w:drawing>
      </w:r>
    </w:p>
    <w:p w14:paraId="69D2998E" w14:textId="766F54A8" w:rsidR="00F72F37" w:rsidRDefault="007E3613" w:rsidP="00D170A4">
      <w:pPr>
        <w:pStyle w:val="NoSpacing"/>
        <w:jc w:val="center"/>
        <w:rPr>
          <w:lang w:val="en-GB"/>
        </w:rPr>
      </w:pPr>
      <w:r w:rsidRPr="007E3613">
        <w:rPr>
          <w:noProof/>
          <w:lang w:val="en-GB"/>
        </w:rPr>
        <mc:AlternateContent>
          <mc:Choice Requires="wps">
            <w:drawing>
              <wp:anchor distT="0" distB="0" distL="114300" distR="114300" simplePos="0" relativeHeight="251735040" behindDoc="0" locked="0" layoutInCell="1" allowOverlap="1" wp14:anchorId="27326F50" wp14:editId="3A4D0BF1">
                <wp:simplePos x="0" y="0"/>
                <wp:positionH relativeFrom="column">
                  <wp:posOffset>456565</wp:posOffset>
                </wp:positionH>
                <wp:positionV relativeFrom="paragraph">
                  <wp:posOffset>14605</wp:posOffset>
                </wp:positionV>
                <wp:extent cx="247135" cy="284205"/>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642E6B1B"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326F50" id="Text Box 156" o:spid="_x0000_s1070" type="#_x0000_t202" style="position:absolute;left:0;text-align:left;margin-left:35.95pt;margin-top:1.15pt;width:19.45pt;height:22.4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" fillcolor="white [3201]" stroked="f" strokeweight=".5pt">
                <v:textbox>
                  <w:txbxContent>
                    <w:p w14:paraId="642E6B1B"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72F4138B" wp14:editId="29835B32">
            <wp:extent cx="3631782" cy="2412125"/>
            <wp:effectExtent l="0" t="0" r="635" b="127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FR_Cluster.pdf"/>
                    <pic:cNvPicPr/>
                  </pic:nvPicPr>
                  <pic:blipFill rotWithShape="1">
                    <a:blip r:embed="rId208">
                      <a:extLst>
                        <a:ext uri="{28A0092B-C50C-407E-A947-70E740481C1C}">
                          <a14:useLocalDpi xmlns:a14="http://schemas.microsoft.com/office/drawing/2010/main" val="0"/>
                        </a:ext>
                      </a:extLst>
                    </a:blip>
                    <a:srcRect l="2038" t="10284" r="6138" b="3515"/>
                    <a:stretch/>
                  </pic:blipFill>
                  <pic:spPr bwMode="auto">
                    <a:xfrm>
                      <a:off x="0" y="0"/>
                      <a:ext cx="3640844" cy="2418144"/>
                    </a:xfrm>
                    <a:prstGeom prst="rect">
                      <a:avLst/>
                    </a:prstGeom>
                    <a:ln>
                      <a:noFill/>
                    </a:ln>
                    <a:extLst>
                      <a:ext uri="{53640926-AAD7-44D8-BBD7-CCE9431645EC}">
                        <a14:shadowObscured xmlns:a14="http://schemas.microsoft.com/office/drawing/2010/main"/>
                      </a:ext>
                    </a:extLst>
                  </pic:spPr>
                </pic:pic>
              </a:graphicData>
            </a:graphic>
          </wp:inline>
        </w:drawing>
      </w:r>
    </w:p>
    <w:p w14:paraId="6B1AC254" w14:textId="77777777" w:rsidR="00D170A4" w:rsidRPr="0082680A" w:rsidRDefault="00D170A4" w:rsidP="00D170A4">
      <w:pPr>
        <w:pStyle w:val="NoSpacing"/>
        <w:jc w:val="center"/>
        <w:rPr>
          <w:lang w:val="en-GB"/>
        </w:rPr>
      </w:pPr>
    </w:p>
    <w:p w14:paraId="7D365BB9" w14:textId="6E09C15C" w:rsidR="00F72F37" w:rsidRPr="0082680A" w:rsidRDefault="00F72F37" w:rsidP="00D170A4">
      <w:pPr>
        <w:pStyle w:val="Caption"/>
        <w:rPr>
          <w:lang w:val="en-GB"/>
        </w:rPr>
      </w:pPr>
      <w:bookmarkStart w:id="418" w:name="_Toc3226028"/>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7</w:t>
      </w:r>
      <w:r w:rsidR="00F45096" w:rsidRPr="0082680A">
        <w:rPr>
          <w:noProof/>
          <w:lang w:val="en-GB"/>
        </w:rPr>
        <w:fldChar w:fldCharType="end"/>
      </w:r>
      <w:r w:rsidRPr="0082680A">
        <w:rPr>
          <w:lang w:val="en-GB"/>
        </w:rPr>
        <w:t>:</w:t>
      </w:r>
      <w:r w:rsidRPr="0082680A">
        <w:rPr>
          <w:b w:val="0"/>
          <w:szCs w:val="22"/>
          <w:lang w:val="en-GB"/>
        </w:rPr>
        <w:t xml:space="preserve"> </w:t>
      </w:r>
      <w:r w:rsidRPr="00A12256">
        <w:rPr>
          <w:szCs w:val="22"/>
          <w:lang w:val="en-GB"/>
        </w:rPr>
        <w:t>Quality control results for GSE7621</w:t>
      </w:r>
      <w:r w:rsidR="00A12256">
        <w:rPr>
          <w:lang w:val="en-GB"/>
        </w:rPr>
        <w:t>. 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18"/>
      <w:r w:rsidRPr="0082680A">
        <w:rPr>
          <w:lang w:val="en-GB"/>
        </w:rPr>
        <w:br w:type="page"/>
      </w:r>
    </w:p>
    <w:p w14:paraId="2969CB68" w14:textId="2306CC2A" w:rsidR="00F72F37" w:rsidRPr="0082680A" w:rsidRDefault="007E3613" w:rsidP="00D170A4">
      <w:pPr>
        <w:pStyle w:val="NoSpacing"/>
        <w:jc w:val="center"/>
        <w:rPr>
          <w:lang w:val="en-GB"/>
        </w:rPr>
      </w:pPr>
      <w:r w:rsidRPr="007E3613">
        <w:rPr>
          <w:noProof/>
          <w:lang w:val="en-GB"/>
        </w:rPr>
        <w:lastRenderedPageBreak/>
        <mc:AlternateContent>
          <mc:Choice Requires="wps">
            <w:drawing>
              <wp:anchor distT="0" distB="0" distL="114300" distR="114300" simplePos="0" relativeHeight="251737088" behindDoc="0" locked="0" layoutInCell="1" allowOverlap="1" wp14:anchorId="14C3DC87" wp14:editId="097461EF">
                <wp:simplePos x="0" y="0"/>
                <wp:positionH relativeFrom="column">
                  <wp:posOffset>482600</wp:posOffset>
                </wp:positionH>
                <wp:positionV relativeFrom="paragraph">
                  <wp:posOffset>12700</wp:posOffset>
                </wp:positionV>
                <wp:extent cx="247015" cy="283845"/>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38CFE4EF"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C3DC87" id="Text Box 159" o:spid="_x0000_s1071" type="#_x0000_t202" style="position:absolute;left:0;text-align:left;margin-left:38pt;margin-top:1pt;width:19.45pt;height:22.3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" fillcolor="white [3201]" stroked="f" strokeweight=".5pt">
                <v:textbox>
                  <w:txbxContent>
                    <w:p w14:paraId="38CFE4EF"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Pr="007E3613">
        <w:rPr>
          <w:noProof/>
          <w:lang w:val="en-GB"/>
        </w:rPr>
        <mc:AlternateContent>
          <mc:Choice Requires="wps">
            <w:drawing>
              <wp:anchor distT="0" distB="0" distL="114300" distR="114300" simplePos="0" relativeHeight="251738112" behindDoc="0" locked="0" layoutInCell="1" allowOverlap="1" wp14:anchorId="6833E8BB" wp14:editId="64170857">
                <wp:simplePos x="0" y="0"/>
                <wp:positionH relativeFrom="column">
                  <wp:posOffset>475855</wp:posOffset>
                </wp:positionH>
                <wp:positionV relativeFrom="paragraph">
                  <wp:posOffset>2363607</wp:posOffset>
                </wp:positionV>
                <wp:extent cx="247135" cy="284205"/>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648A74DD"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33E8BB" id="Text Box 167" o:spid="_x0000_s1072" type="#_x0000_t202" style="position:absolute;left:0;text-align:left;margin-left:37.45pt;margin-top:186.1pt;width:19.45pt;height:22.4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" fillcolor="white [3201]" stroked="f" strokeweight=".5pt">
                <v:textbox>
                  <w:txbxContent>
                    <w:p w14:paraId="648A74DD"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00F72F37" w:rsidRPr="0082680A">
        <w:rPr>
          <w:noProof/>
          <w:lang w:val="en-GB"/>
        </w:rPr>
        <w:drawing>
          <wp:inline distT="0" distB="0" distL="0" distR="0" wp14:anchorId="19073CA5" wp14:editId="2B77DC42">
            <wp:extent cx="3557270" cy="2385849"/>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OR.SN_PCA.pdf"/>
                    <pic:cNvPicPr/>
                  </pic:nvPicPr>
                  <pic:blipFill rotWithShape="1">
                    <a:blip r:embed="rId209">
                      <a:extLst>
                        <a:ext uri="{28A0092B-C50C-407E-A947-70E740481C1C}">
                          <a14:useLocalDpi xmlns:a14="http://schemas.microsoft.com/office/drawing/2010/main" val="0"/>
                        </a:ext>
                      </a:extLst>
                    </a:blip>
                    <a:srcRect l="-3" t="8684" r="2796" b="1676"/>
                    <a:stretch/>
                  </pic:blipFill>
                  <pic:spPr bwMode="auto">
                    <a:xfrm>
                      <a:off x="0" y="0"/>
                      <a:ext cx="3558957" cy="2386980"/>
                    </a:xfrm>
                    <a:prstGeom prst="rect">
                      <a:avLst/>
                    </a:prstGeom>
                    <a:ln>
                      <a:noFill/>
                    </a:ln>
                    <a:extLst>
                      <a:ext uri="{53640926-AAD7-44D8-BBD7-CCE9431645EC}">
                        <a14:shadowObscured xmlns:a14="http://schemas.microsoft.com/office/drawing/2010/main"/>
                      </a:ext>
                    </a:extLst>
                  </pic:spPr>
                </pic:pic>
              </a:graphicData>
            </a:graphic>
          </wp:inline>
        </w:drawing>
      </w:r>
    </w:p>
    <w:p w14:paraId="5AAD30B8" w14:textId="57B487F2" w:rsidR="00F72F37" w:rsidRPr="0082680A" w:rsidRDefault="00F72F37" w:rsidP="00D170A4">
      <w:pPr>
        <w:pStyle w:val="NoSpacing"/>
        <w:jc w:val="center"/>
        <w:rPr>
          <w:lang w:val="en-GB"/>
        </w:rPr>
      </w:pPr>
      <w:r w:rsidRPr="0082680A">
        <w:rPr>
          <w:noProof/>
          <w:lang w:val="en-GB"/>
        </w:rPr>
        <w:drawing>
          <wp:inline distT="0" distB="0" distL="0" distR="0" wp14:anchorId="488727EA" wp14:editId="304996EF">
            <wp:extent cx="3585670" cy="2023242"/>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OR.SN_Boxplot.pdf"/>
                    <pic:cNvPicPr/>
                  </pic:nvPicPr>
                  <pic:blipFill rotWithShape="1">
                    <a:blip r:embed="rId210" cstate="print">
                      <a:extLst>
                        <a:ext uri="{28A0092B-C50C-407E-A947-70E740481C1C}">
                          <a14:useLocalDpi xmlns:a14="http://schemas.microsoft.com/office/drawing/2010/main" val="0"/>
                        </a:ext>
                      </a:extLst>
                    </a:blip>
                    <a:srcRect l="1019" t="10494" r="3796" b="13554"/>
                    <a:stretch/>
                  </pic:blipFill>
                  <pic:spPr bwMode="auto">
                    <a:xfrm>
                      <a:off x="0" y="0"/>
                      <a:ext cx="3591561" cy="2026566"/>
                    </a:xfrm>
                    <a:prstGeom prst="rect">
                      <a:avLst/>
                    </a:prstGeom>
                    <a:ln>
                      <a:noFill/>
                    </a:ln>
                    <a:extLst>
                      <a:ext uri="{53640926-AAD7-44D8-BBD7-CCE9431645EC}">
                        <a14:shadowObscured xmlns:a14="http://schemas.microsoft.com/office/drawing/2010/main"/>
                      </a:ext>
                    </a:extLst>
                  </pic:spPr>
                </pic:pic>
              </a:graphicData>
            </a:graphic>
          </wp:inline>
        </w:drawing>
      </w:r>
    </w:p>
    <w:p w14:paraId="514E1CB6" w14:textId="3E53DE11" w:rsidR="00F72F37" w:rsidRDefault="007E3613" w:rsidP="00D170A4">
      <w:pPr>
        <w:pStyle w:val="NoSpacing"/>
        <w:jc w:val="center"/>
        <w:rPr>
          <w:lang w:val="en-GB"/>
        </w:rPr>
      </w:pPr>
      <w:r w:rsidRPr="007E3613">
        <w:rPr>
          <w:noProof/>
          <w:lang w:val="en-GB"/>
        </w:rPr>
        <mc:AlternateContent>
          <mc:Choice Requires="wps">
            <w:drawing>
              <wp:anchor distT="0" distB="0" distL="114300" distR="114300" simplePos="0" relativeHeight="251739136" behindDoc="0" locked="0" layoutInCell="1" allowOverlap="1" wp14:anchorId="494B58E1" wp14:editId="14BA6739">
                <wp:simplePos x="0" y="0"/>
                <wp:positionH relativeFrom="column">
                  <wp:posOffset>475615</wp:posOffset>
                </wp:positionH>
                <wp:positionV relativeFrom="paragraph">
                  <wp:posOffset>3055</wp:posOffset>
                </wp:positionV>
                <wp:extent cx="247135" cy="284205"/>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045AAD5E"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B58E1" id="Text Box 170" o:spid="_x0000_s1073" type="#_x0000_t202" style="position:absolute;left:0;text-align:left;margin-left:37.45pt;margin-top:.25pt;width:19.45pt;height:22.4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" fillcolor="white [3201]" stroked="f" strokeweight=".5pt">
                <v:textbox>
                  <w:txbxContent>
                    <w:p w14:paraId="045AAD5E"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D170A4">
        <w:rPr>
          <w:lang w:val="en-GB"/>
        </w:rPr>
        <w:t xml:space="preserve">     </w:t>
      </w:r>
      <w:r w:rsidR="00F72F37" w:rsidRPr="0082680A">
        <w:rPr>
          <w:noProof/>
          <w:lang w:val="en-GB"/>
        </w:rPr>
        <w:drawing>
          <wp:inline distT="0" distB="0" distL="0" distR="0" wp14:anchorId="69376EA7" wp14:editId="046F23B5">
            <wp:extent cx="3596355" cy="2384855"/>
            <wp:effectExtent l="0" t="0" r="0" b="31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OR.SN_Cluster.pdf"/>
                    <pic:cNvPicPr/>
                  </pic:nvPicPr>
                  <pic:blipFill rotWithShape="1">
                    <a:blip r:embed="rId211">
                      <a:extLst>
                        <a:ext uri="{28A0092B-C50C-407E-A947-70E740481C1C}">
                          <a14:useLocalDpi xmlns:a14="http://schemas.microsoft.com/office/drawing/2010/main" val="0"/>
                        </a:ext>
                      </a:extLst>
                    </a:blip>
                    <a:srcRect l="1348" t="12627" r="5433"/>
                    <a:stretch/>
                  </pic:blipFill>
                  <pic:spPr bwMode="auto">
                    <a:xfrm>
                      <a:off x="0" y="0"/>
                      <a:ext cx="3604815" cy="2390465"/>
                    </a:xfrm>
                    <a:prstGeom prst="rect">
                      <a:avLst/>
                    </a:prstGeom>
                    <a:ln>
                      <a:noFill/>
                    </a:ln>
                    <a:extLst>
                      <a:ext uri="{53640926-AAD7-44D8-BBD7-CCE9431645EC}">
                        <a14:shadowObscured xmlns:a14="http://schemas.microsoft.com/office/drawing/2010/main"/>
                      </a:ext>
                    </a:extLst>
                  </pic:spPr>
                </pic:pic>
              </a:graphicData>
            </a:graphic>
          </wp:inline>
        </w:drawing>
      </w:r>
    </w:p>
    <w:p w14:paraId="0477C7F3" w14:textId="77777777" w:rsidR="00D170A4" w:rsidRPr="0082680A" w:rsidRDefault="00D170A4" w:rsidP="00D170A4">
      <w:pPr>
        <w:pStyle w:val="NoSpacing"/>
        <w:jc w:val="center"/>
        <w:rPr>
          <w:lang w:val="en-GB"/>
        </w:rPr>
      </w:pPr>
    </w:p>
    <w:p w14:paraId="4132D7D0" w14:textId="340142BC" w:rsidR="00F72F37" w:rsidRPr="0082680A" w:rsidRDefault="00F72F37" w:rsidP="00D170A4">
      <w:pPr>
        <w:pStyle w:val="Caption"/>
        <w:rPr>
          <w:lang w:val="en-GB"/>
        </w:rPr>
      </w:pPr>
      <w:bookmarkStart w:id="419" w:name="_Toc3226029"/>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8</w:t>
      </w:r>
      <w:r w:rsidR="00F45096" w:rsidRPr="0082680A">
        <w:rPr>
          <w:noProof/>
          <w:lang w:val="en-GB"/>
        </w:rPr>
        <w:fldChar w:fldCharType="end"/>
      </w:r>
      <w:r w:rsidRPr="0082680A">
        <w:rPr>
          <w:lang w:val="en-GB"/>
        </w:rPr>
        <w:t>:</w:t>
      </w:r>
      <w:r w:rsidRPr="0082680A">
        <w:rPr>
          <w:b w:val="0"/>
          <w:szCs w:val="22"/>
          <w:lang w:val="en-GB"/>
        </w:rPr>
        <w:t xml:space="preserve"> </w:t>
      </w:r>
      <w:r w:rsidRPr="00A12256">
        <w:rPr>
          <w:szCs w:val="22"/>
          <w:lang w:val="en-GB"/>
        </w:rPr>
        <w:t>Quality control results for GSE8397 (substantia nigra)</w:t>
      </w:r>
      <w:r w:rsidR="00A12256">
        <w:rPr>
          <w:szCs w:val="22"/>
          <w:lang w:val="en-GB"/>
        </w:rPr>
        <w:t xml:space="preserve">. </w:t>
      </w:r>
      <w:r w:rsidR="00A12256">
        <w:rPr>
          <w:lang w:val="en-GB"/>
        </w:rPr>
        <w:t>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19"/>
    </w:p>
    <w:p w14:paraId="568E1FA7" w14:textId="5E351726" w:rsidR="00F72F37" w:rsidRPr="0082680A" w:rsidRDefault="00F72F37" w:rsidP="00F72F37">
      <w:pPr>
        <w:pStyle w:val="Caption"/>
        <w:jc w:val="center"/>
        <w:rPr>
          <w:b w:val="0"/>
          <w:szCs w:val="22"/>
          <w:lang w:val="en-GB"/>
        </w:rPr>
      </w:pPr>
    </w:p>
    <w:p w14:paraId="25612263" w14:textId="39ED7B8C" w:rsidR="00F72F37" w:rsidRPr="0082680A" w:rsidRDefault="007E3613" w:rsidP="00D170A4">
      <w:pPr>
        <w:pStyle w:val="NoSpacing"/>
        <w:jc w:val="center"/>
        <w:rPr>
          <w:lang w:val="en-GB"/>
        </w:rPr>
      </w:pPr>
      <w:r w:rsidRPr="007E3613">
        <w:rPr>
          <w:noProof/>
          <w:lang w:val="en-GB"/>
        </w:rPr>
        <w:lastRenderedPageBreak/>
        <mc:AlternateContent>
          <mc:Choice Requires="wps">
            <w:drawing>
              <wp:anchor distT="0" distB="0" distL="114300" distR="114300" simplePos="0" relativeHeight="251742208" behindDoc="0" locked="0" layoutInCell="1" allowOverlap="1" wp14:anchorId="4FE27BBB" wp14:editId="75D9AB88">
                <wp:simplePos x="0" y="0"/>
                <wp:positionH relativeFrom="column">
                  <wp:posOffset>389255</wp:posOffset>
                </wp:positionH>
                <wp:positionV relativeFrom="paragraph">
                  <wp:posOffset>2461689</wp:posOffset>
                </wp:positionV>
                <wp:extent cx="247015" cy="283845"/>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012EBC1E"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E27BBB" id="Text Box 174" o:spid="_x0000_s1074" type="#_x0000_t202" style="position:absolute;left:0;text-align:left;margin-left:30.65pt;margin-top:193.85pt;width:19.45pt;height:22.3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" fillcolor="white [3201]" stroked="f" strokeweight=".5pt">
                <v:textbox>
                  <w:txbxContent>
                    <w:p w14:paraId="012EBC1E"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7E3613">
        <w:rPr>
          <w:noProof/>
          <w:lang w:val="en-GB"/>
        </w:rPr>
        <mc:AlternateContent>
          <mc:Choice Requires="wps">
            <w:drawing>
              <wp:anchor distT="0" distB="0" distL="114300" distR="114300" simplePos="0" relativeHeight="251743232" behindDoc="0" locked="0" layoutInCell="1" allowOverlap="1" wp14:anchorId="3ADF0933" wp14:editId="66A97768">
                <wp:simplePos x="0" y="0"/>
                <wp:positionH relativeFrom="column">
                  <wp:posOffset>389255</wp:posOffset>
                </wp:positionH>
                <wp:positionV relativeFrom="paragraph">
                  <wp:posOffset>4691380</wp:posOffset>
                </wp:positionV>
                <wp:extent cx="247015" cy="283845"/>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313B2F6D"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DF0933" id="Text Box 175" o:spid="_x0000_s1075" type="#_x0000_t202" style="position:absolute;left:0;text-align:left;margin-left:30.65pt;margin-top:369.4pt;width:19.45pt;height:22.3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" fillcolor="white [3201]" stroked="f" strokeweight=".5pt">
                <v:textbox>
                  <w:txbxContent>
                    <w:p w14:paraId="313B2F6D"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Pr="007E3613">
        <w:rPr>
          <w:noProof/>
          <w:lang w:val="en-GB"/>
        </w:rPr>
        <mc:AlternateContent>
          <mc:Choice Requires="wps">
            <w:drawing>
              <wp:anchor distT="0" distB="0" distL="114300" distR="114300" simplePos="0" relativeHeight="251741184" behindDoc="0" locked="0" layoutInCell="1" allowOverlap="1" wp14:anchorId="635B27F7" wp14:editId="49A8F350">
                <wp:simplePos x="0" y="0"/>
                <wp:positionH relativeFrom="column">
                  <wp:posOffset>396343</wp:posOffset>
                </wp:positionH>
                <wp:positionV relativeFrom="paragraph">
                  <wp:posOffset>11361</wp:posOffset>
                </wp:positionV>
                <wp:extent cx="247135" cy="284205"/>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4E16BC24"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5B27F7" id="Text Box 173" o:spid="_x0000_s1076" type="#_x0000_t202" style="position:absolute;left:0;text-align:left;margin-left:31.2pt;margin-top:.9pt;width:19.45pt;height:22.4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" fillcolor="white [3201]" stroked="f" strokeweight=".5pt">
                <v:textbox>
                  <w:txbxContent>
                    <w:p w14:paraId="4E16BC24"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F72F37" w:rsidRPr="0082680A">
        <w:rPr>
          <w:noProof/>
          <w:lang w:val="en-GB"/>
        </w:rPr>
        <w:drawing>
          <wp:inline distT="0" distB="0" distL="0" distR="0" wp14:anchorId="331D1C8B" wp14:editId="237ADA64">
            <wp:extent cx="3583305" cy="24589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ID1_PCA.pdf"/>
                    <pic:cNvPicPr/>
                  </pic:nvPicPr>
                  <pic:blipFill rotWithShape="1">
                    <a:blip r:embed="rId212">
                      <a:extLst>
                        <a:ext uri="{28A0092B-C50C-407E-A947-70E740481C1C}">
                          <a14:useLocalDpi xmlns:a14="http://schemas.microsoft.com/office/drawing/2010/main" val="0"/>
                        </a:ext>
                      </a:extLst>
                    </a:blip>
                    <a:srcRect t="6464" r="2615" b="1647"/>
                    <a:stretch/>
                  </pic:blipFill>
                  <pic:spPr bwMode="auto">
                    <a:xfrm>
                      <a:off x="0" y="0"/>
                      <a:ext cx="3584317" cy="2459689"/>
                    </a:xfrm>
                    <a:prstGeom prst="rect">
                      <a:avLst/>
                    </a:prstGeom>
                    <a:ln>
                      <a:noFill/>
                    </a:ln>
                    <a:extLst>
                      <a:ext uri="{53640926-AAD7-44D8-BBD7-CCE9431645EC}">
                        <a14:shadowObscured xmlns:a14="http://schemas.microsoft.com/office/drawing/2010/main"/>
                      </a:ext>
                    </a:extLst>
                  </pic:spPr>
                </pic:pic>
              </a:graphicData>
            </a:graphic>
          </wp:inline>
        </w:drawing>
      </w:r>
    </w:p>
    <w:p w14:paraId="1A70E5D7" w14:textId="77777777" w:rsidR="00F72F37" w:rsidRPr="0082680A" w:rsidRDefault="00F72F37" w:rsidP="00D170A4">
      <w:pPr>
        <w:pStyle w:val="NoSpacing"/>
        <w:jc w:val="center"/>
        <w:rPr>
          <w:lang w:val="en-GB"/>
        </w:rPr>
      </w:pPr>
      <w:r w:rsidRPr="0082680A">
        <w:rPr>
          <w:noProof/>
          <w:lang w:val="en-GB"/>
        </w:rPr>
        <w:drawing>
          <wp:inline distT="0" distB="0" distL="0" distR="0" wp14:anchorId="7A0FC2A5" wp14:editId="7E5512EA">
            <wp:extent cx="3755577" cy="2137410"/>
            <wp:effectExtent l="0" t="0" r="381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ID1_Boxplot.pdf"/>
                    <pic:cNvPicPr/>
                  </pic:nvPicPr>
                  <pic:blipFill rotWithShape="1">
                    <a:blip r:embed="rId213" cstate="print">
                      <a:extLst>
                        <a:ext uri="{28A0092B-C50C-407E-A947-70E740481C1C}">
                          <a14:useLocalDpi xmlns:a14="http://schemas.microsoft.com/office/drawing/2010/main" val="0"/>
                        </a:ext>
                      </a:extLst>
                    </a:blip>
                    <a:srcRect l="1249" t="9710" r="3850" b="13912"/>
                    <a:stretch/>
                  </pic:blipFill>
                  <pic:spPr bwMode="auto">
                    <a:xfrm>
                      <a:off x="0" y="0"/>
                      <a:ext cx="3758049" cy="2138817"/>
                    </a:xfrm>
                    <a:prstGeom prst="rect">
                      <a:avLst/>
                    </a:prstGeom>
                    <a:ln>
                      <a:noFill/>
                    </a:ln>
                    <a:extLst>
                      <a:ext uri="{53640926-AAD7-44D8-BBD7-CCE9431645EC}">
                        <a14:shadowObscured xmlns:a14="http://schemas.microsoft.com/office/drawing/2010/main"/>
                      </a:ext>
                    </a:extLst>
                  </pic:spPr>
                </pic:pic>
              </a:graphicData>
            </a:graphic>
          </wp:inline>
        </w:drawing>
      </w:r>
    </w:p>
    <w:p w14:paraId="6436E681" w14:textId="5C696DF4" w:rsidR="00F72F37" w:rsidRDefault="00F72F37" w:rsidP="00D170A4">
      <w:pPr>
        <w:pStyle w:val="NoSpacing"/>
        <w:jc w:val="center"/>
        <w:rPr>
          <w:lang w:val="en-GB"/>
        </w:rPr>
      </w:pPr>
      <w:r w:rsidRPr="0082680A">
        <w:rPr>
          <w:noProof/>
          <w:lang w:val="en-GB"/>
        </w:rPr>
        <w:drawing>
          <wp:inline distT="0" distB="0" distL="0" distR="0" wp14:anchorId="44CBE5EB" wp14:editId="272BF52C">
            <wp:extent cx="3694670" cy="2521332"/>
            <wp:effectExtent l="0" t="0" r="1270" b="635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ID1_Cluster.pdf"/>
                    <pic:cNvPicPr/>
                  </pic:nvPicPr>
                  <pic:blipFill rotWithShape="1">
                    <a:blip r:embed="rId214">
                      <a:extLst>
                        <a:ext uri="{28A0092B-C50C-407E-A947-70E740481C1C}">
                          <a14:useLocalDpi xmlns:a14="http://schemas.microsoft.com/office/drawing/2010/main" val="0"/>
                        </a:ext>
                      </a:extLst>
                    </a:blip>
                    <a:srcRect t="9931" r="6622"/>
                    <a:stretch/>
                  </pic:blipFill>
                  <pic:spPr bwMode="auto">
                    <a:xfrm>
                      <a:off x="0" y="0"/>
                      <a:ext cx="3695946" cy="2522202"/>
                    </a:xfrm>
                    <a:prstGeom prst="rect">
                      <a:avLst/>
                    </a:prstGeom>
                    <a:ln>
                      <a:noFill/>
                    </a:ln>
                    <a:extLst>
                      <a:ext uri="{53640926-AAD7-44D8-BBD7-CCE9431645EC}">
                        <a14:shadowObscured xmlns:a14="http://schemas.microsoft.com/office/drawing/2010/main"/>
                      </a:ext>
                    </a:extLst>
                  </pic:spPr>
                </pic:pic>
              </a:graphicData>
            </a:graphic>
          </wp:inline>
        </w:drawing>
      </w:r>
    </w:p>
    <w:p w14:paraId="53AC02BB" w14:textId="77777777" w:rsidR="00D170A4" w:rsidRPr="0082680A" w:rsidRDefault="00D170A4" w:rsidP="00D170A4">
      <w:pPr>
        <w:pStyle w:val="NoSpacing"/>
        <w:jc w:val="center"/>
        <w:rPr>
          <w:lang w:val="en-GB"/>
        </w:rPr>
      </w:pPr>
    </w:p>
    <w:p w14:paraId="1F7DCA1A" w14:textId="4D1F7BDA" w:rsidR="00F72F37" w:rsidRPr="0082680A" w:rsidRDefault="00F72F37" w:rsidP="00D170A4">
      <w:pPr>
        <w:pStyle w:val="Caption"/>
        <w:rPr>
          <w:lang w:val="en-GB"/>
        </w:rPr>
      </w:pPr>
      <w:bookmarkStart w:id="420" w:name="_Toc3226030"/>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9</w:t>
      </w:r>
      <w:r w:rsidR="00F45096" w:rsidRPr="0082680A">
        <w:rPr>
          <w:noProof/>
          <w:lang w:val="en-GB"/>
        </w:rPr>
        <w:fldChar w:fldCharType="end"/>
      </w:r>
      <w:r w:rsidRPr="0082680A">
        <w:rPr>
          <w:lang w:val="en-GB"/>
        </w:rPr>
        <w:t>:</w:t>
      </w:r>
      <w:r w:rsidRPr="0082680A">
        <w:rPr>
          <w:b w:val="0"/>
          <w:szCs w:val="22"/>
          <w:lang w:val="en-GB"/>
        </w:rPr>
        <w:t xml:space="preserve"> </w:t>
      </w:r>
      <w:r w:rsidRPr="00A12256">
        <w:rPr>
          <w:szCs w:val="22"/>
          <w:lang w:val="en-GB"/>
        </w:rPr>
        <w:t>Quality control results for GSE20141</w:t>
      </w:r>
      <w:r w:rsidR="00A12256">
        <w:rPr>
          <w:szCs w:val="22"/>
          <w:lang w:val="en-GB"/>
        </w:rPr>
        <w:t xml:space="preserve">. </w:t>
      </w:r>
      <w:r w:rsidR="00A12256">
        <w:rPr>
          <w:lang w:val="en-GB"/>
        </w:rPr>
        <w:t>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20"/>
      <w:r w:rsidRPr="0082680A">
        <w:rPr>
          <w:szCs w:val="22"/>
          <w:lang w:val="en-GB"/>
        </w:rPr>
        <w:br w:type="page"/>
      </w:r>
    </w:p>
    <w:p w14:paraId="37BEFB5F" w14:textId="60D03684" w:rsidR="00F72F37" w:rsidRPr="0082680A" w:rsidRDefault="007E3613" w:rsidP="005F2C0E">
      <w:pPr>
        <w:pStyle w:val="NoSpacing"/>
        <w:jc w:val="center"/>
        <w:rPr>
          <w:lang w:val="en-GB"/>
        </w:rPr>
      </w:pPr>
      <w:r w:rsidRPr="007E3613">
        <w:rPr>
          <w:noProof/>
          <w:lang w:val="en-GB"/>
        </w:rPr>
        <w:lastRenderedPageBreak/>
        <mc:AlternateContent>
          <mc:Choice Requires="wps">
            <w:drawing>
              <wp:anchor distT="0" distB="0" distL="114300" distR="114300" simplePos="0" relativeHeight="251745280" behindDoc="0" locked="0" layoutInCell="1" allowOverlap="1" wp14:anchorId="44641E8E" wp14:editId="6474C3A8">
                <wp:simplePos x="0" y="0"/>
                <wp:positionH relativeFrom="column">
                  <wp:posOffset>401955</wp:posOffset>
                </wp:positionH>
                <wp:positionV relativeFrom="paragraph">
                  <wp:posOffset>5183</wp:posOffset>
                </wp:positionV>
                <wp:extent cx="247015" cy="283845"/>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3A9676DE"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641E8E" id="Text Box 176" o:spid="_x0000_s1077" type="#_x0000_t202" style="position:absolute;left:0;text-align:left;margin-left:31.65pt;margin-top:.4pt;width:19.45pt;height:22.3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" fillcolor="white [3201]" stroked="f" strokeweight=".5pt">
                <v:textbox>
                  <w:txbxContent>
                    <w:p w14:paraId="3A9676DE"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Pr="007E3613">
        <w:rPr>
          <w:noProof/>
          <w:lang w:val="en-GB"/>
        </w:rPr>
        <mc:AlternateContent>
          <mc:Choice Requires="wps">
            <w:drawing>
              <wp:anchor distT="0" distB="0" distL="114300" distR="114300" simplePos="0" relativeHeight="251746304" behindDoc="0" locked="0" layoutInCell="1" allowOverlap="1" wp14:anchorId="08D113C1" wp14:editId="5C99FB9E">
                <wp:simplePos x="0" y="0"/>
                <wp:positionH relativeFrom="column">
                  <wp:posOffset>394970</wp:posOffset>
                </wp:positionH>
                <wp:positionV relativeFrom="paragraph">
                  <wp:posOffset>2390603</wp:posOffset>
                </wp:positionV>
                <wp:extent cx="247015" cy="283845"/>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7397CD71"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D113C1" id="Text Box 177" o:spid="_x0000_s1078" type="#_x0000_t202" style="position:absolute;left:0;text-align:left;margin-left:31.1pt;margin-top:188.25pt;width:19.45pt;height:22.3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" fillcolor="white [3201]" stroked="f" strokeweight=".5pt">
                <v:textbox>
                  <w:txbxContent>
                    <w:p w14:paraId="7397CD71"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7E3613">
        <w:rPr>
          <w:noProof/>
          <w:lang w:val="en-GB"/>
        </w:rPr>
        <mc:AlternateContent>
          <mc:Choice Requires="wps">
            <w:drawing>
              <wp:anchor distT="0" distB="0" distL="114300" distR="114300" simplePos="0" relativeHeight="251747328" behindDoc="0" locked="0" layoutInCell="1" allowOverlap="1" wp14:anchorId="18F47896" wp14:editId="5C523C2E">
                <wp:simplePos x="0" y="0"/>
                <wp:positionH relativeFrom="column">
                  <wp:posOffset>394970</wp:posOffset>
                </wp:positionH>
                <wp:positionV relativeFrom="paragraph">
                  <wp:posOffset>4679950</wp:posOffset>
                </wp:positionV>
                <wp:extent cx="247015" cy="283845"/>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2A11045E"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F47896" id="Text Box 178" o:spid="_x0000_s1079" type="#_x0000_t202" style="position:absolute;left:0;text-align:left;margin-left:31.1pt;margin-top:368.5pt;width:19.45pt;height:22.3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" fillcolor="white [3201]" stroked="f" strokeweight=".5pt">
                <v:textbox>
                  <w:txbxContent>
                    <w:p w14:paraId="2A11045E"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035E98A2" wp14:editId="5A03BB8D">
            <wp:extent cx="3629581" cy="2435808"/>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ID2_PCA.pdf"/>
                    <pic:cNvPicPr/>
                  </pic:nvPicPr>
                  <pic:blipFill rotWithShape="1">
                    <a:blip r:embed="rId215">
                      <a:extLst>
                        <a:ext uri="{28A0092B-C50C-407E-A947-70E740481C1C}">
                          <a14:useLocalDpi xmlns:a14="http://schemas.microsoft.com/office/drawing/2010/main" val="0"/>
                        </a:ext>
                      </a:extLst>
                    </a:blip>
                    <a:srcRect t="7724"/>
                    <a:stretch/>
                  </pic:blipFill>
                  <pic:spPr bwMode="auto">
                    <a:xfrm>
                      <a:off x="0" y="0"/>
                      <a:ext cx="3630000" cy="2436089"/>
                    </a:xfrm>
                    <a:prstGeom prst="rect">
                      <a:avLst/>
                    </a:prstGeom>
                    <a:ln>
                      <a:noFill/>
                    </a:ln>
                    <a:extLst>
                      <a:ext uri="{53640926-AAD7-44D8-BBD7-CCE9431645EC}">
                        <a14:shadowObscured xmlns:a14="http://schemas.microsoft.com/office/drawing/2010/main"/>
                      </a:ext>
                    </a:extLst>
                  </pic:spPr>
                </pic:pic>
              </a:graphicData>
            </a:graphic>
          </wp:inline>
        </w:drawing>
      </w:r>
    </w:p>
    <w:p w14:paraId="34BE40A2" w14:textId="77777777" w:rsidR="00F72F37" w:rsidRPr="0082680A" w:rsidRDefault="00F72F37" w:rsidP="005F2C0E">
      <w:pPr>
        <w:pStyle w:val="NoSpacing"/>
        <w:jc w:val="center"/>
        <w:rPr>
          <w:lang w:val="en-GB"/>
        </w:rPr>
      </w:pPr>
      <w:r w:rsidRPr="0082680A">
        <w:rPr>
          <w:noProof/>
          <w:lang w:val="en-GB"/>
        </w:rPr>
        <w:drawing>
          <wp:inline distT="0" distB="0" distL="0" distR="0" wp14:anchorId="567B0533" wp14:editId="58306C25">
            <wp:extent cx="3520877" cy="200723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D2_Boxplot.pdf"/>
                    <pic:cNvPicPr/>
                  </pic:nvPicPr>
                  <pic:blipFill rotWithShape="1">
                    <a:blip r:embed="rId216" cstate="print">
                      <a:extLst>
                        <a:ext uri="{28A0092B-C50C-407E-A947-70E740481C1C}">
                          <a14:useLocalDpi xmlns:a14="http://schemas.microsoft.com/office/drawing/2010/main" val="0"/>
                        </a:ext>
                      </a:extLst>
                    </a:blip>
                    <a:srcRect l="1167" t="10128" r="3869" b="13312"/>
                    <a:stretch/>
                  </pic:blipFill>
                  <pic:spPr bwMode="auto">
                    <a:xfrm>
                      <a:off x="0" y="0"/>
                      <a:ext cx="3523605" cy="2008790"/>
                    </a:xfrm>
                    <a:prstGeom prst="rect">
                      <a:avLst/>
                    </a:prstGeom>
                    <a:ln>
                      <a:noFill/>
                    </a:ln>
                    <a:extLst>
                      <a:ext uri="{53640926-AAD7-44D8-BBD7-CCE9431645EC}">
                        <a14:shadowObscured xmlns:a14="http://schemas.microsoft.com/office/drawing/2010/main"/>
                      </a:ext>
                    </a:extLst>
                  </pic:spPr>
                </pic:pic>
              </a:graphicData>
            </a:graphic>
          </wp:inline>
        </w:drawing>
      </w:r>
    </w:p>
    <w:p w14:paraId="0DC6D260" w14:textId="2E5D9CCB" w:rsidR="00F72F37" w:rsidRDefault="00F72F37" w:rsidP="005F2C0E">
      <w:pPr>
        <w:pStyle w:val="NoSpacing"/>
        <w:jc w:val="center"/>
        <w:rPr>
          <w:lang w:val="en-GB"/>
        </w:rPr>
      </w:pPr>
      <w:r w:rsidRPr="0082680A">
        <w:rPr>
          <w:noProof/>
          <w:lang w:val="en-GB"/>
        </w:rPr>
        <w:drawing>
          <wp:inline distT="0" distB="0" distL="0" distR="0" wp14:anchorId="6F43C96E" wp14:editId="453F744E">
            <wp:extent cx="3742862" cy="2521332"/>
            <wp:effectExtent l="0" t="0" r="381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ID2_Cluster.pdf"/>
                    <pic:cNvPicPr/>
                  </pic:nvPicPr>
                  <pic:blipFill rotWithShape="1">
                    <a:blip r:embed="rId217">
                      <a:extLst>
                        <a:ext uri="{28A0092B-C50C-407E-A947-70E740481C1C}">
                          <a14:useLocalDpi xmlns:a14="http://schemas.microsoft.com/office/drawing/2010/main" val="0"/>
                        </a:ext>
                      </a:extLst>
                    </a:blip>
                    <a:srcRect t="9931" r="5404"/>
                    <a:stretch/>
                  </pic:blipFill>
                  <pic:spPr bwMode="auto">
                    <a:xfrm>
                      <a:off x="0" y="0"/>
                      <a:ext cx="3744154" cy="2522202"/>
                    </a:xfrm>
                    <a:prstGeom prst="rect">
                      <a:avLst/>
                    </a:prstGeom>
                    <a:ln>
                      <a:noFill/>
                    </a:ln>
                    <a:extLst>
                      <a:ext uri="{53640926-AAD7-44D8-BBD7-CCE9431645EC}">
                        <a14:shadowObscured xmlns:a14="http://schemas.microsoft.com/office/drawing/2010/main"/>
                      </a:ext>
                    </a:extLst>
                  </pic:spPr>
                </pic:pic>
              </a:graphicData>
            </a:graphic>
          </wp:inline>
        </w:drawing>
      </w:r>
    </w:p>
    <w:p w14:paraId="5854E406" w14:textId="77777777" w:rsidR="005F2C0E" w:rsidRPr="0082680A" w:rsidRDefault="005F2C0E" w:rsidP="005F2C0E">
      <w:pPr>
        <w:pStyle w:val="NoSpacing"/>
        <w:jc w:val="center"/>
        <w:rPr>
          <w:lang w:val="en-GB"/>
        </w:rPr>
      </w:pPr>
    </w:p>
    <w:p w14:paraId="153E636E" w14:textId="2F15A9C5" w:rsidR="00F72F37" w:rsidRPr="0082680A" w:rsidRDefault="00F72F37" w:rsidP="005F2C0E">
      <w:pPr>
        <w:pStyle w:val="Caption"/>
        <w:rPr>
          <w:lang w:val="en-GB"/>
        </w:rPr>
      </w:pPr>
      <w:bookmarkStart w:id="421" w:name="_Toc3226031"/>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10</w:t>
      </w:r>
      <w:r w:rsidR="00F45096" w:rsidRPr="0082680A">
        <w:rPr>
          <w:noProof/>
          <w:lang w:val="en-GB"/>
        </w:rPr>
        <w:fldChar w:fldCharType="end"/>
      </w:r>
      <w:r w:rsidRPr="0082680A">
        <w:rPr>
          <w:lang w:val="en-GB"/>
        </w:rPr>
        <w:t xml:space="preserve">: </w:t>
      </w:r>
      <w:r w:rsidRPr="00A12256">
        <w:rPr>
          <w:szCs w:val="22"/>
          <w:lang w:val="en-GB"/>
        </w:rPr>
        <w:t>Quality control results for GSE20292</w:t>
      </w:r>
      <w:r w:rsidR="00A12256">
        <w:rPr>
          <w:szCs w:val="22"/>
          <w:lang w:val="en-GB"/>
        </w:rPr>
        <w:t xml:space="preserve">. </w:t>
      </w:r>
      <w:r w:rsidR="00A12256">
        <w:rPr>
          <w:lang w:val="en-GB"/>
        </w:rPr>
        <w:t>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21"/>
      <w:r w:rsidRPr="0082680A">
        <w:rPr>
          <w:szCs w:val="22"/>
          <w:lang w:val="en-GB"/>
        </w:rPr>
        <w:br w:type="page"/>
      </w:r>
    </w:p>
    <w:p w14:paraId="15792997" w14:textId="295FD63D" w:rsidR="00F72F37" w:rsidRPr="0082680A" w:rsidRDefault="00066B5A" w:rsidP="005F2C0E">
      <w:pPr>
        <w:pStyle w:val="NoSpacing"/>
        <w:jc w:val="center"/>
        <w:rPr>
          <w:lang w:val="en-GB"/>
        </w:rPr>
      </w:pPr>
      <w:r>
        <w:rPr>
          <w:noProof/>
          <w:lang w:val="en-GB"/>
        </w:rPr>
        <w:lastRenderedPageBreak/>
        <mc:AlternateContent>
          <mc:Choice Requires="wps">
            <w:drawing>
              <wp:anchor distT="0" distB="0" distL="114300" distR="114300" simplePos="0" relativeHeight="251945984" behindDoc="0" locked="0" layoutInCell="1" allowOverlap="1" wp14:anchorId="5CAABC99" wp14:editId="0075A6C0">
                <wp:simplePos x="0" y="0"/>
                <wp:positionH relativeFrom="column">
                  <wp:posOffset>921616</wp:posOffset>
                </wp:positionH>
                <wp:positionV relativeFrom="paragraph">
                  <wp:posOffset>41679</wp:posOffset>
                </wp:positionV>
                <wp:extent cx="471054" cy="166255"/>
                <wp:effectExtent l="0" t="0" r="12065" b="12065"/>
                <wp:wrapNone/>
                <wp:docPr id="364" name="Rectangle 364"/>
                <wp:cNvGraphicFramePr/>
                <a:graphic xmlns:a="http://schemas.openxmlformats.org/drawingml/2006/main">
                  <a:graphicData uri="http://schemas.microsoft.com/office/word/2010/wordprocessingShape">
                    <wps:wsp>
                      <wps:cNvSpPr/>
                      <wps:spPr>
                        <a:xfrm>
                          <a:off x="0" y="0"/>
                          <a:ext cx="471054" cy="166255"/>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2A4C7B3E" w14:textId="77777777" w:rsidR="00C2072C" w:rsidRPr="00066B5A" w:rsidRDefault="00C2072C" w:rsidP="00066B5A">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ABC99" id="Rectangle 364" o:spid="_x0000_s1080" style="position:absolute;left:0;text-align:left;margin-left:72.55pt;margin-top:3.3pt;width:37.1pt;height:13.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" filled="f" strokecolor="#5f497a [2407]">
                <v:textbox>
                  <w:txbxContent>
                    <w:p w14:paraId="2A4C7B3E" w14:textId="77777777" w:rsidR="00C2072C" w:rsidRPr="00066B5A" w:rsidRDefault="00C2072C" w:rsidP="00066B5A">
                      <w:pPr>
                        <w:jc w:val="center"/>
                        <w:rPr>
                          <w:lang w:val="en-US"/>
                        </w:rPr>
                      </w:pPr>
                      <w:r>
                        <w:rPr>
                          <w:lang w:val="en-US"/>
                        </w:rPr>
                        <w:t xml:space="preserve"> </w:t>
                      </w:r>
                    </w:p>
                  </w:txbxContent>
                </v:textbox>
              </v:rect>
            </w:pict>
          </mc:Fallback>
        </mc:AlternateContent>
      </w:r>
      <w:r>
        <w:rPr>
          <w:noProof/>
          <w:lang w:val="en-GB"/>
        </w:rPr>
        <mc:AlternateContent>
          <mc:Choice Requires="wps">
            <w:drawing>
              <wp:anchor distT="0" distB="0" distL="114300" distR="114300" simplePos="0" relativeHeight="251943936" behindDoc="0" locked="0" layoutInCell="1" allowOverlap="1" wp14:anchorId="064A0E8E" wp14:editId="7C74DCED">
                <wp:simplePos x="0" y="0"/>
                <wp:positionH relativeFrom="column">
                  <wp:posOffset>2487006</wp:posOffset>
                </wp:positionH>
                <wp:positionV relativeFrom="paragraph">
                  <wp:posOffset>1932652</wp:posOffset>
                </wp:positionV>
                <wp:extent cx="484909" cy="200891"/>
                <wp:effectExtent l="0" t="0" r="10795" b="15240"/>
                <wp:wrapNone/>
                <wp:docPr id="363" name="Rectangle 363"/>
                <wp:cNvGraphicFramePr/>
                <a:graphic xmlns:a="http://schemas.openxmlformats.org/drawingml/2006/main">
                  <a:graphicData uri="http://schemas.microsoft.com/office/word/2010/wordprocessingShape">
                    <wps:wsp>
                      <wps:cNvSpPr/>
                      <wps:spPr>
                        <a:xfrm>
                          <a:off x="0" y="0"/>
                          <a:ext cx="484909" cy="20089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38503EF1" w14:textId="09400392" w:rsidR="00C2072C" w:rsidRPr="00066B5A" w:rsidRDefault="00C2072C" w:rsidP="0009403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4A0E8E" id="Rectangle 363" o:spid="_x0000_s1081" style="position:absolute;left:0;text-align:left;margin-left:195.85pt;margin-top:152.2pt;width:38.2pt;height:15.8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" filled="f" strokecolor="#5f497a [2407]">
                <v:textbox>
                  <w:txbxContent>
                    <w:p w14:paraId="38503EF1" w14:textId="09400392" w:rsidR="00C2072C" w:rsidRPr="00066B5A" w:rsidRDefault="00C2072C" w:rsidP="0009403C">
                      <w:pPr>
                        <w:rPr>
                          <w:lang w:val="en-US"/>
                        </w:rPr>
                      </w:pPr>
                    </w:p>
                  </w:txbxContent>
                </v:textbox>
              </v:rect>
            </w:pict>
          </mc:Fallback>
        </mc:AlternateContent>
      </w:r>
      <w:r w:rsidR="007E3613" w:rsidRPr="007E3613">
        <w:rPr>
          <w:noProof/>
          <w:lang w:val="en-GB"/>
        </w:rPr>
        <mc:AlternateContent>
          <mc:Choice Requires="wps">
            <w:drawing>
              <wp:anchor distT="0" distB="0" distL="114300" distR="114300" simplePos="0" relativeHeight="251750400" behindDoc="0" locked="0" layoutInCell="1" allowOverlap="1" wp14:anchorId="713766D7" wp14:editId="613C843E">
                <wp:simplePos x="0" y="0"/>
                <wp:positionH relativeFrom="column">
                  <wp:posOffset>419340</wp:posOffset>
                </wp:positionH>
                <wp:positionV relativeFrom="paragraph">
                  <wp:posOffset>2343150</wp:posOffset>
                </wp:positionV>
                <wp:extent cx="247015" cy="283845"/>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585A58C9"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3766D7" id="Text Box 184" o:spid="_x0000_s1082" type="#_x0000_t202" style="position:absolute;left:0;text-align:left;margin-left:33pt;margin-top:184.5pt;width:19.45pt;height:22.3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" fillcolor="white [3201]" stroked="f" strokeweight=".5pt">
                <v:textbox>
                  <w:txbxContent>
                    <w:p w14:paraId="585A58C9"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007E3613" w:rsidRPr="007E3613">
        <w:rPr>
          <w:noProof/>
          <w:lang w:val="en-GB"/>
        </w:rPr>
        <mc:AlternateContent>
          <mc:Choice Requires="wps">
            <w:drawing>
              <wp:anchor distT="0" distB="0" distL="114300" distR="114300" simplePos="0" relativeHeight="251749376" behindDoc="0" locked="0" layoutInCell="1" allowOverlap="1" wp14:anchorId="3683A386" wp14:editId="55F18E68">
                <wp:simplePos x="0" y="0"/>
                <wp:positionH relativeFrom="column">
                  <wp:posOffset>420353</wp:posOffset>
                </wp:positionH>
                <wp:positionV relativeFrom="paragraph">
                  <wp:posOffset>41807</wp:posOffset>
                </wp:positionV>
                <wp:extent cx="247015" cy="283845"/>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526719EC"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83A386" id="Text Box 183" o:spid="_x0000_s1083" type="#_x0000_t202" style="position:absolute;left:0;text-align:left;margin-left:33.1pt;margin-top:3.3pt;width:19.45pt;height:22.3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" fillcolor="white [3201]" stroked="f" strokeweight=".5pt">
                <v:textbox>
                  <w:txbxContent>
                    <w:p w14:paraId="526719EC"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7E3613" w:rsidRPr="007E3613">
        <w:rPr>
          <w:noProof/>
          <w:lang w:val="en-GB"/>
        </w:rPr>
        <mc:AlternateContent>
          <mc:Choice Requires="wps">
            <w:drawing>
              <wp:anchor distT="0" distB="0" distL="114300" distR="114300" simplePos="0" relativeHeight="251751424" behindDoc="0" locked="0" layoutInCell="1" allowOverlap="1" wp14:anchorId="1677CCE1" wp14:editId="4C76F5DB">
                <wp:simplePos x="0" y="0"/>
                <wp:positionH relativeFrom="column">
                  <wp:posOffset>252730</wp:posOffset>
                </wp:positionH>
                <wp:positionV relativeFrom="paragraph">
                  <wp:posOffset>4672965</wp:posOffset>
                </wp:positionV>
                <wp:extent cx="247015" cy="283845"/>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1D0CFFFF"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77CCE1" id="Text Box 185" o:spid="_x0000_s1084" type="#_x0000_t202" style="position:absolute;left:0;text-align:left;margin-left:19.9pt;margin-top:367.95pt;width:19.45pt;height:22.3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" fillcolor="white [3201]" stroked="f" strokeweight=".5pt">
                <v:textbox>
                  <w:txbxContent>
                    <w:p w14:paraId="1D0CFFFF"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3489D186" wp14:editId="2C8DD540">
            <wp:extent cx="3608173" cy="245618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UM_PCA.pdf"/>
                    <pic:cNvPicPr/>
                  </pic:nvPicPr>
                  <pic:blipFill rotWithShape="1">
                    <a:blip r:embed="rId218">
                      <a:extLst>
                        <a:ext uri="{28A0092B-C50C-407E-A947-70E740481C1C}">
                          <a14:useLocalDpi xmlns:a14="http://schemas.microsoft.com/office/drawing/2010/main" val="0"/>
                        </a:ext>
                      </a:extLst>
                    </a:blip>
                    <a:srcRect t="8724" r="2483"/>
                    <a:stretch/>
                  </pic:blipFill>
                  <pic:spPr bwMode="auto">
                    <a:xfrm>
                      <a:off x="0" y="0"/>
                      <a:ext cx="3608633" cy="2456493"/>
                    </a:xfrm>
                    <a:prstGeom prst="rect">
                      <a:avLst/>
                    </a:prstGeom>
                    <a:ln>
                      <a:noFill/>
                    </a:ln>
                    <a:extLst>
                      <a:ext uri="{53640926-AAD7-44D8-BBD7-CCE9431645EC}">
                        <a14:shadowObscured xmlns:a14="http://schemas.microsoft.com/office/drawing/2010/main"/>
                      </a:ext>
                    </a:extLst>
                  </pic:spPr>
                </pic:pic>
              </a:graphicData>
            </a:graphic>
          </wp:inline>
        </w:drawing>
      </w:r>
    </w:p>
    <w:p w14:paraId="643D39EE" w14:textId="074BE7EB" w:rsidR="00F72F37" w:rsidRPr="0082680A" w:rsidRDefault="00066B5A" w:rsidP="005F2C0E">
      <w:pPr>
        <w:pStyle w:val="NoSpacing"/>
        <w:jc w:val="center"/>
        <w:rPr>
          <w:lang w:val="en-GB"/>
        </w:rPr>
      </w:pPr>
      <w:r>
        <w:rPr>
          <w:noProof/>
          <w:lang w:val="en-GB"/>
        </w:rPr>
        <mc:AlternateContent>
          <mc:Choice Requires="wps">
            <w:drawing>
              <wp:anchor distT="0" distB="0" distL="114300" distR="114300" simplePos="0" relativeHeight="251941888" behindDoc="0" locked="0" layoutInCell="1" allowOverlap="1" wp14:anchorId="5E564929" wp14:editId="4F3B7DA7">
                <wp:simplePos x="0" y="0"/>
                <wp:positionH relativeFrom="column">
                  <wp:posOffset>3013133</wp:posOffset>
                </wp:positionH>
                <wp:positionV relativeFrom="paragraph">
                  <wp:posOffset>1658042</wp:posOffset>
                </wp:positionV>
                <wp:extent cx="76200" cy="560471"/>
                <wp:effectExtent l="0" t="0" r="12700" b="11430"/>
                <wp:wrapNone/>
                <wp:docPr id="362" name="Rectangle 362"/>
                <wp:cNvGraphicFramePr/>
                <a:graphic xmlns:a="http://schemas.openxmlformats.org/drawingml/2006/main">
                  <a:graphicData uri="http://schemas.microsoft.com/office/word/2010/wordprocessingShape">
                    <wps:wsp>
                      <wps:cNvSpPr/>
                      <wps:spPr>
                        <a:xfrm>
                          <a:off x="0" y="0"/>
                          <a:ext cx="76200" cy="56047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2070F7BF" w14:textId="77777777" w:rsidR="00C2072C" w:rsidRPr="00066B5A" w:rsidRDefault="00C2072C" w:rsidP="00066B5A">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64929" id="Rectangle 362" o:spid="_x0000_s1085" style="position:absolute;left:0;text-align:left;margin-left:237.25pt;margin-top:130.55pt;width:6pt;height:44.1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" filled="f" strokecolor="#5f497a [2407]">
                <v:textbox>
                  <w:txbxContent>
                    <w:p w14:paraId="2070F7BF" w14:textId="77777777" w:rsidR="00C2072C" w:rsidRPr="00066B5A" w:rsidRDefault="00C2072C" w:rsidP="00066B5A">
                      <w:pPr>
                        <w:jc w:val="center"/>
                        <w:rPr>
                          <w:lang w:val="en-US"/>
                        </w:rPr>
                      </w:pPr>
                      <w:r>
                        <w:rPr>
                          <w:lang w:val="en-US"/>
                        </w:rPr>
                        <w:t xml:space="preserve"> </w:t>
                      </w:r>
                    </w:p>
                  </w:txbxContent>
                </v:textbox>
              </v:rect>
            </w:pict>
          </mc:Fallback>
        </mc:AlternateContent>
      </w:r>
      <w:r>
        <w:rPr>
          <w:noProof/>
          <w:lang w:val="en-GB"/>
        </w:rPr>
        <mc:AlternateContent>
          <mc:Choice Requires="wps">
            <w:drawing>
              <wp:anchor distT="0" distB="0" distL="114300" distR="114300" simplePos="0" relativeHeight="251939840" behindDoc="0" locked="0" layoutInCell="1" allowOverlap="1" wp14:anchorId="71F74999" wp14:editId="6C395B63">
                <wp:simplePos x="0" y="0"/>
                <wp:positionH relativeFrom="column">
                  <wp:posOffset>2659553</wp:posOffset>
                </wp:positionH>
                <wp:positionV relativeFrom="paragraph">
                  <wp:posOffset>1656715</wp:posOffset>
                </wp:positionV>
                <wp:extent cx="76200" cy="560471"/>
                <wp:effectExtent l="0" t="0" r="12700" b="11430"/>
                <wp:wrapNone/>
                <wp:docPr id="361" name="Rectangle 361"/>
                <wp:cNvGraphicFramePr/>
                <a:graphic xmlns:a="http://schemas.openxmlformats.org/drawingml/2006/main">
                  <a:graphicData uri="http://schemas.microsoft.com/office/word/2010/wordprocessingShape">
                    <wps:wsp>
                      <wps:cNvSpPr/>
                      <wps:spPr>
                        <a:xfrm>
                          <a:off x="0" y="0"/>
                          <a:ext cx="76200" cy="56047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2066C57E" w14:textId="77777777" w:rsidR="00C2072C" w:rsidRPr="00066B5A" w:rsidRDefault="00C2072C" w:rsidP="00066B5A">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74999" id="Rectangle 361" o:spid="_x0000_s1086" style="position:absolute;left:0;text-align:left;margin-left:209.4pt;margin-top:130.45pt;width:6pt;height:44.1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" filled="f" strokecolor="#5f497a [2407]">
                <v:textbox>
                  <w:txbxContent>
                    <w:p w14:paraId="2066C57E" w14:textId="77777777" w:rsidR="00C2072C" w:rsidRPr="00066B5A" w:rsidRDefault="00C2072C" w:rsidP="00066B5A">
                      <w:pPr>
                        <w:jc w:val="center"/>
                        <w:rPr>
                          <w:lang w:val="en-US"/>
                        </w:rPr>
                      </w:pPr>
                      <w:r>
                        <w:rPr>
                          <w:lang w:val="en-US"/>
                        </w:rPr>
                        <w:t xml:space="preserve"> </w:t>
                      </w:r>
                    </w:p>
                  </w:txbxContent>
                </v:textbox>
              </v:rect>
            </w:pict>
          </mc:Fallback>
        </mc:AlternateContent>
      </w:r>
      <w:r w:rsidR="00F72F37" w:rsidRPr="0082680A">
        <w:rPr>
          <w:noProof/>
          <w:lang w:val="en-GB"/>
        </w:rPr>
        <w:drawing>
          <wp:inline distT="0" distB="0" distL="0" distR="0" wp14:anchorId="47F5EE9A" wp14:editId="6C23CC2E">
            <wp:extent cx="3867966" cy="2162433"/>
            <wp:effectExtent l="0" t="0" r="571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UM_Boxplot.pdf"/>
                    <pic:cNvPicPr/>
                  </pic:nvPicPr>
                  <pic:blipFill rotWithShape="1">
                    <a:blip r:embed="rId219" cstate="print">
                      <a:extLst>
                        <a:ext uri="{28A0092B-C50C-407E-A947-70E740481C1C}">
                          <a14:useLocalDpi xmlns:a14="http://schemas.microsoft.com/office/drawing/2010/main" val="0"/>
                        </a:ext>
                      </a:extLst>
                    </a:blip>
                    <a:srcRect t="10944" r="3668" b="12898"/>
                    <a:stretch/>
                  </pic:blipFill>
                  <pic:spPr bwMode="auto">
                    <a:xfrm>
                      <a:off x="0" y="0"/>
                      <a:ext cx="3873540" cy="2165549"/>
                    </a:xfrm>
                    <a:prstGeom prst="rect">
                      <a:avLst/>
                    </a:prstGeom>
                    <a:ln>
                      <a:noFill/>
                    </a:ln>
                    <a:extLst>
                      <a:ext uri="{53640926-AAD7-44D8-BBD7-CCE9431645EC}">
                        <a14:shadowObscured xmlns:a14="http://schemas.microsoft.com/office/drawing/2010/main"/>
                      </a:ext>
                    </a:extLst>
                  </pic:spPr>
                </pic:pic>
              </a:graphicData>
            </a:graphic>
          </wp:inline>
        </w:drawing>
      </w:r>
    </w:p>
    <w:p w14:paraId="62FC42AF" w14:textId="5A071AB7" w:rsidR="00F72F37" w:rsidRDefault="00066B5A" w:rsidP="005F2C0E">
      <w:pPr>
        <w:pStyle w:val="NoSpacing"/>
        <w:jc w:val="center"/>
        <w:rPr>
          <w:lang w:val="en-GB"/>
        </w:rPr>
      </w:pPr>
      <w:r>
        <w:rPr>
          <w:noProof/>
          <w:lang w:val="en-GB"/>
        </w:rPr>
        <mc:AlternateContent>
          <mc:Choice Requires="wps">
            <w:drawing>
              <wp:anchor distT="0" distB="0" distL="114300" distR="114300" simplePos="0" relativeHeight="251937792" behindDoc="0" locked="0" layoutInCell="1" allowOverlap="1" wp14:anchorId="52C8758F" wp14:editId="4D1E59C5">
                <wp:simplePos x="0" y="0"/>
                <wp:positionH relativeFrom="column">
                  <wp:posOffset>3747770</wp:posOffset>
                </wp:positionH>
                <wp:positionV relativeFrom="paragraph">
                  <wp:posOffset>1857606</wp:posOffset>
                </wp:positionV>
                <wp:extent cx="76200" cy="560471"/>
                <wp:effectExtent l="0" t="0" r="12700" b="11430"/>
                <wp:wrapNone/>
                <wp:docPr id="360" name="Rectangle 360"/>
                <wp:cNvGraphicFramePr/>
                <a:graphic xmlns:a="http://schemas.openxmlformats.org/drawingml/2006/main">
                  <a:graphicData uri="http://schemas.microsoft.com/office/word/2010/wordprocessingShape">
                    <wps:wsp>
                      <wps:cNvSpPr/>
                      <wps:spPr>
                        <a:xfrm>
                          <a:off x="0" y="0"/>
                          <a:ext cx="76200" cy="56047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771E24C1" w14:textId="77777777" w:rsidR="00C2072C" w:rsidRPr="00066B5A" w:rsidRDefault="00C2072C" w:rsidP="00066B5A">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8758F" id="Rectangle 360" o:spid="_x0000_s1087" style="position:absolute;left:0;text-align:left;margin-left:295.1pt;margin-top:146.25pt;width:6pt;height:44.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" filled="f" strokecolor="#5f497a [2407]">
                <v:textbox>
                  <w:txbxContent>
                    <w:p w14:paraId="771E24C1" w14:textId="77777777" w:rsidR="00C2072C" w:rsidRPr="00066B5A" w:rsidRDefault="00C2072C" w:rsidP="00066B5A">
                      <w:pPr>
                        <w:jc w:val="center"/>
                        <w:rPr>
                          <w:lang w:val="en-US"/>
                        </w:rPr>
                      </w:pPr>
                      <w:r>
                        <w:rPr>
                          <w:lang w:val="en-US"/>
                        </w:rPr>
                        <w:t xml:space="preserve"> </w:t>
                      </w:r>
                    </w:p>
                  </w:txbxContent>
                </v:textbox>
              </v:rect>
            </w:pict>
          </mc:Fallback>
        </mc:AlternateContent>
      </w:r>
      <w:r>
        <w:rPr>
          <w:noProof/>
          <w:lang w:val="en-GB"/>
        </w:rPr>
        <mc:AlternateContent>
          <mc:Choice Requires="wps">
            <w:drawing>
              <wp:anchor distT="0" distB="0" distL="114300" distR="114300" simplePos="0" relativeHeight="251935744" behindDoc="0" locked="0" layoutInCell="1" allowOverlap="1" wp14:anchorId="7FE6DE09" wp14:editId="57BF05C4">
                <wp:simplePos x="0" y="0"/>
                <wp:positionH relativeFrom="column">
                  <wp:posOffset>928543</wp:posOffset>
                </wp:positionH>
                <wp:positionV relativeFrom="paragraph">
                  <wp:posOffset>1858760</wp:posOffset>
                </wp:positionV>
                <wp:extent cx="76200" cy="560471"/>
                <wp:effectExtent l="0" t="0" r="12700" b="11430"/>
                <wp:wrapNone/>
                <wp:docPr id="359" name="Rectangle 359"/>
                <wp:cNvGraphicFramePr/>
                <a:graphic xmlns:a="http://schemas.openxmlformats.org/drawingml/2006/main">
                  <a:graphicData uri="http://schemas.microsoft.com/office/word/2010/wordprocessingShape">
                    <wps:wsp>
                      <wps:cNvSpPr/>
                      <wps:spPr>
                        <a:xfrm>
                          <a:off x="0" y="0"/>
                          <a:ext cx="76200" cy="56047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4A5ABA17" w14:textId="77777777" w:rsidR="00C2072C" w:rsidRPr="00066B5A" w:rsidRDefault="00C2072C" w:rsidP="00066B5A">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6DE09" id="Rectangle 359" o:spid="_x0000_s1088" style="position:absolute;left:0;text-align:left;margin-left:73.1pt;margin-top:146.35pt;width:6pt;height:44.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" filled="f" strokecolor="#5f497a [2407]">
                <v:textbox>
                  <w:txbxContent>
                    <w:p w14:paraId="4A5ABA17" w14:textId="77777777" w:rsidR="00C2072C" w:rsidRPr="00066B5A" w:rsidRDefault="00C2072C" w:rsidP="00066B5A">
                      <w:pPr>
                        <w:jc w:val="center"/>
                        <w:rPr>
                          <w:lang w:val="en-US"/>
                        </w:rPr>
                      </w:pPr>
                      <w:r>
                        <w:rPr>
                          <w:lang w:val="en-US"/>
                        </w:rPr>
                        <w:t xml:space="preserve"> </w:t>
                      </w:r>
                    </w:p>
                  </w:txbxContent>
                </v:textbox>
              </v:rect>
            </w:pict>
          </mc:Fallback>
        </mc:AlternateContent>
      </w:r>
      <w:r w:rsidR="00F72F37" w:rsidRPr="0082680A">
        <w:rPr>
          <w:noProof/>
          <w:lang w:val="en-GB"/>
        </w:rPr>
        <w:drawing>
          <wp:inline distT="0" distB="0" distL="0" distR="0" wp14:anchorId="6D485DCE" wp14:editId="64447092">
            <wp:extent cx="4107418" cy="2415746"/>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UM_Cluster.pdf"/>
                    <pic:cNvPicPr/>
                  </pic:nvPicPr>
                  <pic:blipFill rotWithShape="1">
                    <a:blip r:embed="rId220">
                      <a:extLst>
                        <a:ext uri="{28A0092B-C50C-407E-A947-70E740481C1C}">
                          <a14:useLocalDpi xmlns:a14="http://schemas.microsoft.com/office/drawing/2010/main" val="0"/>
                        </a:ext>
                      </a:extLst>
                    </a:blip>
                    <a:srcRect t="3223" b="13646"/>
                    <a:stretch/>
                  </pic:blipFill>
                  <pic:spPr bwMode="auto">
                    <a:xfrm>
                      <a:off x="0" y="0"/>
                      <a:ext cx="4120055" cy="2423179"/>
                    </a:xfrm>
                    <a:prstGeom prst="rect">
                      <a:avLst/>
                    </a:prstGeom>
                    <a:ln>
                      <a:noFill/>
                    </a:ln>
                    <a:extLst>
                      <a:ext uri="{53640926-AAD7-44D8-BBD7-CCE9431645EC}">
                        <a14:shadowObscured xmlns:a14="http://schemas.microsoft.com/office/drawing/2010/main"/>
                      </a:ext>
                    </a:extLst>
                  </pic:spPr>
                </pic:pic>
              </a:graphicData>
            </a:graphic>
          </wp:inline>
        </w:drawing>
      </w:r>
    </w:p>
    <w:p w14:paraId="702FDBC2" w14:textId="77777777" w:rsidR="005F2C0E" w:rsidRPr="0082680A" w:rsidRDefault="005F2C0E" w:rsidP="005F2C0E">
      <w:pPr>
        <w:pStyle w:val="NoSpacing"/>
        <w:jc w:val="center"/>
        <w:rPr>
          <w:lang w:val="en-GB"/>
        </w:rPr>
      </w:pPr>
    </w:p>
    <w:p w14:paraId="1ED8A0BD" w14:textId="0C97E63D" w:rsidR="00F72F37" w:rsidRPr="0082680A" w:rsidRDefault="00F72F37" w:rsidP="005F2C0E">
      <w:pPr>
        <w:pStyle w:val="Caption"/>
        <w:rPr>
          <w:lang w:val="en-GB"/>
        </w:rPr>
      </w:pPr>
      <w:bookmarkStart w:id="422" w:name="_Toc3226032"/>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11</w:t>
      </w:r>
      <w:r w:rsidR="00F45096" w:rsidRPr="0082680A">
        <w:rPr>
          <w:noProof/>
          <w:lang w:val="en-GB"/>
        </w:rPr>
        <w:fldChar w:fldCharType="end"/>
      </w:r>
      <w:r w:rsidRPr="0082680A">
        <w:rPr>
          <w:lang w:val="en-GB"/>
        </w:rPr>
        <w:t xml:space="preserve">: </w:t>
      </w:r>
      <w:r w:rsidRPr="00A12256">
        <w:rPr>
          <w:szCs w:val="22"/>
          <w:lang w:val="en-GB"/>
        </w:rPr>
        <w:t>Quality control results for GSE68719</w:t>
      </w:r>
      <w:r w:rsidR="00A12256">
        <w:rPr>
          <w:szCs w:val="22"/>
          <w:lang w:val="en-GB"/>
        </w:rPr>
        <w:t xml:space="preserve">. </w:t>
      </w:r>
      <w:r w:rsidR="00A12256">
        <w:rPr>
          <w:lang w:val="en-GB"/>
        </w:rPr>
        <w:t>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22"/>
      <w:r w:rsidRPr="0082680A">
        <w:rPr>
          <w:szCs w:val="22"/>
          <w:lang w:val="en-GB"/>
        </w:rPr>
        <w:br w:type="page"/>
      </w:r>
    </w:p>
    <w:p w14:paraId="5E5D1511" w14:textId="36FA2E54" w:rsidR="00F72F37" w:rsidRPr="0082680A" w:rsidRDefault="007E3613" w:rsidP="008708A7">
      <w:pPr>
        <w:pStyle w:val="NoSpacing"/>
        <w:jc w:val="center"/>
        <w:rPr>
          <w:lang w:val="en-GB"/>
        </w:rPr>
      </w:pPr>
      <w:r w:rsidRPr="007E3613">
        <w:rPr>
          <w:noProof/>
          <w:lang w:val="en-GB"/>
        </w:rPr>
        <w:lastRenderedPageBreak/>
        <mc:AlternateContent>
          <mc:Choice Requires="wps">
            <w:drawing>
              <wp:anchor distT="0" distB="0" distL="114300" distR="114300" simplePos="0" relativeHeight="251763712" behindDoc="0" locked="0" layoutInCell="1" allowOverlap="1" wp14:anchorId="3867C2CA" wp14:editId="4E354BD9">
                <wp:simplePos x="0" y="0"/>
                <wp:positionH relativeFrom="column">
                  <wp:posOffset>426085</wp:posOffset>
                </wp:positionH>
                <wp:positionV relativeFrom="paragraph">
                  <wp:posOffset>4493260</wp:posOffset>
                </wp:positionV>
                <wp:extent cx="247015" cy="28384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37562361"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67C2CA" id="Text Box 194" o:spid="_x0000_s1089" type="#_x0000_t202" style="position:absolute;left:0;text-align:left;margin-left:33.55pt;margin-top:353.8pt;width:19.45pt;height:22.3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" fillcolor="white [3201]" stroked="f" strokeweight=".5pt">
                <v:textbox>
                  <w:txbxContent>
                    <w:p w14:paraId="37562361"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Pr="007E3613">
        <w:rPr>
          <w:noProof/>
          <w:lang w:val="en-GB"/>
        </w:rPr>
        <mc:AlternateContent>
          <mc:Choice Requires="wps">
            <w:drawing>
              <wp:anchor distT="0" distB="0" distL="114300" distR="114300" simplePos="0" relativeHeight="251761664" behindDoc="0" locked="0" layoutInCell="1" allowOverlap="1" wp14:anchorId="388A2DA0" wp14:editId="48BBE87E">
                <wp:simplePos x="0" y="0"/>
                <wp:positionH relativeFrom="column">
                  <wp:posOffset>433070</wp:posOffset>
                </wp:positionH>
                <wp:positionV relativeFrom="paragraph">
                  <wp:posOffset>10795</wp:posOffset>
                </wp:positionV>
                <wp:extent cx="247015" cy="283845"/>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41981DBC"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8A2DA0" id="Text Box 192" o:spid="_x0000_s1090" type="#_x0000_t202" style="position:absolute;left:0;text-align:left;margin-left:34.1pt;margin-top:.85pt;width:19.45pt;height:22.3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" fillcolor="white [3201]" stroked="f" strokeweight=".5pt">
                <v:textbox>
                  <w:txbxContent>
                    <w:p w14:paraId="41981DBC"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Pr="007E3613">
        <w:rPr>
          <w:noProof/>
          <w:lang w:val="en-GB"/>
        </w:rPr>
        <mc:AlternateContent>
          <mc:Choice Requires="wps">
            <w:drawing>
              <wp:anchor distT="0" distB="0" distL="114300" distR="114300" simplePos="0" relativeHeight="251762688" behindDoc="0" locked="0" layoutInCell="1" allowOverlap="1" wp14:anchorId="6B471E21" wp14:editId="585B7C49">
                <wp:simplePos x="0" y="0"/>
                <wp:positionH relativeFrom="column">
                  <wp:posOffset>426085</wp:posOffset>
                </wp:positionH>
                <wp:positionV relativeFrom="paragraph">
                  <wp:posOffset>2361565</wp:posOffset>
                </wp:positionV>
                <wp:extent cx="247015" cy="283845"/>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7F28553B"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471E21" id="Text Box 193" o:spid="_x0000_s1091" type="#_x0000_t202" style="position:absolute;left:0;text-align:left;margin-left:33.55pt;margin-top:185.95pt;width:19.45pt;height:22.35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" fillcolor="white [3201]" stroked="f" strokeweight=".5pt">
                <v:textbox>
                  <w:txbxContent>
                    <w:p w14:paraId="7F28553B"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00F72F37" w:rsidRPr="0082680A">
        <w:rPr>
          <w:noProof/>
          <w:lang w:val="en-GB"/>
        </w:rPr>
        <w:drawing>
          <wp:inline distT="0" distB="0" distL="0" distR="0" wp14:anchorId="373F68DA" wp14:editId="0DD8D30D">
            <wp:extent cx="3558746" cy="2415467"/>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ID3_PCA.pdf"/>
                    <pic:cNvPicPr/>
                  </pic:nvPicPr>
                  <pic:blipFill rotWithShape="1">
                    <a:blip r:embed="rId221">
                      <a:extLst>
                        <a:ext uri="{28A0092B-C50C-407E-A947-70E740481C1C}">
                          <a14:useLocalDpi xmlns:a14="http://schemas.microsoft.com/office/drawing/2010/main" val="0"/>
                        </a:ext>
                      </a:extLst>
                    </a:blip>
                    <a:srcRect t="7457" r="2346" b="1406"/>
                    <a:stretch/>
                  </pic:blipFill>
                  <pic:spPr bwMode="auto">
                    <a:xfrm>
                      <a:off x="0" y="0"/>
                      <a:ext cx="3560160" cy="2416427"/>
                    </a:xfrm>
                    <a:prstGeom prst="rect">
                      <a:avLst/>
                    </a:prstGeom>
                    <a:ln>
                      <a:noFill/>
                    </a:ln>
                    <a:extLst>
                      <a:ext uri="{53640926-AAD7-44D8-BBD7-CCE9431645EC}">
                        <a14:shadowObscured xmlns:a14="http://schemas.microsoft.com/office/drawing/2010/main"/>
                      </a:ext>
                    </a:extLst>
                  </pic:spPr>
                </pic:pic>
              </a:graphicData>
            </a:graphic>
          </wp:inline>
        </w:drawing>
      </w:r>
      <w:r w:rsidR="00F72F37" w:rsidRPr="0082680A">
        <w:rPr>
          <w:noProof/>
          <w:lang w:val="en-GB"/>
        </w:rPr>
        <w:drawing>
          <wp:inline distT="0" distB="0" distL="0" distR="0" wp14:anchorId="05F177EB" wp14:editId="1CA16768">
            <wp:extent cx="3762014" cy="211230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ID3_Boxplots.pdf"/>
                    <pic:cNvPicPr/>
                  </pic:nvPicPr>
                  <pic:blipFill rotWithShape="1">
                    <a:blip r:embed="rId222" cstate="print">
                      <a:extLst>
                        <a:ext uri="{28A0092B-C50C-407E-A947-70E740481C1C}">
                          <a14:useLocalDpi xmlns:a14="http://schemas.microsoft.com/office/drawing/2010/main" val="0"/>
                        </a:ext>
                      </a:extLst>
                    </a:blip>
                    <a:srcRect l="1405" t="10593" r="3520" b="13916"/>
                    <a:stretch/>
                  </pic:blipFill>
                  <pic:spPr bwMode="auto">
                    <a:xfrm>
                      <a:off x="0" y="0"/>
                      <a:ext cx="3764959" cy="2113957"/>
                    </a:xfrm>
                    <a:prstGeom prst="rect">
                      <a:avLst/>
                    </a:prstGeom>
                    <a:ln>
                      <a:noFill/>
                    </a:ln>
                    <a:extLst>
                      <a:ext uri="{53640926-AAD7-44D8-BBD7-CCE9431645EC}">
                        <a14:shadowObscured xmlns:a14="http://schemas.microsoft.com/office/drawing/2010/main"/>
                      </a:ext>
                    </a:extLst>
                  </pic:spPr>
                </pic:pic>
              </a:graphicData>
            </a:graphic>
          </wp:inline>
        </w:drawing>
      </w:r>
    </w:p>
    <w:p w14:paraId="3D9F5BAB" w14:textId="5B3F1CA9" w:rsidR="00F72F37" w:rsidRDefault="00F72F37" w:rsidP="008708A7">
      <w:pPr>
        <w:pStyle w:val="NoSpacing"/>
        <w:jc w:val="center"/>
        <w:rPr>
          <w:lang w:val="en-GB"/>
        </w:rPr>
      </w:pPr>
      <w:r w:rsidRPr="0082680A">
        <w:rPr>
          <w:noProof/>
          <w:lang w:val="en-GB"/>
        </w:rPr>
        <w:drawing>
          <wp:inline distT="0" distB="0" distL="0" distR="0" wp14:anchorId="50BFE7A2" wp14:editId="60D3052A">
            <wp:extent cx="3685279" cy="2415746"/>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ID3_Cluster.pdf"/>
                    <pic:cNvPicPr/>
                  </pic:nvPicPr>
                  <pic:blipFill rotWithShape="1">
                    <a:blip r:embed="rId223">
                      <a:extLst>
                        <a:ext uri="{28A0092B-C50C-407E-A947-70E740481C1C}">
                          <a14:useLocalDpi xmlns:a14="http://schemas.microsoft.com/office/drawing/2010/main" val="0"/>
                        </a:ext>
                      </a:extLst>
                    </a:blip>
                    <a:srcRect l="1667" t="14603" r="6165"/>
                    <a:stretch/>
                  </pic:blipFill>
                  <pic:spPr bwMode="auto">
                    <a:xfrm>
                      <a:off x="0" y="0"/>
                      <a:ext cx="3693492" cy="2421130"/>
                    </a:xfrm>
                    <a:prstGeom prst="rect">
                      <a:avLst/>
                    </a:prstGeom>
                    <a:ln>
                      <a:noFill/>
                    </a:ln>
                    <a:extLst>
                      <a:ext uri="{53640926-AAD7-44D8-BBD7-CCE9431645EC}">
                        <a14:shadowObscured xmlns:a14="http://schemas.microsoft.com/office/drawing/2010/main"/>
                      </a:ext>
                    </a:extLst>
                  </pic:spPr>
                </pic:pic>
              </a:graphicData>
            </a:graphic>
          </wp:inline>
        </w:drawing>
      </w:r>
    </w:p>
    <w:p w14:paraId="550261D2" w14:textId="77777777" w:rsidR="008708A7" w:rsidRPr="0082680A" w:rsidRDefault="008708A7" w:rsidP="008708A7">
      <w:pPr>
        <w:pStyle w:val="NoSpacing"/>
        <w:jc w:val="center"/>
        <w:rPr>
          <w:lang w:val="en-GB"/>
        </w:rPr>
      </w:pPr>
    </w:p>
    <w:p w14:paraId="336B759C" w14:textId="545CCBE7" w:rsidR="00F72F37" w:rsidRPr="0082680A" w:rsidRDefault="00F72F37" w:rsidP="008708A7">
      <w:pPr>
        <w:pStyle w:val="Caption"/>
        <w:rPr>
          <w:lang w:val="en-GB"/>
        </w:rPr>
      </w:pPr>
      <w:bookmarkStart w:id="423" w:name="_Toc3226033"/>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12</w:t>
      </w:r>
      <w:r w:rsidR="00F45096" w:rsidRPr="0082680A">
        <w:rPr>
          <w:noProof/>
          <w:lang w:val="en-GB"/>
        </w:rPr>
        <w:fldChar w:fldCharType="end"/>
      </w:r>
      <w:r w:rsidRPr="0082680A">
        <w:rPr>
          <w:lang w:val="en-GB"/>
        </w:rPr>
        <w:t xml:space="preserve">: </w:t>
      </w:r>
      <w:r w:rsidRPr="00A12256">
        <w:rPr>
          <w:szCs w:val="22"/>
          <w:lang w:val="en-GB"/>
        </w:rPr>
        <w:t>Quality control results for GSE20168</w:t>
      </w:r>
      <w:r w:rsidR="00A12256">
        <w:rPr>
          <w:lang w:val="en-GB"/>
        </w:rPr>
        <w:t>. 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23"/>
      <w:r w:rsidRPr="0082680A">
        <w:rPr>
          <w:lang w:val="en-GB"/>
        </w:rPr>
        <w:br w:type="page"/>
      </w:r>
    </w:p>
    <w:p w14:paraId="3C8BAA94" w14:textId="167AF6B3" w:rsidR="00F72F37" w:rsidRPr="0082680A" w:rsidRDefault="007E3613" w:rsidP="008708A7">
      <w:pPr>
        <w:pStyle w:val="NoSpacing"/>
        <w:jc w:val="center"/>
        <w:rPr>
          <w:lang w:val="en-GB"/>
        </w:rPr>
      </w:pPr>
      <w:r w:rsidRPr="007E3613">
        <w:rPr>
          <w:noProof/>
          <w:lang w:val="en-GB"/>
        </w:rPr>
        <w:lastRenderedPageBreak/>
        <mc:AlternateContent>
          <mc:Choice Requires="wps">
            <w:drawing>
              <wp:anchor distT="0" distB="0" distL="114300" distR="114300" simplePos="0" relativeHeight="251765760" behindDoc="0" locked="0" layoutInCell="1" allowOverlap="1" wp14:anchorId="438C76B7" wp14:editId="17DDE9DA">
                <wp:simplePos x="0" y="0"/>
                <wp:positionH relativeFrom="column">
                  <wp:posOffset>377670</wp:posOffset>
                </wp:positionH>
                <wp:positionV relativeFrom="paragraph">
                  <wp:posOffset>-807</wp:posOffset>
                </wp:positionV>
                <wp:extent cx="247135" cy="28420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36D02C80"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8C76B7" id="Text Box 195" o:spid="_x0000_s1092" type="#_x0000_t202" style="position:absolute;left:0;text-align:left;margin-left:29.75pt;margin-top:-.05pt;width:19.45pt;height:22.4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" fillcolor="white [3201]" stroked="f" strokeweight=".5pt">
                <v:textbox>
                  <w:txbxContent>
                    <w:p w14:paraId="36D02C80"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Pr="007E3613">
        <w:rPr>
          <w:noProof/>
          <w:lang w:val="en-GB"/>
        </w:rPr>
        <mc:AlternateContent>
          <mc:Choice Requires="wps">
            <w:drawing>
              <wp:anchor distT="0" distB="0" distL="114300" distR="114300" simplePos="0" relativeHeight="251766784" behindDoc="0" locked="0" layoutInCell="1" allowOverlap="1" wp14:anchorId="3A6E04FC" wp14:editId="1800747E">
                <wp:simplePos x="0" y="0"/>
                <wp:positionH relativeFrom="column">
                  <wp:posOffset>314960</wp:posOffset>
                </wp:positionH>
                <wp:positionV relativeFrom="paragraph">
                  <wp:posOffset>2398755</wp:posOffset>
                </wp:positionV>
                <wp:extent cx="247015" cy="283845"/>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4306C45C"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6E04FC" id="Text Box 196" o:spid="_x0000_s1093" type="#_x0000_t202" style="position:absolute;left:0;text-align:left;margin-left:24.8pt;margin-top:188.9pt;width:19.45pt;height:22.3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" fillcolor="white [3201]" stroked="f" strokeweight=".5pt">
                <v:textbox>
                  <w:txbxContent>
                    <w:p w14:paraId="4306C45C"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7E3613">
        <w:rPr>
          <w:noProof/>
          <w:lang w:val="en-GB"/>
        </w:rPr>
        <mc:AlternateContent>
          <mc:Choice Requires="wps">
            <w:drawing>
              <wp:anchor distT="0" distB="0" distL="114300" distR="114300" simplePos="0" relativeHeight="251767808" behindDoc="0" locked="0" layoutInCell="1" allowOverlap="1" wp14:anchorId="16CB4180" wp14:editId="14711806">
                <wp:simplePos x="0" y="0"/>
                <wp:positionH relativeFrom="column">
                  <wp:posOffset>314960</wp:posOffset>
                </wp:positionH>
                <wp:positionV relativeFrom="paragraph">
                  <wp:posOffset>4672965</wp:posOffset>
                </wp:positionV>
                <wp:extent cx="247015" cy="28384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401A181F"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CB4180" id="Text Box 197" o:spid="_x0000_s1094" type="#_x0000_t202" style="position:absolute;left:0;text-align:left;margin-left:24.8pt;margin-top:367.95pt;width:19.45pt;height:22.3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" fillcolor="white [3201]" stroked="f" strokeweight=".5pt">
                <v:textbox>
                  <w:txbxContent>
                    <w:p w14:paraId="401A181F"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682830A2" wp14:editId="69A451E4">
            <wp:extent cx="3558746" cy="2396998"/>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ID4_PCA.pdf"/>
                    <pic:cNvPicPr/>
                  </pic:nvPicPr>
                  <pic:blipFill rotWithShape="1">
                    <a:blip r:embed="rId224">
                      <a:extLst>
                        <a:ext uri="{28A0092B-C50C-407E-A947-70E740481C1C}">
                          <a14:useLocalDpi xmlns:a14="http://schemas.microsoft.com/office/drawing/2010/main" val="0"/>
                        </a:ext>
                      </a:extLst>
                    </a:blip>
                    <a:srcRect t="7724" r="1919" b="1442"/>
                    <a:stretch/>
                  </pic:blipFill>
                  <pic:spPr bwMode="auto">
                    <a:xfrm>
                      <a:off x="0" y="0"/>
                      <a:ext cx="3560325" cy="2398062"/>
                    </a:xfrm>
                    <a:prstGeom prst="rect">
                      <a:avLst/>
                    </a:prstGeom>
                    <a:ln>
                      <a:noFill/>
                    </a:ln>
                    <a:extLst>
                      <a:ext uri="{53640926-AAD7-44D8-BBD7-CCE9431645EC}">
                        <a14:shadowObscured xmlns:a14="http://schemas.microsoft.com/office/drawing/2010/main"/>
                      </a:ext>
                    </a:extLst>
                  </pic:spPr>
                </pic:pic>
              </a:graphicData>
            </a:graphic>
          </wp:inline>
        </w:drawing>
      </w:r>
    </w:p>
    <w:p w14:paraId="551BBF7D" w14:textId="77777777" w:rsidR="00F72F37" w:rsidRPr="0082680A" w:rsidRDefault="00F72F37" w:rsidP="008708A7">
      <w:pPr>
        <w:pStyle w:val="NoSpacing"/>
        <w:jc w:val="center"/>
        <w:rPr>
          <w:lang w:val="en-GB"/>
        </w:rPr>
      </w:pPr>
      <w:r w:rsidRPr="0082680A">
        <w:rPr>
          <w:noProof/>
          <w:lang w:val="en-GB"/>
        </w:rPr>
        <w:drawing>
          <wp:inline distT="0" distB="0" distL="0" distR="0" wp14:anchorId="418EF7DD" wp14:editId="3656352E">
            <wp:extent cx="3905288" cy="2211859"/>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ID4_Boxplot.pdf"/>
                    <pic:cNvPicPr/>
                  </pic:nvPicPr>
                  <pic:blipFill rotWithShape="1">
                    <a:blip r:embed="rId225" cstate="print">
                      <a:extLst>
                        <a:ext uri="{28A0092B-C50C-407E-A947-70E740481C1C}">
                          <a14:useLocalDpi xmlns:a14="http://schemas.microsoft.com/office/drawing/2010/main" val="0"/>
                        </a:ext>
                      </a:extLst>
                    </a:blip>
                    <a:srcRect l="1092" t="10593" r="3827" b="13254"/>
                    <a:stretch/>
                  </pic:blipFill>
                  <pic:spPr bwMode="auto">
                    <a:xfrm>
                      <a:off x="0" y="0"/>
                      <a:ext cx="3910508" cy="2214815"/>
                    </a:xfrm>
                    <a:prstGeom prst="rect">
                      <a:avLst/>
                    </a:prstGeom>
                    <a:ln>
                      <a:noFill/>
                    </a:ln>
                    <a:extLst>
                      <a:ext uri="{53640926-AAD7-44D8-BBD7-CCE9431645EC}">
                        <a14:shadowObscured xmlns:a14="http://schemas.microsoft.com/office/drawing/2010/main"/>
                      </a:ext>
                    </a:extLst>
                  </pic:spPr>
                </pic:pic>
              </a:graphicData>
            </a:graphic>
          </wp:inline>
        </w:drawing>
      </w:r>
    </w:p>
    <w:p w14:paraId="5B17670A" w14:textId="4994B595" w:rsidR="00F72F37" w:rsidRDefault="00F72F37" w:rsidP="008708A7">
      <w:pPr>
        <w:pStyle w:val="NoSpacing"/>
        <w:jc w:val="center"/>
        <w:rPr>
          <w:lang w:val="en-GB"/>
        </w:rPr>
      </w:pPr>
      <w:r w:rsidRPr="0082680A">
        <w:rPr>
          <w:noProof/>
          <w:lang w:val="en-GB"/>
        </w:rPr>
        <w:drawing>
          <wp:inline distT="0" distB="0" distL="0" distR="0" wp14:anchorId="1C57E27D" wp14:editId="3592535C">
            <wp:extent cx="3786933" cy="2508422"/>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ID4_Cluster.pdf"/>
                    <pic:cNvPicPr/>
                  </pic:nvPicPr>
                  <pic:blipFill rotWithShape="1">
                    <a:blip r:embed="rId226">
                      <a:extLst>
                        <a:ext uri="{28A0092B-C50C-407E-A947-70E740481C1C}">
                          <a14:useLocalDpi xmlns:a14="http://schemas.microsoft.com/office/drawing/2010/main" val="0"/>
                        </a:ext>
                      </a:extLst>
                    </a:blip>
                    <a:srcRect l="2712" t="15094" r="6601"/>
                    <a:stretch/>
                  </pic:blipFill>
                  <pic:spPr bwMode="auto">
                    <a:xfrm>
                      <a:off x="0" y="0"/>
                      <a:ext cx="3797304" cy="2515292"/>
                    </a:xfrm>
                    <a:prstGeom prst="rect">
                      <a:avLst/>
                    </a:prstGeom>
                    <a:ln>
                      <a:noFill/>
                    </a:ln>
                    <a:extLst>
                      <a:ext uri="{53640926-AAD7-44D8-BBD7-CCE9431645EC}">
                        <a14:shadowObscured xmlns:a14="http://schemas.microsoft.com/office/drawing/2010/main"/>
                      </a:ext>
                    </a:extLst>
                  </pic:spPr>
                </pic:pic>
              </a:graphicData>
            </a:graphic>
          </wp:inline>
        </w:drawing>
      </w:r>
    </w:p>
    <w:p w14:paraId="6906E1B4" w14:textId="77777777" w:rsidR="008708A7" w:rsidRPr="0082680A" w:rsidRDefault="008708A7" w:rsidP="008708A7">
      <w:pPr>
        <w:pStyle w:val="NoSpacing"/>
        <w:jc w:val="center"/>
        <w:rPr>
          <w:lang w:val="en-GB"/>
        </w:rPr>
      </w:pPr>
    </w:p>
    <w:p w14:paraId="66BBF841" w14:textId="5ADC3140" w:rsidR="00F72F37" w:rsidRPr="0082680A" w:rsidRDefault="00F72F37" w:rsidP="008708A7">
      <w:pPr>
        <w:pStyle w:val="Caption"/>
        <w:rPr>
          <w:lang w:val="en-GB"/>
        </w:rPr>
      </w:pPr>
      <w:bookmarkStart w:id="424" w:name="_Toc3226034"/>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13</w:t>
      </w:r>
      <w:r w:rsidR="00F45096" w:rsidRPr="0082680A">
        <w:rPr>
          <w:noProof/>
          <w:lang w:val="en-GB"/>
        </w:rPr>
        <w:fldChar w:fldCharType="end"/>
      </w:r>
      <w:r w:rsidRPr="0082680A">
        <w:rPr>
          <w:lang w:val="en-GB"/>
        </w:rPr>
        <w:t xml:space="preserve">: </w:t>
      </w:r>
      <w:r w:rsidRPr="00A12256">
        <w:rPr>
          <w:szCs w:val="22"/>
          <w:lang w:val="en-GB"/>
        </w:rPr>
        <w:t>Quality control results for GSE20291</w:t>
      </w:r>
      <w:r w:rsidR="00A12256">
        <w:rPr>
          <w:lang w:val="en-GB"/>
        </w:rPr>
        <w:t>. 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24"/>
      <w:r w:rsidRPr="0082680A">
        <w:rPr>
          <w:lang w:val="en-GB"/>
        </w:rPr>
        <w:br w:type="page"/>
      </w:r>
    </w:p>
    <w:p w14:paraId="348DCAC4" w14:textId="1A4A8B44" w:rsidR="00721A37" w:rsidRDefault="00F54017" w:rsidP="00721A37">
      <w:pPr>
        <w:rPr>
          <w:lang w:val="en-GB"/>
        </w:rPr>
      </w:pPr>
      <w:r w:rsidRPr="00F54017">
        <w:rPr>
          <w:noProof/>
          <w:lang w:val="en-GB"/>
        </w:rPr>
        <w:lastRenderedPageBreak/>
        <mc:AlternateContent>
          <mc:Choice Requires="wps">
            <w:drawing>
              <wp:anchor distT="0" distB="0" distL="114300" distR="114300" simplePos="0" relativeHeight="251857920" behindDoc="0" locked="0" layoutInCell="1" allowOverlap="1" wp14:anchorId="4CA76D3B" wp14:editId="5CB54D1D">
                <wp:simplePos x="0" y="0"/>
                <wp:positionH relativeFrom="column">
                  <wp:posOffset>-156258</wp:posOffset>
                </wp:positionH>
                <wp:positionV relativeFrom="paragraph">
                  <wp:posOffset>-58518</wp:posOffset>
                </wp:positionV>
                <wp:extent cx="247015" cy="233680"/>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1502FB91"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A76D3B" id="Text Box 126" o:spid="_x0000_s1095" type="#_x0000_t202" style="position:absolute;margin-left:-12.3pt;margin-top:-4.6pt;width:19.45pt;height:18.4pt;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" fillcolor="white [3201]" stroked="f" strokeweight=".5pt">
                <v:textbox>
                  <w:txbxContent>
                    <w:p w14:paraId="1502FB91"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A</w:t>
                      </w:r>
                    </w:p>
                  </w:txbxContent>
                </v:textbox>
              </v:shape>
            </w:pict>
          </mc:Fallback>
        </mc:AlternateContent>
      </w:r>
      <w:r w:rsidRPr="00E01313">
        <w:rPr>
          <w:noProof/>
        </w:rPr>
        <w:drawing>
          <wp:anchor distT="0" distB="0" distL="114300" distR="114300" simplePos="0" relativeHeight="251841536" behindDoc="1" locked="0" layoutInCell="1" allowOverlap="1" wp14:anchorId="4FE7FE0A" wp14:editId="4352791C">
            <wp:simplePos x="0" y="0"/>
            <wp:positionH relativeFrom="column">
              <wp:posOffset>2520755</wp:posOffset>
            </wp:positionH>
            <wp:positionV relativeFrom="paragraph">
              <wp:posOffset>0</wp:posOffset>
            </wp:positionV>
            <wp:extent cx="2164715" cy="1450975"/>
            <wp:effectExtent l="0" t="0" r="0" b="0"/>
            <wp:wrapTight wrapText="bothSides">
              <wp:wrapPolygon edited="0">
                <wp:start x="0" y="0"/>
                <wp:lineTo x="0" y="21364"/>
                <wp:lineTo x="21416" y="21364"/>
                <wp:lineTo x="2141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J_Boxplot.pdf"/>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164715" cy="1450975"/>
                    </a:xfrm>
                    <a:prstGeom prst="rect">
                      <a:avLst/>
                    </a:prstGeom>
                  </pic:spPr>
                </pic:pic>
              </a:graphicData>
            </a:graphic>
            <wp14:sizeRelH relativeFrom="page">
              <wp14:pctWidth>0</wp14:pctWidth>
            </wp14:sizeRelH>
            <wp14:sizeRelV relativeFrom="page">
              <wp14:pctHeight>0</wp14:pctHeight>
            </wp14:sizeRelV>
          </wp:anchor>
        </w:drawing>
      </w:r>
      <w:r w:rsidR="003A57FB" w:rsidRPr="0082680A">
        <w:rPr>
          <w:noProof/>
          <w:lang w:val="en-GB"/>
        </w:rPr>
        <w:drawing>
          <wp:anchor distT="0" distB="0" distL="114300" distR="114300" simplePos="0" relativeHeight="251844608" behindDoc="1" locked="0" layoutInCell="1" allowOverlap="1" wp14:anchorId="07968503" wp14:editId="5A483404">
            <wp:simplePos x="0" y="0"/>
            <wp:positionH relativeFrom="column">
              <wp:posOffset>-10270</wp:posOffset>
            </wp:positionH>
            <wp:positionV relativeFrom="paragraph">
              <wp:posOffset>2908300</wp:posOffset>
            </wp:positionV>
            <wp:extent cx="2557145" cy="1442720"/>
            <wp:effectExtent l="0" t="0" r="0" b="5080"/>
            <wp:wrapTight wrapText="bothSides">
              <wp:wrapPolygon edited="0">
                <wp:start x="0" y="0"/>
                <wp:lineTo x="0" y="21486"/>
                <wp:lineTo x="21455" y="21486"/>
                <wp:lineTo x="21455"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OR.SN_Boxplot.pdf"/>
                    <pic:cNvPicPr/>
                  </pic:nvPicPr>
                  <pic:blipFill rotWithShape="1">
                    <a:blip r:embed="rId228" cstate="print">
                      <a:extLst>
                        <a:ext uri="{28A0092B-C50C-407E-A947-70E740481C1C}">
                          <a14:useLocalDpi xmlns:a14="http://schemas.microsoft.com/office/drawing/2010/main" val="0"/>
                        </a:ext>
                      </a:extLst>
                    </a:blip>
                    <a:srcRect l="1019" t="10494" r="3796" b="13554"/>
                    <a:stretch/>
                  </pic:blipFill>
                  <pic:spPr bwMode="auto">
                    <a:xfrm>
                      <a:off x="0" y="0"/>
                      <a:ext cx="2557145" cy="1442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57FB" w:rsidRPr="0082680A">
        <w:rPr>
          <w:noProof/>
          <w:lang w:val="en-GB"/>
        </w:rPr>
        <w:drawing>
          <wp:anchor distT="0" distB="0" distL="114300" distR="114300" simplePos="0" relativeHeight="251843584" behindDoc="1" locked="0" layoutInCell="1" allowOverlap="1" wp14:anchorId="71D537F6" wp14:editId="0442EFCD">
            <wp:simplePos x="0" y="0"/>
            <wp:positionH relativeFrom="column">
              <wp:posOffset>-10270</wp:posOffset>
            </wp:positionH>
            <wp:positionV relativeFrom="paragraph">
              <wp:posOffset>1460500</wp:posOffset>
            </wp:positionV>
            <wp:extent cx="2557145" cy="1448435"/>
            <wp:effectExtent l="0" t="0" r="0" b="0"/>
            <wp:wrapTight wrapText="bothSides">
              <wp:wrapPolygon edited="0">
                <wp:start x="0" y="0"/>
                <wp:lineTo x="0" y="21401"/>
                <wp:lineTo x="21455" y="21401"/>
                <wp:lineTo x="2145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FR_Boxplot.pdf"/>
                    <pic:cNvPicPr/>
                  </pic:nvPicPr>
                  <pic:blipFill rotWithShape="1">
                    <a:blip r:embed="rId229" cstate="print">
                      <a:extLst>
                        <a:ext uri="{28A0092B-C50C-407E-A947-70E740481C1C}">
                          <a14:useLocalDpi xmlns:a14="http://schemas.microsoft.com/office/drawing/2010/main" val="0"/>
                        </a:ext>
                      </a:extLst>
                    </a:blip>
                    <a:srcRect l="840" t="10881" r="4284" b="13120"/>
                    <a:stretch/>
                  </pic:blipFill>
                  <pic:spPr bwMode="auto">
                    <a:xfrm>
                      <a:off x="0" y="0"/>
                      <a:ext cx="2557145" cy="1448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57FB" w:rsidRPr="00B57F61">
        <w:rPr>
          <w:noProof/>
        </w:rPr>
        <w:drawing>
          <wp:anchor distT="0" distB="0" distL="114300" distR="114300" simplePos="0" relativeHeight="251842560" behindDoc="1" locked="0" layoutInCell="1" allowOverlap="1" wp14:anchorId="6274FBD5" wp14:editId="4D33D391">
            <wp:simplePos x="0" y="0"/>
            <wp:positionH relativeFrom="column">
              <wp:posOffset>-2540</wp:posOffset>
            </wp:positionH>
            <wp:positionV relativeFrom="paragraph">
              <wp:posOffset>0</wp:posOffset>
            </wp:positionV>
            <wp:extent cx="2536825" cy="1461135"/>
            <wp:effectExtent l="0" t="0" r="3175" b="0"/>
            <wp:wrapTight wrapText="bothSides">
              <wp:wrapPolygon edited="0">
                <wp:start x="0" y="0"/>
                <wp:lineTo x="0" y="21403"/>
                <wp:lineTo x="21519" y="21403"/>
                <wp:lineTo x="2151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J_Boxplot.pdf"/>
                    <pic:cNvPicPr/>
                  </pic:nvPicPr>
                  <pic:blipFill rotWithShape="1">
                    <a:blip r:embed="rId230" cstate="print">
                      <a:extLst>
                        <a:ext uri="{28A0092B-C50C-407E-A947-70E740481C1C}">
                          <a14:useLocalDpi xmlns:a14="http://schemas.microsoft.com/office/drawing/2010/main" val="0"/>
                        </a:ext>
                      </a:extLst>
                    </a:blip>
                    <a:srcRect l="1328" t="10886" r="4418" b="12322"/>
                    <a:stretch/>
                  </pic:blipFill>
                  <pic:spPr bwMode="auto">
                    <a:xfrm>
                      <a:off x="0" y="0"/>
                      <a:ext cx="2536825" cy="1461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811A42" w14:textId="5A0418CC" w:rsidR="003A57FB" w:rsidRPr="003A57FB" w:rsidRDefault="003A57FB" w:rsidP="003A57FB">
      <w:pPr>
        <w:rPr>
          <w:lang w:val="en-GB"/>
        </w:rPr>
      </w:pPr>
    </w:p>
    <w:p w14:paraId="7A3792A7" w14:textId="7236F6F5" w:rsidR="003A57FB" w:rsidRPr="003A57FB" w:rsidRDefault="00F54017" w:rsidP="003A57FB">
      <w:pPr>
        <w:rPr>
          <w:lang w:val="en-GB"/>
        </w:rPr>
      </w:pPr>
      <w:r w:rsidRPr="00F54017">
        <w:rPr>
          <w:noProof/>
          <w:lang w:val="en-GB"/>
        </w:rPr>
        <mc:AlternateContent>
          <mc:Choice Requires="wps">
            <w:drawing>
              <wp:anchor distT="0" distB="0" distL="114300" distR="114300" simplePos="0" relativeHeight="251864064" behindDoc="0" locked="0" layoutInCell="1" allowOverlap="1" wp14:anchorId="75E0020F" wp14:editId="27896A36">
                <wp:simplePos x="0" y="0"/>
                <wp:positionH relativeFrom="column">
                  <wp:posOffset>4392295</wp:posOffset>
                </wp:positionH>
                <wp:positionV relativeFrom="paragraph">
                  <wp:posOffset>6985</wp:posOffset>
                </wp:positionV>
                <wp:extent cx="815975" cy="233680"/>
                <wp:effectExtent l="0" t="952" r="0" b="0"/>
                <wp:wrapNone/>
                <wp:docPr id="222" name="Text Box 222"/>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0392BC45" w14:textId="558B1E00" w:rsidR="00C2072C" w:rsidRPr="00AF0B4A" w:rsidRDefault="00C2072C" w:rsidP="00F54017">
                            <w:pPr>
                              <w:rPr>
                                <w:rFonts w:asciiTheme="majorHAnsi" w:hAnsiTheme="majorHAnsi" w:cstheme="majorHAnsi"/>
                                <w:lang w:val="en-US"/>
                              </w:rPr>
                            </w:pPr>
                            <w:r w:rsidRPr="00E01313">
                              <w:t>GSE49036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0020F" id="Text Box 222" o:spid="_x0000_s1096" type="#_x0000_t202" style="position:absolute;margin-left:345.85pt;margin-top:.55pt;width:64.25pt;height:18.4pt;rotation:-90;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" fillcolor="white [3201]" stroked="f" strokeweight=".5pt">
                <v:textbox>
                  <w:txbxContent>
                    <w:p w14:paraId="0392BC45" w14:textId="558B1E00" w:rsidR="00C2072C" w:rsidRPr="00AF0B4A" w:rsidRDefault="00C2072C" w:rsidP="00F54017">
                      <w:pPr>
                        <w:rPr>
                          <w:rFonts w:asciiTheme="majorHAnsi" w:hAnsiTheme="majorHAnsi" w:cstheme="majorHAnsi"/>
                          <w:lang w:val="en-US"/>
                        </w:rPr>
                      </w:pPr>
                      <w:r w:rsidRPr="00E01313">
                        <w:t>GSE49036</w:t>
                      </w:r>
                    </w:p>
                  </w:txbxContent>
                </v:textbox>
              </v:shape>
            </w:pict>
          </mc:Fallback>
        </mc:AlternateContent>
      </w:r>
    </w:p>
    <w:p w14:paraId="05A1C01B" w14:textId="29538CFF" w:rsidR="003A57FB" w:rsidRPr="003A57FB" w:rsidRDefault="003A57FB" w:rsidP="003A57FB">
      <w:pPr>
        <w:rPr>
          <w:lang w:val="en-GB"/>
        </w:rPr>
      </w:pPr>
    </w:p>
    <w:p w14:paraId="0554ED87" w14:textId="2C0065EA" w:rsidR="003A57FB" w:rsidRPr="003A57FB" w:rsidRDefault="003A57FB" w:rsidP="003A57FB">
      <w:pPr>
        <w:rPr>
          <w:lang w:val="en-GB"/>
        </w:rPr>
      </w:pPr>
    </w:p>
    <w:p w14:paraId="10F81523" w14:textId="0BDFD13D" w:rsidR="003A57FB" w:rsidRPr="003A57FB" w:rsidRDefault="00F54017" w:rsidP="003A57FB">
      <w:pPr>
        <w:rPr>
          <w:lang w:val="en-GB"/>
        </w:rPr>
      </w:pPr>
      <w:r w:rsidRPr="00F54017">
        <w:rPr>
          <w:noProof/>
          <w:lang w:val="en-GB"/>
        </w:rPr>
        <mc:AlternateContent>
          <mc:Choice Requires="wps">
            <w:drawing>
              <wp:anchor distT="0" distB="0" distL="114300" distR="114300" simplePos="0" relativeHeight="251858944" behindDoc="0" locked="0" layoutInCell="1" allowOverlap="1" wp14:anchorId="490C6704" wp14:editId="78ECD55A">
                <wp:simplePos x="0" y="0"/>
                <wp:positionH relativeFrom="column">
                  <wp:posOffset>-158164</wp:posOffset>
                </wp:positionH>
                <wp:positionV relativeFrom="paragraph">
                  <wp:posOffset>62865</wp:posOffset>
                </wp:positionV>
                <wp:extent cx="247015" cy="233680"/>
                <wp:effectExtent l="0" t="0" r="0" b="0"/>
                <wp:wrapNone/>
                <wp:docPr id="136" name="Text Box 136"/>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0A103889"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0C6704" id="Text Box 136" o:spid="_x0000_s1097" type="#_x0000_t202" style="position:absolute;margin-left:-12.45pt;margin-top:4.95pt;width:19.45pt;height:18.4pt;z-index:25185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" fillcolor="white [3201]" stroked="f" strokeweight=".5pt">
                <v:textbox>
                  <w:txbxContent>
                    <w:p w14:paraId="0A103889"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p>
    <w:p w14:paraId="3EDA3B77" w14:textId="246AD832" w:rsidR="003A57FB" w:rsidRDefault="00F54017" w:rsidP="003A57FB">
      <w:pPr>
        <w:rPr>
          <w:lang w:val="en-GB"/>
        </w:rPr>
      </w:pPr>
      <w:r w:rsidRPr="00E01313">
        <w:rPr>
          <w:noProof/>
        </w:rPr>
        <w:drawing>
          <wp:anchor distT="0" distB="0" distL="114300" distR="114300" simplePos="0" relativeHeight="251870208" behindDoc="1" locked="0" layoutInCell="1" allowOverlap="1" wp14:anchorId="09905F31" wp14:editId="04FABDAC">
            <wp:simplePos x="0" y="0"/>
            <wp:positionH relativeFrom="column">
              <wp:posOffset>2545080</wp:posOffset>
            </wp:positionH>
            <wp:positionV relativeFrom="paragraph">
              <wp:posOffset>59055</wp:posOffset>
            </wp:positionV>
            <wp:extent cx="2096770" cy="1406525"/>
            <wp:effectExtent l="0" t="0" r="0" b="3175"/>
            <wp:wrapTight wrapText="bothSides">
              <wp:wrapPolygon edited="0">
                <wp:start x="0" y="0"/>
                <wp:lineTo x="0" y="21454"/>
                <wp:lineTo x="21456" y="21454"/>
                <wp:lineTo x="21456"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FR_Boxplot.pdf"/>
                    <pic:cNvPicPr/>
                  </pic:nvPicPr>
                  <pic:blipFill rotWithShape="1">
                    <a:blip r:embed="rId231" cstate="print">
                      <a:extLst>
                        <a:ext uri="{28A0092B-C50C-407E-A947-70E740481C1C}">
                          <a14:useLocalDpi xmlns:a14="http://schemas.microsoft.com/office/drawing/2010/main" val="0"/>
                        </a:ext>
                      </a:extLst>
                    </a:blip>
                    <a:srcRect b="5129"/>
                    <a:stretch/>
                  </pic:blipFill>
                  <pic:spPr bwMode="auto">
                    <a:xfrm>
                      <a:off x="0" y="0"/>
                      <a:ext cx="2096770" cy="1406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C5C252" w14:textId="2730C823" w:rsidR="003A57FB" w:rsidRPr="003A57FB" w:rsidRDefault="003A57FB" w:rsidP="003A57FB">
      <w:pPr>
        <w:rPr>
          <w:lang w:val="en-GB"/>
        </w:rPr>
      </w:pPr>
    </w:p>
    <w:p w14:paraId="4178FE78" w14:textId="157ABD43" w:rsidR="003A57FB" w:rsidRPr="003A57FB" w:rsidRDefault="00F54017" w:rsidP="003A57FB">
      <w:pPr>
        <w:rPr>
          <w:lang w:val="en-GB"/>
        </w:rPr>
      </w:pPr>
      <w:r w:rsidRPr="00F54017">
        <w:rPr>
          <w:noProof/>
          <w:lang w:val="en-GB"/>
        </w:rPr>
        <mc:AlternateContent>
          <mc:Choice Requires="wps">
            <w:drawing>
              <wp:anchor distT="0" distB="0" distL="114300" distR="114300" simplePos="0" relativeHeight="251865088" behindDoc="0" locked="0" layoutInCell="1" allowOverlap="1" wp14:anchorId="1D31E6C4" wp14:editId="3A2CFF16">
                <wp:simplePos x="0" y="0"/>
                <wp:positionH relativeFrom="column">
                  <wp:posOffset>4365943</wp:posOffset>
                </wp:positionH>
                <wp:positionV relativeFrom="paragraph">
                  <wp:posOffset>71340</wp:posOffset>
                </wp:positionV>
                <wp:extent cx="873320" cy="233680"/>
                <wp:effectExtent l="2223" t="0" r="5397" b="5398"/>
                <wp:wrapNone/>
                <wp:docPr id="225" name="Text Box 225"/>
                <wp:cNvGraphicFramePr/>
                <a:graphic xmlns:a="http://schemas.openxmlformats.org/drawingml/2006/main">
                  <a:graphicData uri="http://schemas.microsoft.com/office/word/2010/wordprocessingShape">
                    <wps:wsp>
                      <wps:cNvSpPr txBox="1"/>
                      <wps:spPr>
                        <a:xfrm rot="16200000">
                          <a:off x="0" y="0"/>
                          <a:ext cx="873320" cy="233680"/>
                        </a:xfrm>
                        <a:prstGeom prst="rect">
                          <a:avLst/>
                        </a:prstGeom>
                        <a:solidFill>
                          <a:schemeClr val="lt1"/>
                        </a:solidFill>
                        <a:ln w="6350">
                          <a:noFill/>
                        </a:ln>
                      </wps:spPr>
                      <wps:txbx>
                        <w:txbxContent>
                          <w:p w14:paraId="4765087E" w14:textId="7EBEAC45" w:rsidR="00C2072C" w:rsidRPr="0080727C" w:rsidRDefault="00C2072C" w:rsidP="00F54017">
                            <w:pPr>
                              <w:rPr>
                                <w:rFonts w:asciiTheme="majorHAnsi" w:hAnsiTheme="majorHAnsi" w:cstheme="majorHAnsi"/>
                                <w:lang w:val="en-US"/>
                              </w:rPr>
                            </w:pPr>
                            <w:r w:rsidRPr="00E01313">
                              <w:t>GSE7621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1E6C4" id="Text Box 225" o:spid="_x0000_s1098" type="#_x0000_t202" style="position:absolute;margin-left:343.8pt;margin-top:5.6pt;width:68.75pt;height:18.4pt;rotation:-9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" fillcolor="white [3201]" stroked="f" strokeweight=".5pt">
                <v:textbox>
                  <w:txbxContent>
                    <w:p w14:paraId="4765087E" w14:textId="7EBEAC45" w:rsidR="00C2072C" w:rsidRPr="0080727C" w:rsidRDefault="00C2072C" w:rsidP="00F54017">
                      <w:pPr>
                        <w:rPr>
                          <w:rFonts w:asciiTheme="majorHAnsi" w:hAnsiTheme="majorHAnsi" w:cstheme="majorHAnsi"/>
                          <w:lang w:val="en-US"/>
                        </w:rPr>
                      </w:pPr>
                      <w:r w:rsidRPr="00E01313">
                        <w:t>GSE7621</w:t>
                      </w:r>
                    </w:p>
                  </w:txbxContent>
                </v:textbox>
              </v:shape>
            </w:pict>
          </mc:Fallback>
        </mc:AlternateContent>
      </w:r>
    </w:p>
    <w:p w14:paraId="48BBC8BE" w14:textId="738D0A6F" w:rsidR="003A57FB" w:rsidRDefault="003A57FB" w:rsidP="003A57FB">
      <w:pPr>
        <w:rPr>
          <w:lang w:val="en-GB"/>
        </w:rPr>
      </w:pPr>
    </w:p>
    <w:p w14:paraId="128015EF" w14:textId="18F7D81C" w:rsidR="003A57FB" w:rsidRDefault="003A57FB" w:rsidP="003A57FB">
      <w:pPr>
        <w:rPr>
          <w:lang w:val="en-GB"/>
        </w:rPr>
      </w:pPr>
    </w:p>
    <w:p w14:paraId="705EECC5" w14:textId="1CE56BF3" w:rsidR="003A57FB" w:rsidRDefault="00F54017" w:rsidP="003A57FB">
      <w:pPr>
        <w:rPr>
          <w:lang w:val="en-GB"/>
        </w:rPr>
      </w:pPr>
      <w:r w:rsidRPr="00F54017">
        <w:rPr>
          <w:noProof/>
          <w:lang w:val="en-GB"/>
        </w:rPr>
        <mc:AlternateContent>
          <mc:Choice Requires="wps">
            <w:drawing>
              <wp:anchor distT="0" distB="0" distL="114300" distR="114300" simplePos="0" relativeHeight="251859968" behindDoc="0" locked="0" layoutInCell="1" allowOverlap="1" wp14:anchorId="4795CEC8" wp14:editId="464F1879">
                <wp:simplePos x="0" y="0"/>
                <wp:positionH relativeFrom="column">
                  <wp:posOffset>-154794</wp:posOffset>
                </wp:positionH>
                <wp:positionV relativeFrom="paragraph">
                  <wp:posOffset>121920</wp:posOffset>
                </wp:positionV>
                <wp:extent cx="247015" cy="233680"/>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0B5AFC72"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95CEC8" id="Text Box 157" o:spid="_x0000_s1099" type="#_x0000_t202" style="position:absolute;margin-left:-12.2pt;margin-top:9.6pt;width:19.45pt;height:18.4pt;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" fillcolor="white [3201]" stroked="f" strokeweight=".5pt">
                <v:textbox>
                  <w:txbxContent>
                    <w:p w14:paraId="0B5AFC72"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p>
    <w:p w14:paraId="2CAACDE7" w14:textId="5E316FDD" w:rsidR="003A57FB" w:rsidRDefault="00F54017" w:rsidP="003A57FB">
      <w:pPr>
        <w:rPr>
          <w:lang w:val="en-GB"/>
        </w:rPr>
      </w:pPr>
      <w:r w:rsidRPr="00E01313">
        <w:rPr>
          <w:noProof/>
        </w:rPr>
        <w:drawing>
          <wp:anchor distT="0" distB="0" distL="114300" distR="114300" simplePos="0" relativeHeight="251871232" behindDoc="1" locked="0" layoutInCell="1" allowOverlap="1" wp14:anchorId="2FFB2906" wp14:editId="43D1B3A8">
            <wp:simplePos x="0" y="0"/>
            <wp:positionH relativeFrom="column">
              <wp:posOffset>2513965</wp:posOffset>
            </wp:positionH>
            <wp:positionV relativeFrom="paragraph">
              <wp:posOffset>120650</wp:posOffset>
            </wp:positionV>
            <wp:extent cx="2127885" cy="1360805"/>
            <wp:effectExtent l="0" t="0" r="5715" b="0"/>
            <wp:wrapTight wrapText="bothSides">
              <wp:wrapPolygon edited="0">
                <wp:start x="0" y="0"/>
                <wp:lineTo x="0" y="21368"/>
                <wp:lineTo x="21529" y="21368"/>
                <wp:lineTo x="21529"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OR.SN_Boxplot.pdf"/>
                    <pic:cNvPicPr/>
                  </pic:nvPicPr>
                  <pic:blipFill rotWithShape="1">
                    <a:blip r:embed="rId232" cstate="print">
                      <a:extLst>
                        <a:ext uri="{28A0092B-C50C-407E-A947-70E740481C1C}">
                          <a14:useLocalDpi xmlns:a14="http://schemas.microsoft.com/office/drawing/2010/main" val="0"/>
                        </a:ext>
                      </a:extLst>
                    </a:blip>
                    <a:srcRect b="9556"/>
                    <a:stretch/>
                  </pic:blipFill>
                  <pic:spPr bwMode="auto">
                    <a:xfrm>
                      <a:off x="0" y="0"/>
                      <a:ext cx="2127885" cy="1360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B4386" w14:textId="3528181A" w:rsidR="003A57FB" w:rsidRPr="003A57FB" w:rsidRDefault="003A57FB" w:rsidP="003A57FB">
      <w:pPr>
        <w:rPr>
          <w:lang w:val="en-GB"/>
        </w:rPr>
      </w:pPr>
    </w:p>
    <w:p w14:paraId="6505BC4B" w14:textId="6DAE8057" w:rsidR="003A57FB" w:rsidRPr="003A57FB" w:rsidRDefault="00F54017" w:rsidP="003A57FB">
      <w:pPr>
        <w:rPr>
          <w:lang w:val="en-GB"/>
        </w:rPr>
      </w:pPr>
      <w:r w:rsidRPr="00F54017">
        <w:rPr>
          <w:noProof/>
          <w:lang w:val="en-GB"/>
        </w:rPr>
        <mc:AlternateContent>
          <mc:Choice Requires="wps">
            <w:drawing>
              <wp:anchor distT="0" distB="0" distL="114300" distR="114300" simplePos="0" relativeHeight="251867136" behindDoc="0" locked="0" layoutInCell="1" allowOverlap="1" wp14:anchorId="6E905650" wp14:editId="6E450DB9">
                <wp:simplePos x="0" y="0"/>
                <wp:positionH relativeFrom="column">
                  <wp:posOffset>4240115</wp:posOffset>
                </wp:positionH>
                <wp:positionV relativeFrom="paragraph">
                  <wp:posOffset>115253</wp:posOffset>
                </wp:positionV>
                <wp:extent cx="1134746" cy="233680"/>
                <wp:effectExtent l="6033" t="0" r="1587" b="1588"/>
                <wp:wrapNone/>
                <wp:docPr id="230" name="Text Box 230"/>
                <wp:cNvGraphicFramePr/>
                <a:graphic xmlns:a="http://schemas.openxmlformats.org/drawingml/2006/main">
                  <a:graphicData uri="http://schemas.microsoft.com/office/word/2010/wordprocessingShape">
                    <wps:wsp>
                      <wps:cNvSpPr txBox="1"/>
                      <wps:spPr>
                        <a:xfrm rot="16200000">
                          <a:off x="0" y="0"/>
                          <a:ext cx="1134746" cy="233680"/>
                        </a:xfrm>
                        <a:prstGeom prst="rect">
                          <a:avLst/>
                        </a:prstGeom>
                        <a:solidFill>
                          <a:schemeClr val="lt1"/>
                        </a:solidFill>
                        <a:ln w="6350">
                          <a:noFill/>
                        </a:ln>
                      </wps:spPr>
                      <wps:txbx>
                        <w:txbxContent>
                          <w:p w14:paraId="167915AB" w14:textId="12A605CB" w:rsidR="00C2072C" w:rsidRPr="00AF0B4A" w:rsidRDefault="00C2072C" w:rsidP="00F54017">
                            <w:pPr>
                              <w:rPr>
                                <w:rFonts w:asciiTheme="majorHAnsi" w:hAnsiTheme="majorHAnsi" w:cstheme="majorHAnsi"/>
                                <w:lang w:val="en-US"/>
                              </w:rPr>
                            </w:pPr>
                            <w:r w:rsidRPr="00E01313">
                              <w:t>GSE8397</w:t>
                            </w:r>
                            <w:r>
                              <w:t xml:space="preserve"> (SN)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05650" id="Text Box 230" o:spid="_x0000_s1100" type="#_x0000_t202" style="position:absolute;margin-left:333.85pt;margin-top:9.1pt;width:89.35pt;height:18.4pt;rotation:-90;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" fillcolor="white [3201]" stroked="f" strokeweight=".5pt">
                <v:textbox>
                  <w:txbxContent>
                    <w:p w14:paraId="167915AB" w14:textId="12A605CB" w:rsidR="00C2072C" w:rsidRPr="00AF0B4A" w:rsidRDefault="00C2072C" w:rsidP="00F54017">
                      <w:pPr>
                        <w:rPr>
                          <w:rFonts w:asciiTheme="majorHAnsi" w:hAnsiTheme="majorHAnsi" w:cstheme="majorHAnsi"/>
                          <w:lang w:val="en-US"/>
                        </w:rPr>
                      </w:pPr>
                      <w:r w:rsidRPr="00E01313">
                        <w:t>GSE8397</w:t>
                      </w:r>
                      <w:r>
                        <w:t xml:space="preserve"> (SN)</w:t>
                      </w:r>
                    </w:p>
                  </w:txbxContent>
                </v:textbox>
              </v:shape>
            </w:pict>
          </mc:Fallback>
        </mc:AlternateContent>
      </w:r>
    </w:p>
    <w:p w14:paraId="5C219FA4" w14:textId="1904F16C" w:rsidR="003A57FB" w:rsidRPr="003A57FB" w:rsidRDefault="003A57FB" w:rsidP="003A57FB">
      <w:pPr>
        <w:rPr>
          <w:lang w:val="en-GB"/>
        </w:rPr>
      </w:pPr>
    </w:p>
    <w:p w14:paraId="4F5BCE2A" w14:textId="17510FF5" w:rsidR="003A57FB" w:rsidRPr="003A57FB" w:rsidRDefault="003A57FB" w:rsidP="003A57FB">
      <w:pPr>
        <w:rPr>
          <w:lang w:val="en-GB"/>
        </w:rPr>
      </w:pPr>
    </w:p>
    <w:p w14:paraId="10A80004" w14:textId="50D167A6" w:rsidR="003A57FB" w:rsidRPr="003A57FB" w:rsidRDefault="00F54017" w:rsidP="003A57FB">
      <w:pPr>
        <w:rPr>
          <w:lang w:val="en-GB"/>
        </w:rPr>
      </w:pPr>
      <w:r w:rsidRPr="00F54017">
        <w:rPr>
          <w:noProof/>
          <w:lang w:val="en-GB"/>
        </w:rPr>
        <mc:AlternateContent>
          <mc:Choice Requires="wps">
            <w:drawing>
              <wp:anchor distT="0" distB="0" distL="114300" distR="114300" simplePos="0" relativeHeight="251860992" behindDoc="0" locked="0" layoutInCell="1" allowOverlap="1" wp14:anchorId="574C4240" wp14:editId="55992F7E">
                <wp:simplePos x="0" y="0"/>
                <wp:positionH relativeFrom="column">
                  <wp:posOffset>-139065</wp:posOffset>
                </wp:positionH>
                <wp:positionV relativeFrom="paragraph">
                  <wp:posOffset>170180</wp:posOffset>
                </wp:positionV>
                <wp:extent cx="247015" cy="233680"/>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79499639"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4C4240" id="Text Box 158" o:spid="_x0000_s1101" type="#_x0000_t202" style="position:absolute;margin-left:-10.95pt;margin-top:13.4pt;width:19.45pt;height:18.4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" fillcolor="white [3201]" stroked="f" strokeweight=".5pt">
                <v:textbox>
                  <w:txbxContent>
                    <w:p w14:paraId="79499639"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D</w:t>
                      </w:r>
                    </w:p>
                  </w:txbxContent>
                </v:textbox>
              </v:shape>
            </w:pict>
          </mc:Fallback>
        </mc:AlternateContent>
      </w:r>
    </w:p>
    <w:p w14:paraId="05600AB0" w14:textId="0ED19F34" w:rsidR="003A57FB" w:rsidRPr="003A57FB" w:rsidRDefault="00F54017" w:rsidP="003A57FB">
      <w:pPr>
        <w:rPr>
          <w:lang w:val="en-GB"/>
        </w:rPr>
      </w:pPr>
      <w:r w:rsidRPr="00E01313">
        <w:rPr>
          <w:noProof/>
        </w:rPr>
        <w:drawing>
          <wp:anchor distT="0" distB="0" distL="114300" distR="114300" simplePos="0" relativeHeight="251872256" behindDoc="1" locked="0" layoutInCell="1" allowOverlap="1" wp14:anchorId="42AED751" wp14:editId="05783F73">
            <wp:simplePos x="0" y="0"/>
            <wp:positionH relativeFrom="column">
              <wp:posOffset>2506345</wp:posOffset>
            </wp:positionH>
            <wp:positionV relativeFrom="paragraph">
              <wp:posOffset>142875</wp:posOffset>
            </wp:positionV>
            <wp:extent cx="2129155" cy="1440815"/>
            <wp:effectExtent l="0" t="0" r="4445" b="0"/>
            <wp:wrapTight wrapText="bothSides">
              <wp:wrapPolygon edited="0">
                <wp:start x="0" y="0"/>
                <wp:lineTo x="0" y="21324"/>
                <wp:lineTo x="21516" y="21324"/>
                <wp:lineTo x="21516"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ID1_Boxplot.pdf"/>
                    <pic:cNvPicPr/>
                  </pic:nvPicPr>
                  <pic:blipFill rotWithShape="1">
                    <a:blip r:embed="rId233" cstate="print">
                      <a:extLst>
                        <a:ext uri="{28A0092B-C50C-407E-A947-70E740481C1C}">
                          <a14:useLocalDpi xmlns:a14="http://schemas.microsoft.com/office/drawing/2010/main" val="0"/>
                        </a:ext>
                      </a:extLst>
                    </a:blip>
                    <a:srcRect t="1" b="4252"/>
                    <a:stretch/>
                  </pic:blipFill>
                  <pic:spPr bwMode="auto">
                    <a:xfrm>
                      <a:off x="0" y="0"/>
                      <a:ext cx="2129155" cy="1440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45632" behindDoc="1" locked="0" layoutInCell="1" allowOverlap="1" wp14:anchorId="44EA799D" wp14:editId="00A7F6C8">
            <wp:simplePos x="0" y="0"/>
            <wp:positionH relativeFrom="column">
              <wp:posOffset>-2540</wp:posOffset>
            </wp:positionH>
            <wp:positionV relativeFrom="paragraph">
              <wp:posOffset>173990</wp:posOffset>
            </wp:positionV>
            <wp:extent cx="2524125" cy="1409700"/>
            <wp:effectExtent l="0" t="0" r="3175" b="0"/>
            <wp:wrapTight wrapText="bothSides">
              <wp:wrapPolygon edited="0">
                <wp:start x="0" y="0"/>
                <wp:lineTo x="0" y="21405"/>
                <wp:lineTo x="21518" y="21405"/>
                <wp:lineTo x="2151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ID1_Boxplot.pdf"/>
                    <pic:cNvPicPr/>
                  </pic:nvPicPr>
                  <pic:blipFill rotWithShape="1">
                    <a:blip r:embed="rId234" cstate="print">
                      <a:extLst>
                        <a:ext uri="{28A0092B-C50C-407E-A947-70E740481C1C}">
                          <a14:useLocalDpi xmlns:a14="http://schemas.microsoft.com/office/drawing/2010/main" val="0"/>
                        </a:ext>
                      </a:extLst>
                    </a:blip>
                    <a:srcRect l="1249" t="11103" r="3850" b="13912"/>
                    <a:stretch/>
                  </pic:blipFill>
                  <pic:spPr bwMode="auto">
                    <a:xfrm>
                      <a:off x="0" y="0"/>
                      <a:ext cx="2524125"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C4156" w14:textId="3E77D7B1" w:rsidR="003A57FB" w:rsidRPr="003A57FB" w:rsidRDefault="003A57FB" w:rsidP="003A57FB">
      <w:pPr>
        <w:rPr>
          <w:lang w:val="en-GB"/>
        </w:rPr>
      </w:pPr>
    </w:p>
    <w:p w14:paraId="6EE2239C" w14:textId="2EB5A75C" w:rsidR="003A57FB" w:rsidRDefault="00F54017" w:rsidP="003A57FB">
      <w:pPr>
        <w:rPr>
          <w:lang w:val="en-GB"/>
        </w:rPr>
      </w:pPr>
      <w:r w:rsidRPr="00F54017">
        <w:rPr>
          <w:noProof/>
          <w:lang w:val="en-GB"/>
        </w:rPr>
        <mc:AlternateContent>
          <mc:Choice Requires="wps">
            <w:drawing>
              <wp:anchor distT="0" distB="0" distL="114300" distR="114300" simplePos="0" relativeHeight="251868160" behindDoc="0" locked="0" layoutInCell="1" allowOverlap="1" wp14:anchorId="31FA8C7B" wp14:editId="45CDC0F5">
                <wp:simplePos x="0" y="0"/>
                <wp:positionH relativeFrom="column">
                  <wp:posOffset>4392418</wp:posOffset>
                </wp:positionH>
                <wp:positionV relativeFrom="paragraph">
                  <wp:posOffset>209575</wp:posOffset>
                </wp:positionV>
                <wp:extent cx="815975" cy="233680"/>
                <wp:effectExtent l="0" t="952" r="0" b="0"/>
                <wp:wrapNone/>
                <wp:docPr id="231" name="Text Box 231"/>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6097B95A" w14:textId="2A842D49" w:rsidR="00C2072C" w:rsidRPr="00AF0B4A" w:rsidRDefault="00C2072C" w:rsidP="00F54017">
                            <w:pPr>
                              <w:rPr>
                                <w:rFonts w:asciiTheme="majorHAnsi" w:hAnsiTheme="majorHAnsi" w:cstheme="majorHAnsi"/>
                                <w:lang w:val="en-US"/>
                              </w:rPr>
                            </w:pPr>
                            <w:r w:rsidRPr="00E01313">
                              <w:t>GSE20141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A8C7B" id="Text Box 231" o:spid="_x0000_s1102" type="#_x0000_t202" style="position:absolute;margin-left:345.85pt;margin-top:16.5pt;width:64.25pt;height:18.4pt;rotation:-90;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" fillcolor="white [3201]" stroked="f" strokeweight=".5pt">
                <v:textbox>
                  <w:txbxContent>
                    <w:p w14:paraId="6097B95A" w14:textId="2A842D49" w:rsidR="00C2072C" w:rsidRPr="00AF0B4A" w:rsidRDefault="00C2072C" w:rsidP="00F54017">
                      <w:pPr>
                        <w:rPr>
                          <w:rFonts w:asciiTheme="majorHAnsi" w:hAnsiTheme="majorHAnsi" w:cstheme="majorHAnsi"/>
                          <w:lang w:val="en-US"/>
                        </w:rPr>
                      </w:pPr>
                      <w:r w:rsidRPr="00E01313">
                        <w:t>GSE20141</w:t>
                      </w:r>
                    </w:p>
                  </w:txbxContent>
                </v:textbox>
              </v:shape>
            </w:pict>
          </mc:Fallback>
        </mc:AlternateContent>
      </w:r>
    </w:p>
    <w:p w14:paraId="79D0EEBF" w14:textId="13170246" w:rsidR="003A57FB" w:rsidRPr="003A57FB" w:rsidRDefault="003A57FB" w:rsidP="003A57FB">
      <w:pPr>
        <w:rPr>
          <w:lang w:val="en-GB"/>
        </w:rPr>
      </w:pPr>
    </w:p>
    <w:p w14:paraId="1B193093" w14:textId="0A9D70F0" w:rsidR="003A57FB" w:rsidRPr="003A57FB" w:rsidRDefault="003A57FB" w:rsidP="003A57FB">
      <w:pPr>
        <w:rPr>
          <w:lang w:val="en-GB"/>
        </w:rPr>
      </w:pPr>
    </w:p>
    <w:p w14:paraId="4EF4DC05" w14:textId="27D91507" w:rsidR="003A57FB" w:rsidRDefault="00F54017" w:rsidP="003A57FB">
      <w:pPr>
        <w:rPr>
          <w:lang w:val="en-GB"/>
        </w:rPr>
      </w:pPr>
      <w:r w:rsidRPr="00F54017">
        <w:rPr>
          <w:noProof/>
          <w:lang w:val="en-GB"/>
        </w:rPr>
        <mc:AlternateContent>
          <mc:Choice Requires="wps">
            <w:drawing>
              <wp:anchor distT="0" distB="0" distL="114300" distR="114300" simplePos="0" relativeHeight="251862016" behindDoc="0" locked="0" layoutInCell="1" allowOverlap="1" wp14:anchorId="610F2F8E" wp14:editId="2AC5AC6F">
                <wp:simplePos x="0" y="0"/>
                <wp:positionH relativeFrom="column">
                  <wp:posOffset>-157969</wp:posOffset>
                </wp:positionH>
                <wp:positionV relativeFrom="paragraph">
                  <wp:posOffset>212872</wp:posOffset>
                </wp:positionV>
                <wp:extent cx="247015" cy="233680"/>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1D376211"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0F2F8E" id="Text Box 161" o:spid="_x0000_s1103" type="#_x0000_t202" style="position:absolute;margin-left:-12.45pt;margin-top:16.75pt;width:19.45pt;height:18.4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" fillcolor="white [3201]" stroked="f" strokeweight=".5pt">
                <v:textbox>
                  <w:txbxContent>
                    <w:p w14:paraId="1D376211"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E</w:t>
                      </w:r>
                    </w:p>
                  </w:txbxContent>
                </v:textbox>
              </v:shape>
            </w:pict>
          </mc:Fallback>
        </mc:AlternateContent>
      </w:r>
    </w:p>
    <w:p w14:paraId="5DA7221F" w14:textId="7444937A" w:rsidR="003A57FB" w:rsidRDefault="00F54017" w:rsidP="003A57FB">
      <w:pPr>
        <w:rPr>
          <w:lang w:val="en-GB"/>
        </w:rPr>
      </w:pPr>
      <w:r w:rsidRPr="00E01313">
        <w:rPr>
          <w:noProof/>
        </w:rPr>
        <w:drawing>
          <wp:anchor distT="0" distB="0" distL="114300" distR="114300" simplePos="0" relativeHeight="251873280" behindDoc="1" locked="0" layoutInCell="1" allowOverlap="1" wp14:anchorId="290FD3D1" wp14:editId="3192392B">
            <wp:simplePos x="0" y="0"/>
            <wp:positionH relativeFrom="column">
              <wp:posOffset>2545080</wp:posOffset>
            </wp:positionH>
            <wp:positionV relativeFrom="paragraph">
              <wp:posOffset>188595</wp:posOffset>
            </wp:positionV>
            <wp:extent cx="2089785" cy="1360170"/>
            <wp:effectExtent l="0" t="0" r="5715" b="0"/>
            <wp:wrapTight wrapText="bothSides">
              <wp:wrapPolygon edited="0">
                <wp:start x="0" y="0"/>
                <wp:lineTo x="0" y="21378"/>
                <wp:lineTo x="21528" y="21378"/>
                <wp:lineTo x="21528"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D2_Boxplot.pdf"/>
                    <pic:cNvPicPr/>
                  </pic:nvPicPr>
                  <pic:blipFill rotWithShape="1">
                    <a:blip r:embed="rId235" cstate="print">
                      <a:extLst>
                        <a:ext uri="{28A0092B-C50C-407E-A947-70E740481C1C}">
                          <a14:useLocalDpi xmlns:a14="http://schemas.microsoft.com/office/drawing/2010/main" val="0"/>
                        </a:ext>
                      </a:extLst>
                    </a:blip>
                    <a:srcRect l="1184" b="8983"/>
                    <a:stretch/>
                  </pic:blipFill>
                  <pic:spPr bwMode="auto">
                    <a:xfrm>
                      <a:off x="0" y="0"/>
                      <a:ext cx="2089785" cy="1360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46656" behindDoc="1" locked="0" layoutInCell="1" allowOverlap="1" wp14:anchorId="12C07EFB" wp14:editId="592F1F1B">
            <wp:simplePos x="0" y="0"/>
            <wp:positionH relativeFrom="column">
              <wp:posOffset>-10160</wp:posOffset>
            </wp:positionH>
            <wp:positionV relativeFrom="paragraph">
              <wp:posOffset>212090</wp:posOffset>
            </wp:positionV>
            <wp:extent cx="2544445" cy="1414780"/>
            <wp:effectExtent l="0" t="0" r="0" b="0"/>
            <wp:wrapTight wrapText="bothSides">
              <wp:wrapPolygon edited="0">
                <wp:start x="0" y="0"/>
                <wp:lineTo x="0" y="21329"/>
                <wp:lineTo x="21454" y="21329"/>
                <wp:lineTo x="21454"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D2_Boxplot.pdf"/>
                    <pic:cNvPicPr/>
                  </pic:nvPicPr>
                  <pic:blipFill rotWithShape="1">
                    <a:blip r:embed="rId236" cstate="print">
                      <a:extLst>
                        <a:ext uri="{28A0092B-C50C-407E-A947-70E740481C1C}">
                          <a14:useLocalDpi xmlns:a14="http://schemas.microsoft.com/office/drawing/2010/main" val="0"/>
                        </a:ext>
                      </a:extLst>
                    </a:blip>
                    <a:srcRect l="1167" t="11979" r="3869" b="13311"/>
                    <a:stretch/>
                  </pic:blipFill>
                  <pic:spPr bwMode="auto">
                    <a:xfrm>
                      <a:off x="0" y="0"/>
                      <a:ext cx="2544445" cy="141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ACFD2C" w14:textId="6D6E7E17" w:rsidR="003A57FB" w:rsidRDefault="003A57FB" w:rsidP="003A57FB">
      <w:pPr>
        <w:rPr>
          <w:lang w:val="en-GB"/>
        </w:rPr>
      </w:pPr>
    </w:p>
    <w:p w14:paraId="24986296" w14:textId="1E4F1F4B" w:rsidR="003A57FB" w:rsidRDefault="003A57FB" w:rsidP="003A57FB">
      <w:pPr>
        <w:rPr>
          <w:lang w:val="en-GB"/>
        </w:rPr>
      </w:pPr>
    </w:p>
    <w:p w14:paraId="0AD13952" w14:textId="169A7D51" w:rsidR="003A57FB" w:rsidRDefault="00F54017" w:rsidP="003A57FB">
      <w:pPr>
        <w:rPr>
          <w:lang w:val="en-GB"/>
        </w:rPr>
      </w:pPr>
      <w:r w:rsidRPr="00F54017">
        <w:rPr>
          <w:noProof/>
          <w:lang w:val="en-GB"/>
        </w:rPr>
        <mc:AlternateContent>
          <mc:Choice Requires="wps">
            <w:drawing>
              <wp:anchor distT="0" distB="0" distL="114300" distR="114300" simplePos="0" relativeHeight="251866112" behindDoc="0" locked="0" layoutInCell="1" allowOverlap="1" wp14:anchorId="16619603" wp14:editId="4427D59E">
                <wp:simplePos x="0" y="0"/>
                <wp:positionH relativeFrom="column">
                  <wp:posOffset>4393077</wp:posOffset>
                </wp:positionH>
                <wp:positionV relativeFrom="paragraph">
                  <wp:posOffset>6033</wp:posOffset>
                </wp:positionV>
                <wp:extent cx="837565" cy="233680"/>
                <wp:effectExtent l="0" t="2857" r="0" b="0"/>
                <wp:wrapNone/>
                <wp:docPr id="226" name="Text Box 226"/>
                <wp:cNvGraphicFramePr/>
                <a:graphic xmlns:a="http://schemas.openxmlformats.org/drawingml/2006/main">
                  <a:graphicData uri="http://schemas.microsoft.com/office/word/2010/wordprocessingShape">
                    <wps:wsp>
                      <wps:cNvSpPr txBox="1"/>
                      <wps:spPr>
                        <a:xfrm rot="16200000">
                          <a:off x="0" y="0"/>
                          <a:ext cx="837565" cy="233680"/>
                        </a:xfrm>
                        <a:prstGeom prst="rect">
                          <a:avLst/>
                        </a:prstGeom>
                        <a:solidFill>
                          <a:schemeClr val="lt1"/>
                        </a:solidFill>
                        <a:ln w="6350">
                          <a:noFill/>
                        </a:ln>
                      </wps:spPr>
                      <wps:txbx>
                        <w:txbxContent>
                          <w:p w14:paraId="48A88FB5" w14:textId="60139A2A" w:rsidR="00C2072C" w:rsidRPr="00AF0B4A" w:rsidRDefault="00C2072C" w:rsidP="00F54017">
                            <w:pPr>
                              <w:rPr>
                                <w:rFonts w:asciiTheme="majorHAnsi" w:hAnsiTheme="majorHAnsi" w:cstheme="majorHAnsi"/>
                                <w:lang w:val="en-US"/>
                              </w:rPr>
                            </w:pPr>
                            <w:r w:rsidRPr="00E01313">
                              <w:t>GSE20292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19603" id="Text Box 226" o:spid="_x0000_s1104" type="#_x0000_t202" style="position:absolute;margin-left:345.9pt;margin-top:.5pt;width:65.95pt;height:18.4pt;rotation:-90;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" fillcolor="white [3201]" stroked="f" strokeweight=".5pt">
                <v:textbox>
                  <w:txbxContent>
                    <w:p w14:paraId="48A88FB5" w14:textId="60139A2A" w:rsidR="00C2072C" w:rsidRPr="00AF0B4A" w:rsidRDefault="00C2072C" w:rsidP="00F54017">
                      <w:pPr>
                        <w:rPr>
                          <w:rFonts w:asciiTheme="majorHAnsi" w:hAnsiTheme="majorHAnsi" w:cstheme="majorHAnsi"/>
                          <w:lang w:val="en-US"/>
                        </w:rPr>
                      </w:pPr>
                      <w:r w:rsidRPr="00E01313">
                        <w:t>GSE20292</w:t>
                      </w:r>
                    </w:p>
                  </w:txbxContent>
                </v:textbox>
              </v:shape>
            </w:pict>
          </mc:Fallback>
        </mc:AlternateContent>
      </w:r>
    </w:p>
    <w:p w14:paraId="24057889" w14:textId="7B1C5D85" w:rsidR="003A57FB" w:rsidRDefault="003A57FB" w:rsidP="003A57FB">
      <w:pPr>
        <w:rPr>
          <w:lang w:val="en-GB"/>
        </w:rPr>
      </w:pPr>
    </w:p>
    <w:p w14:paraId="3F4C63DE" w14:textId="2A731230" w:rsidR="003A57FB" w:rsidRDefault="00F54017" w:rsidP="003A57FB">
      <w:pPr>
        <w:rPr>
          <w:lang w:val="en-GB"/>
        </w:rPr>
      </w:pPr>
      <w:r w:rsidRPr="00F54017">
        <w:rPr>
          <w:noProof/>
          <w:lang w:val="en-GB"/>
        </w:rPr>
        <mc:AlternateContent>
          <mc:Choice Requires="wps">
            <w:drawing>
              <wp:anchor distT="0" distB="0" distL="114300" distR="114300" simplePos="0" relativeHeight="251863040" behindDoc="0" locked="0" layoutInCell="1" allowOverlap="1" wp14:anchorId="0460FBC1" wp14:editId="48083494">
                <wp:simplePos x="0" y="0"/>
                <wp:positionH relativeFrom="column">
                  <wp:posOffset>-151423</wp:posOffset>
                </wp:positionH>
                <wp:positionV relativeFrom="paragraph">
                  <wp:posOffset>257957</wp:posOffset>
                </wp:positionV>
                <wp:extent cx="247015" cy="233680"/>
                <wp:effectExtent l="0" t="0" r="0" b="0"/>
                <wp:wrapNone/>
                <wp:docPr id="169" name="Text Box 169"/>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263B7DB1"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60FBC1" id="Text Box 169" o:spid="_x0000_s1105" type="#_x0000_t202" style="position:absolute;margin-left:-11.9pt;margin-top:20.3pt;width:19.45pt;height:18.4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" fillcolor="white [3201]" stroked="f" strokeweight=".5pt">
                <v:textbox>
                  <w:txbxContent>
                    <w:p w14:paraId="263B7DB1" w14:textId="77777777" w:rsidR="00C2072C" w:rsidRPr="00AF0B4A" w:rsidRDefault="00C2072C" w:rsidP="00F54017">
                      <w:pPr>
                        <w:rPr>
                          <w:rFonts w:asciiTheme="majorHAnsi" w:hAnsiTheme="majorHAnsi" w:cstheme="majorHAnsi"/>
                          <w:lang w:val="en-US"/>
                        </w:rPr>
                      </w:pPr>
                      <w:r>
                        <w:rPr>
                          <w:rFonts w:asciiTheme="majorHAnsi" w:hAnsiTheme="majorHAnsi" w:cstheme="majorHAnsi"/>
                          <w:lang w:val="en-US"/>
                        </w:rPr>
                        <w:t>F</w:t>
                      </w:r>
                    </w:p>
                  </w:txbxContent>
                </v:textbox>
              </v:shape>
            </w:pict>
          </mc:Fallback>
        </mc:AlternateContent>
      </w:r>
    </w:p>
    <w:p w14:paraId="1BADAAE8" w14:textId="0326C6FA" w:rsidR="00F54017" w:rsidRDefault="00F54017" w:rsidP="003A57FB">
      <w:pPr>
        <w:rPr>
          <w:lang w:val="en-GB"/>
        </w:rPr>
      </w:pPr>
    </w:p>
    <w:p w14:paraId="5075878F" w14:textId="2C7CD435" w:rsidR="00F54017" w:rsidRDefault="00F54017" w:rsidP="003A57FB">
      <w:pPr>
        <w:rPr>
          <w:lang w:val="en-GB"/>
        </w:rPr>
      </w:pPr>
      <w:r w:rsidRPr="00E01313">
        <w:rPr>
          <w:noProof/>
        </w:rPr>
        <w:drawing>
          <wp:anchor distT="0" distB="0" distL="114300" distR="114300" simplePos="0" relativeHeight="251874304" behindDoc="1" locked="0" layoutInCell="1" allowOverlap="1" wp14:anchorId="0F41A19C" wp14:editId="630A7E3E">
            <wp:simplePos x="0" y="0"/>
            <wp:positionH relativeFrom="column">
              <wp:posOffset>2545667</wp:posOffset>
            </wp:positionH>
            <wp:positionV relativeFrom="paragraph">
              <wp:posOffset>24570</wp:posOffset>
            </wp:positionV>
            <wp:extent cx="2016760" cy="1328420"/>
            <wp:effectExtent l="0" t="0" r="2540" b="5080"/>
            <wp:wrapTight wrapText="bothSides">
              <wp:wrapPolygon edited="0">
                <wp:start x="0" y="0"/>
                <wp:lineTo x="0" y="21476"/>
                <wp:lineTo x="21491" y="21476"/>
                <wp:lineTo x="21491"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UM_Boxplot.pdf"/>
                    <pic:cNvPicPr/>
                  </pic:nvPicPr>
                  <pic:blipFill rotWithShape="1">
                    <a:blip r:embed="rId237" cstate="print">
                      <a:extLst>
                        <a:ext uri="{28A0092B-C50C-407E-A947-70E740481C1C}">
                          <a14:useLocalDpi xmlns:a14="http://schemas.microsoft.com/office/drawing/2010/main" val="0"/>
                        </a:ext>
                      </a:extLst>
                    </a:blip>
                    <a:srcRect l="1382" b="8146"/>
                    <a:stretch/>
                  </pic:blipFill>
                  <pic:spPr bwMode="auto">
                    <a:xfrm>
                      <a:off x="0" y="0"/>
                      <a:ext cx="2016760" cy="1328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47680" behindDoc="1" locked="0" layoutInCell="1" allowOverlap="1" wp14:anchorId="6AD6012F" wp14:editId="272EEC56">
            <wp:simplePos x="0" y="0"/>
            <wp:positionH relativeFrom="column">
              <wp:posOffset>-33655</wp:posOffset>
            </wp:positionH>
            <wp:positionV relativeFrom="paragraph">
              <wp:posOffset>25400</wp:posOffset>
            </wp:positionV>
            <wp:extent cx="2580005" cy="1442720"/>
            <wp:effectExtent l="0" t="0" r="0" b="5080"/>
            <wp:wrapTight wrapText="bothSides">
              <wp:wrapPolygon edited="0">
                <wp:start x="0" y="0"/>
                <wp:lineTo x="0" y="21486"/>
                <wp:lineTo x="21478" y="21486"/>
                <wp:lineTo x="2147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UM_Boxplot.pdf"/>
                    <pic:cNvPicPr/>
                  </pic:nvPicPr>
                  <pic:blipFill rotWithShape="1">
                    <a:blip r:embed="rId238" cstate="print">
                      <a:extLst>
                        <a:ext uri="{28A0092B-C50C-407E-A947-70E740481C1C}">
                          <a14:useLocalDpi xmlns:a14="http://schemas.microsoft.com/office/drawing/2010/main" val="0"/>
                        </a:ext>
                      </a:extLst>
                    </a:blip>
                    <a:srcRect t="10944" r="3668" b="12898"/>
                    <a:stretch/>
                  </pic:blipFill>
                  <pic:spPr bwMode="auto">
                    <a:xfrm>
                      <a:off x="0" y="0"/>
                      <a:ext cx="2580005" cy="1442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4E47B5" w14:textId="045B3991" w:rsidR="00F54017" w:rsidRDefault="00F54017" w:rsidP="003A57FB">
      <w:pPr>
        <w:rPr>
          <w:lang w:val="en-GB"/>
        </w:rPr>
      </w:pPr>
    </w:p>
    <w:p w14:paraId="57D57B7F" w14:textId="3ABC2F37" w:rsidR="00F54017" w:rsidRDefault="00F54017" w:rsidP="003A57FB">
      <w:pPr>
        <w:rPr>
          <w:lang w:val="en-GB"/>
        </w:rPr>
      </w:pPr>
      <w:r w:rsidRPr="00F54017">
        <w:rPr>
          <w:noProof/>
          <w:lang w:val="en-GB"/>
        </w:rPr>
        <mc:AlternateContent>
          <mc:Choice Requires="wps">
            <w:drawing>
              <wp:anchor distT="0" distB="0" distL="114300" distR="114300" simplePos="0" relativeHeight="251869184" behindDoc="0" locked="0" layoutInCell="1" allowOverlap="1" wp14:anchorId="46308F9E" wp14:editId="64E7514D">
                <wp:simplePos x="0" y="0"/>
                <wp:positionH relativeFrom="column">
                  <wp:posOffset>4416354</wp:posOffset>
                </wp:positionH>
                <wp:positionV relativeFrom="paragraph">
                  <wp:posOffset>47943</wp:posOffset>
                </wp:positionV>
                <wp:extent cx="815975" cy="233680"/>
                <wp:effectExtent l="0" t="952" r="0" b="0"/>
                <wp:wrapNone/>
                <wp:docPr id="232" name="Text Box 232"/>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3F3A0C49" w14:textId="119924F3" w:rsidR="00C2072C" w:rsidRPr="00AF0B4A" w:rsidRDefault="00C2072C" w:rsidP="00F54017">
                            <w:pPr>
                              <w:rPr>
                                <w:rFonts w:asciiTheme="majorHAnsi" w:hAnsiTheme="majorHAnsi" w:cstheme="majorHAnsi"/>
                                <w:lang w:val="en-US"/>
                              </w:rPr>
                            </w:pPr>
                            <w:r w:rsidRPr="00E01313">
                              <w:t>GSE68719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08F9E" id="Text Box 232" o:spid="_x0000_s1106" type="#_x0000_t202" style="position:absolute;margin-left:347.75pt;margin-top:3.8pt;width:64.25pt;height:18.4pt;rotation:-90;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" fillcolor="white [3201]" stroked="f" strokeweight=".5pt">
                <v:textbox>
                  <w:txbxContent>
                    <w:p w14:paraId="3F3A0C49" w14:textId="119924F3" w:rsidR="00C2072C" w:rsidRPr="00AF0B4A" w:rsidRDefault="00C2072C" w:rsidP="00F54017">
                      <w:pPr>
                        <w:rPr>
                          <w:rFonts w:asciiTheme="majorHAnsi" w:hAnsiTheme="majorHAnsi" w:cstheme="majorHAnsi"/>
                          <w:lang w:val="en-US"/>
                        </w:rPr>
                      </w:pPr>
                      <w:r w:rsidRPr="00E01313">
                        <w:t>GSE68719</w:t>
                      </w:r>
                    </w:p>
                  </w:txbxContent>
                </v:textbox>
              </v:shape>
            </w:pict>
          </mc:Fallback>
        </mc:AlternateContent>
      </w:r>
    </w:p>
    <w:p w14:paraId="092F11C5" w14:textId="0C53566D" w:rsidR="00F54017" w:rsidRDefault="00F54017" w:rsidP="003A57FB">
      <w:pPr>
        <w:rPr>
          <w:lang w:val="en-GB"/>
        </w:rPr>
      </w:pPr>
    </w:p>
    <w:p w14:paraId="64ACAB06" w14:textId="77777777" w:rsidR="00F54017" w:rsidRDefault="00F54017" w:rsidP="003A57FB">
      <w:pPr>
        <w:rPr>
          <w:lang w:val="en-GB"/>
        </w:rPr>
      </w:pPr>
    </w:p>
    <w:p w14:paraId="194E5B96" w14:textId="77777777" w:rsidR="00F54017" w:rsidRDefault="00F54017" w:rsidP="003A57FB">
      <w:pPr>
        <w:rPr>
          <w:lang w:val="en-GB"/>
        </w:rPr>
      </w:pPr>
    </w:p>
    <w:p w14:paraId="1FE15FAE" w14:textId="6E1C58B0" w:rsidR="003A57FB" w:rsidRDefault="003A57FB" w:rsidP="003A57FB">
      <w:pPr>
        <w:rPr>
          <w:lang w:val="en-GB"/>
        </w:rPr>
      </w:pPr>
      <w:r>
        <w:rPr>
          <w:lang w:val="en-GB"/>
        </w:rPr>
        <w:br w:type="page"/>
      </w:r>
    </w:p>
    <w:p w14:paraId="4E28735B" w14:textId="413DB363" w:rsidR="003A57FB" w:rsidRDefault="00F54017" w:rsidP="003A57FB">
      <w:pPr>
        <w:rPr>
          <w:lang w:val="en-GB"/>
        </w:rPr>
      </w:pPr>
      <w:r w:rsidRPr="00F54017">
        <w:rPr>
          <w:noProof/>
          <w:lang w:val="en-GB"/>
        </w:rPr>
        <w:lastRenderedPageBreak/>
        <mc:AlternateContent>
          <mc:Choice Requires="wps">
            <w:drawing>
              <wp:anchor distT="0" distB="0" distL="114300" distR="114300" simplePos="0" relativeHeight="251877376" behindDoc="0" locked="0" layoutInCell="1" allowOverlap="1" wp14:anchorId="559C0435" wp14:editId="0C90527F">
                <wp:simplePos x="0" y="0"/>
                <wp:positionH relativeFrom="column">
                  <wp:posOffset>-120406</wp:posOffset>
                </wp:positionH>
                <wp:positionV relativeFrom="paragraph">
                  <wp:posOffset>-30456</wp:posOffset>
                </wp:positionV>
                <wp:extent cx="247015" cy="233680"/>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61760CD9" w14:textId="1EDE9869" w:rsidR="00C2072C" w:rsidRPr="00AF0B4A" w:rsidRDefault="00C2072C" w:rsidP="00F54017">
                            <w:pPr>
                              <w:rPr>
                                <w:rFonts w:asciiTheme="majorHAnsi" w:hAnsiTheme="majorHAnsi" w:cstheme="majorHAnsi"/>
                                <w:lang w:val="en-US"/>
                              </w:rPr>
                            </w:pPr>
                            <w:r>
                              <w:rPr>
                                <w:rFonts w:asciiTheme="majorHAnsi" w:hAnsiTheme="majorHAnsi" w:cstheme="majorHAnsi"/>
                                <w:lang w:val="en-US"/>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9C0435" id="Text Box 240" o:spid="_x0000_s1107" type="#_x0000_t202" style="position:absolute;margin-left:-9.5pt;margin-top:-2.4pt;width:19.45pt;height:18.4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" fillcolor="white [3201]" stroked="f" strokeweight=".5pt">
                <v:textbox>
                  <w:txbxContent>
                    <w:p w14:paraId="61760CD9" w14:textId="1EDE9869" w:rsidR="00C2072C" w:rsidRPr="00AF0B4A" w:rsidRDefault="00C2072C" w:rsidP="00F54017">
                      <w:pPr>
                        <w:rPr>
                          <w:rFonts w:asciiTheme="majorHAnsi" w:hAnsiTheme="majorHAnsi" w:cstheme="majorHAnsi"/>
                          <w:lang w:val="en-US"/>
                        </w:rPr>
                      </w:pPr>
                      <w:r>
                        <w:rPr>
                          <w:rFonts w:asciiTheme="majorHAnsi" w:hAnsiTheme="majorHAnsi" w:cstheme="majorHAnsi"/>
                          <w:lang w:val="en-US"/>
                        </w:rPr>
                        <w:t>G</w:t>
                      </w:r>
                    </w:p>
                  </w:txbxContent>
                </v:textbox>
              </v:shape>
            </w:pict>
          </mc:Fallback>
        </mc:AlternateContent>
      </w:r>
      <w:r w:rsidRPr="00E01313">
        <w:rPr>
          <w:noProof/>
        </w:rPr>
        <w:drawing>
          <wp:anchor distT="0" distB="0" distL="114300" distR="114300" simplePos="0" relativeHeight="251875328" behindDoc="1" locked="0" layoutInCell="1" allowOverlap="1" wp14:anchorId="29ADE1FE" wp14:editId="71AD39AD">
            <wp:simplePos x="0" y="0"/>
            <wp:positionH relativeFrom="column">
              <wp:posOffset>2428240</wp:posOffset>
            </wp:positionH>
            <wp:positionV relativeFrom="paragraph">
              <wp:posOffset>0</wp:posOffset>
            </wp:positionV>
            <wp:extent cx="1922145" cy="1263650"/>
            <wp:effectExtent l="0" t="0" r="0" b="6350"/>
            <wp:wrapTight wrapText="bothSides">
              <wp:wrapPolygon edited="0">
                <wp:start x="0" y="0"/>
                <wp:lineTo x="0" y="21491"/>
                <wp:lineTo x="21407" y="21491"/>
                <wp:lineTo x="21407"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OR.FC_Boxplot.pdf"/>
                    <pic:cNvPicPr/>
                  </pic:nvPicPr>
                  <pic:blipFill rotWithShape="1">
                    <a:blip r:embed="rId239" cstate="print">
                      <a:extLst>
                        <a:ext uri="{28A0092B-C50C-407E-A947-70E740481C1C}">
                          <a14:useLocalDpi xmlns:a14="http://schemas.microsoft.com/office/drawing/2010/main" val="0"/>
                        </a:ext>
                      </a:extLst>
                    </a:blip>
                    <a:srcRect b="7029"/>
                    <a:stretch/>
                  </pic:blipFill>
                  <pic:spPr bwMode="auto">
                    <a:xfrm>
                      <a:off x="0" y="0"/>
                      <a:ext cx="1922145" cy="126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57FB" w:rsidRPr="0082680A">
        <w:rPr>
          <w:noProof/>
          <w:lang w:val="en-GB"/>
        </w:rPr>
        <w:drawing>
          <wp:anchor distT="0" distB="0" distL="114300" distR="114300" simplePos="0" relativeHeight="251849728" behindDoc="1" locked="0" layoutInCell="1" allowOverlap="1" wp14:anchorId="6841B2D9" wp14:editId="1D8A89B3">
            <wp:simplePos x="0" y="0"/>
            <wp:positionH relativeFrom="column">
              <wp:posOffset>-2540</wp:posOffset>
            </wp:positionH>
            <wp:positionV relativeFrom="paragraph">
              <wp:posOffset>0</wp:posOffset>
            </wp:positionV>
            <wp:extent cx="2438400" cy="1355090"/>
            <wp:effectExtent l="0" t="0" r="0" b="3810"/>
            <wp:wrapTight wrapText="bothSides">
              <wp:wrapPolygon edited="0">
                <wp:start x="0" y="0"/>
                <wp:lineTo x="0" y="21458"/>
                <wp:lineTo x="21488" y="21458"/>
                <wp:lineTo x="21488"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OR.FC_Boxplot.pdf"/>
                    <pic:cNvPicPr/>
                  </pic:nvPicPr>
                  <pic:blipFill rotWithShape="1">
                    <a:blip r:embed="rId240" cstate="print">
                      <a:extLst>
                        <a:ext uri="{28A0092B-C50C-407E-A947-70E740481C1C}">
                          <a14:useLocalDpi xmlns:a14="http://schemas.microsoft.com/office/drawing/2010/main" val="0"/>
                        </a:ext>
                      </a:extLst>
                    </a:blip>
                    <a:srcRect t="9902" r="2780" b="13660"/>
                    <a:stretch/>
                  </pic:blipFill>
                  <pic:spPr bwMode="auto">
                    <a:xfrm>
                      <a:off x="0" y="0"/>
                      <a:ext cx="2438400" cy="1355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9209F" w14:textId="5F108041" w:rsidR="000A072B" w:rsidRDefault="00F54017" w:rsidP="003A57FB">
      <w:pPr>
        <w:rPr>
          <w:lang w:val="en-GB"/>
        </w:rPr>
      </w:pPr>
      <w:r w:rsidRPr="00F54017">
        <w:rPr>
          <w:noProof/>
          <w:lang w:val="en-GB"/>
        </w:rPr>
        <mc:AlternateContent>
          <mc:Choice Requires="wps">
            <w:drawing>
              <wp:anchor distT="0" distB="0" distL="114300" distR="114300" simplePos="0" relativeHeight="251883520" behindDoc="0" locked="0" layoutInCell="1" allowOverlap="1" wp14:anchorId="0EED3915" wp14:editId="2C06207D">
                <wp:simplePos x="0" y="0"/>
                <wp:positionH relativeFrom="column">
                  <wp:posOffset>4065270</wp:posOffset>
                </wp:positionH>
                <wp:positionV relativeFrom="paragraph">
                  <wp:posOffset>204030</wp:posOffset>
                </wp:positionV>
                <wp:extent cx="1072223" cy="233680"/>
                <wp:effectExtent l="0" t="0" r="0" b="0"/>
                <wp:wrapNone/>
                <wp:docPr id="270" name="Text Box 270"/>
                <wp:cNvGraphicFramePr/>
                <a:graphic xmlns:a="http://schemas.openxmlformats.org/drawingml/2006/main">
                  <a:graphicData uri="http://schemas.microsoft.com/office/word/2010/wordprocessingShape">
                    <wps:wsp>
                      <wps:cNvSpPr txBox="1"/>
                      <wps:spPr>
                        <a:xfrm rot="16200000">
                          <a:off x="0" y="0"/>
                          <a:ext cx="1072223" cy="233680"/>
                        </a:xfrm>
                        <a:prstGeom prst="rect">
                          <a:avLst/>
                        </a:prstGeom>
                        <a:solidFill>
                          <a:schemeClr val="lt1"/>
                        </a:solidFill>
                        <a:ln w="6350">
                          <a:noFill/>
                        </a:ln>
                      </wps:spPr>
                      <wps:txbx>
                        <w:txbxContent>
                          <w:p w14:paraId="4009976A" w14:textId="09404E1D" w:rsidR="00C2072C" w:rsidRPr="00AF0B4A" w:rsidRDefault="00C2072C" w:rsidP="00F54017">
                            <w:pPr>
                              <w:rPr>
                                <w:rFonts w:asciiTheme="majorHAnsi" w:hAnsiTheme="majorHAnsi" w:cstheme="majorHAnsi"/>
                                <w:lang w:val="en-US"/>
                              </w:rPr>
                            </w:pPr>
                            <w:r w:rsidRPr="00E01313">
                              <w:t>GSE8397</w:t>
                            </w:r>
                            <w:r>
                              <w:t xml:space="preserve"> (FC)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D3915" id="Text Box 270" o:spid="_x0000_s1108" type="#_x0000_t202" style="position:absolute;margin-left:320.1pt;margin-top:16.05pt;width:84.45pt;height:18.4pt;rotation:-9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" fillcolor="white [3201]" stroked="f" strokeweight=".5pt">
                <v:textbox>
                  <w:txbxContent>
                    <w:p w14:paraId="4009976A" w14:textId="09404E1D" w:rsidR="00C2072C" w:rsidRPr="00AF0B4A" w:rsidRDefault="00C2072C" w:rsidP="00F54017">
                      <w:pPr>
                        <w:rPr>
                          <w:rFonts w:asciiTheme="majorHAnsi" w:hAnsiTheme="majorHAnsi" w:cstheme="majorHAnsi"/>
                          <w:lang w:val="en-US"/>
                        </w:rPr>
                      </w:pPr>
                      <w:r w:rsidRPr="00E01313">
                        <w:t>GSE8397</w:t>
                      </w:r>
                      <w:r>
                        <w:t xml:space="preserve"> (FC)</w:t>
                      </w:r>
                    </w:p>
                  </w:txbxContent>
                </v:textbox>
              </v:shape>
            </w:pict>
          </mc:Fallback>
        </mc:AlternateContent>
      </w:r>
    </w:p>
    <w:p w14:paraId="1E5ADA45" w14:textId="2F9326D1" w:rsidR="000A072B" w:rsidRPr="000A072B" w:rsidRDefault="00F54017" w:rsidP="000A072B">
      <w:pPr>
        <w:rPr>
          <w:lang w:val="en-GB"/>
        </w:rPr>
      </w:pPr>
      <w:r w:rsidRPr="00F54017">
        <w:rPr>
          <w:noProof/>
          <w:lang w:val="en-GB"/>
        </w:rPr>
        <mc:AlternateContent>
          <mc:Choice Requires="wps">
            <w:drawing>
              <wp:anchor distT="0" distB="0" distL="114300" distR="114300" simplePos="0" relativeHeight="251879424" behindDoc="0" locked="0" layoutInCell="1" allowOverlap="1" wp14:anchorId="50FB9F91" wp14:editId="6C7198B7">
                <wp:simplePos x="0" y="0"/>
                <wp:positionH relativeFrom="column">
                  <wp:posOffset>-118745</wp:posOffset>
                </wp:positionH>
                <wp:positionV relativeFrom="paragraph">
                  <wp:posOffset>2238375</wp:posOffset>
                </wp:positionV>
                <wp:extent cx="247015" cy="233680"/>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35DCC43E" w14:textId="16C34523" w:rsidR="00C2072C" w:rsidRPr="00AF0B4A" w:rsidRDefault="00C2072C" w:rsidP="00F54017">
                            <w:pPr>
                              <w:rPr>
                                <w:rFonts w:asciiTheme="majorHAnsi" w:hAnsiTheme="majorHAnsi" w:cstheme="majorHAnsi"/>
                                <w:lang w:val="en-US"/>
                              </w:rPr>
                            </w:pPr>
                            <w:r>
                              <w:rPr>
                                <w:rFonts w:asciiTheme="majorHAnsi" w:hAnsiTheme="majorHAnsi" w:cstheme="majorHAnsi"/>
                                <w:lang w:val="en-U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FB9F91" id="Text Box 254" o:spid="_x0000_s1109" type="#_x0000_t202" style="position:absolute;margin-left:-9.35pt;margin-top:176.25pt;width:19.45pt;height:18.4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" fillcolor="white [3201]" stroked="f" strokeweight=".5pt">
                <v:textbox>
                  <w:txbxContent>
                    <w:p w14:paraId="35DCC43E" w14:textId="16C34523" w:rsidR="00C2072C" w:rsidRPr="00AF0B4A" w:rsidRDefault="00C2072C" w:rsidP="00F54017">
                      <w:pPr>
                        <w:rPr>
                          <w:rFonts w:asciiTheme="majorHAnsi" w:hAnsiTheme="majorHAnsi" w:cstheme="majorHAnsi"/>
                          <w:lang w:val="en-US"/>
                        </w:rPr>
                      </w:pPr>
                      <w:r>
                        <w:rPr>
                          <w:rFonts w:asciiTheme="majorHAnsi" w:hAnsiTheme="majorHAnsi" w:cstheme="majorHAnsi"/>
                          <w:lang w:val="en-US"/>
                        </w:rPr>
                        <w:t>I</w:t>
                      </w:r>
                    </w:p>
                  </w:txbxContent>
                </v:textbox>
              </v:shape>
            </w:pict>
          </mc:Fallback>
        </mc:AlternateContent>
      </w:r>
      <w:r w:rsidRPr="00F54017">
        <w:rPr>
          <w:noProof/>
          <w:lang w:val="en-GB"/>
        </w:rPr>
        <mc:AlternateContent>
          <mc:Choice Requires="wps">
            <w:drawing>
              <wp:anchor distT="0" distB="0" distL="114300" distR="114300" simplePos="0" relativeHeight="251878400" behindDoc="0" locked="0" layoutInCell="1" allowOverlap="1" wp14:anchorId="69C8F22C" wp14:editId="5C718BDF">
                <wp:simplePos x="0" y="0"/>
                <wp:positionH relativeFrom="column">
                  <wp:posOffset>-122555</wp:posOffset>
                </wp:positionH>
                <wp:positionV relativeFrom="paragraph">
                  <wp:posOffset>786765</wp:posOffset>
                </wp:positionV>
                <wp:extent cx="247015" cy="233680"/>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591553A7" w14:textId="2C1DA053" w:rsidR="00C2072C" w:rsidRPr="00AF0B4A" w:rsidRDefault="00C2072C" w:rsidP="00F54017">
                            <w:pPr>
                              <w:rPr>
                                <w:rFonts w:asciiTheme="majorHAnsi" w:hAnsiTheme="majorHAnsi" w:cstheme="majorHAnsi"/>
                                <w:lang w:val="en-US"/>
                              </w:rPr>
                            </w:pPr>
                            <w:r>
                              <w:rPr>
                                <w:rFonts w:asciiTheme="majorHAnsi" w:hAnsiTheme="majorHAnsi" w:cstheme="majorHAnsi"/>
                                <w:lang w:val="en-US"/>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C8F22C" id="Text Box 245" o:spid="_x0000_s1110" type="#_x0000_t202" style="position:absolute;margin-left:-9.65pt;margin-top:61.95pt;width:19.45pt;height:18.4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" fillcolor="white [3201]" stroked="f" strokeweight=".5pt">
                <v:textbox>
                  <w:txbxContent>
                    <w:p w14:paraId="591553A7" w14:textId="2C1DA053" w:rsidR="00C2072C" w:rsidRPr="00AF0B4A" w:rsidRDefault="00C2072C" w:rsidP="00F54017">
                      <w:pPr>
                        <w:rPr>
                          <w:rFonts w:asciiTheme="majorHAnsi" w:hAnsiTheme="majorHAnsi" w:cstheme="majorHAnsi"/>
                          <w:lang w:val="en-US"/>
                        </w:rPr>
                      </w:pPr>
                      <w:r>
                        <w:rPr>
                          <w:rFonts w:asciiTheme="majorHAnsi" w:hAnsiTheme="majorHAnsi" w:cstheme="majorHAnsi"/>
                          <w:lang w:val="en-US"/>
                        </w:rPr>
                        <w:t>H</w:t>
                      </w:r>
                    </w:p>
                  </w:txbxContent>
                </v:textbox>
              </v:shape>
            </w:pict>
          </mc:Fallback>
        </mc:AlternateContent>
      </w:r>
    </w:p>
    <w:p w14:paraId="2AF54353" w14:textId="1D28580A" w:rsidR="000A072B" w:rsidRPr="000A072B" w:rsidRDefault="000A072B" w:rsidP="000A072B">
      <w:pPr>
        <w:rPr>
          <w:lang w:val="en-GB"/>
        </w:rPr>
      </w:pPr>
    </w:p>
    <w:p w14:paraId="7A9DABD8" w14:textId="25030181" w:rsidR="000A072B" w:rsidRPr="000A072B" w:rsidRDefault="000A072B" w:rsidP="000A072B">
      <w:pPr>
        <w:rPr>
          <w:lang w:val="en-GB"/>
        </w:rPr>
      </w:pPr>
    </w:p>
    <w:p w14:paraId="776F4EF0" w14:textId="2A188431" w:rsidR="000A072B" w:rsidRDefault="00F54017" w:rsidP="000A072B">
      <w:pPr>
        <w:rPr>
          <w:lang w:val="en-GB"/>
        </w:rPr>
      </w:pPr>
      <w:r w:rsidRPr="00E01313">
        <w:rPr>
          <w:noProof/>
        </w:rPr>
        <w:drawing>
          <wp:anchor distT="0" distB="0" distL="114300" distR="114300" simplePos="0" relativeHeight="251889664" behindDoc="1" locked="0" layoutInCell="1" allowOverlap="1" wp14:anchorId="272D7CDB" wp14:editId="12A01FD3">
            <wp:simplePos x="0" y="0"/>
            <wp:positionH relativeFrom="column">
              <wp:posOffset>2435860</wp:posOffset>
            </wp:positionH>
            <wp:positionV relativeFrom="paragraph">
              <wp:posOffset>182050</wp:posOffset>
            </wp:positionV>
            <wp:extent cx="1913890" cy="1242695"/>
            <wp:effectExtent l="0" t="0" r="3810" b="1905"/>
            <wp:wrapTight wrapText="bothSides">
              <wp:wrapPolygon edited="0">
                <wp:start x="0" y="0"/>
                <wp:lineTo x="0" y="21412"/>
                <wp:lineTo x="21500" y="21412"/>
                <wp:lineTo x="21500"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EW_Boxplot.pdf"/>
                    <pic:cNvPicPr/>
                  </pic:nvPicPr>
                  <pic:blipFill rotWithShape="1">
                    <a:blip r:embed="rId241" cstate="print">
                      <a:extLst>
                        <a:ext uri="{28A0092B-C50C-407E-A947-70E740481C1C}">
                          <a14:useLocalDpi xmlns:a14="http://schemas.microsoft.com/office/drawing/2010/main" val="0"/>
                        </a:ext>
                      </a:extLst>
                    </a:blip>
                    <a:srcRect b="7041"/>
                    <a:stretch/>
                  </pic:blipFill>
                  <pic:spPr bwMode="auto">
                    <a:xfrm>
                      <a:off x="0" y="0"/>
                      <a:ext cx="1913890" cy="1242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48704" behindDoc="1" locked="0" layoutInCell="1" allowOverlap="1" wp14:anchorId="17A21583" wp14:editId="04DB1914">
            <wp:simplePos x="0" y="0"/>
            <wp:positionH relativeFrom="column">
              <wp:posOffset>20955</wp:posOffset>
            </wp:positionH>
            <wp:positionV relativeFrom="paragraph">
              <wp:posOffset>193040</wp:posOffset>
            </wp:positionV>
            <wp:extent cx="2414905" cy="1336675"/>
            <wp:effectExtent l="0" t="0" r="0" b="0"/>
            <wp:wrapTight wrapText="bothSides">
              <wp:wrapPolygon edited="0">
                <wp:start x="0" y="0"/>
                <wp:lineTo x="0" y="21343"/>
                <wp:lineTo x="21469" y="21343"/>
                <wp:lineTo x="21469"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EW_Boxplot.pdf"/>
                    <pic:cNvPicPr/>
                  </pic:nvPicPr>
                  <pic:blipFill rotWithShape="1">
                    <a:blip r:embed="rId242" cstate="print">
                      <a:extLst>
                        <a:ext uri="{28A0092B-C50C-407E-A947-70E740481C1C}">
                          <a14:useLocalDpi xmlns:a14="http://schemas.microsoft.com/office/drawing/2010/main" val="0"/>
                        </a:ext>
                      </a:extLst>
                    </a:blip>
                    <a:srcRect l="1142" t="11538" r="3365" b="13690"/>
                    <a:stretch/>
                  </pic:blipFill>
                  <pic:spPr bwMode="auto">
                    <a:xfrm>
                      <a:off x="0" y="0"/>
                      <a:ext cx="2414905" cy="1336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FD445B" w14:textId="241469D5" w:rsidR="000A072B" w:rsidRDefault="000A072B" w:rsidP="000A072B">
      <w:pPr>
        <w:rPr>
          <w:lang w:val="en-GB"/>
        </w:rPr>
      </w:pPr>
    </w:p>
    <w:p w14:paraId="5469C086" w14:textId="666EDFF6" w:rsidR="000A072B" w:rsidRDefault="00F54017" w:rsidP="000A072B">
      <w:pPr>
        <w:rPr>
          <w:lang w:val="en-GB"/>
        </w:rPr>
      </w:pPr>
      <w:r w:rsidRPr="00F54017">
        <w:rPr>
          <w:noProof/>
          <w:lang w:val="en-GB"/>
        </w:rPr>
        <mc:AlternateContent>
          <mc:Choice Requires="wps">
            <w:drawing>
              <wp:anchor distT="0" distB="0" distL="114300" distR="114300" simplePos="0" relativeHeight="251884544" behindDoc="0" locked="0" layoutInCell="1" allowOverlap="1" wp14:anchorId="2FDD6B43" wp14:editId="2604BAC7">
                <wp:simplePos x="0" y="0"/>
                <wp:positionH relativeFrom="column">
                  <wp:posOffset>4164550</wp:posOffset>
                </wp:positionH>
                <wp:positionV relativeFrom="paragraph">
                  <wp:posOffset>54438</wp:posOffset>
                </wp:positionV>
                <wp:extent cx="873125" cy="233680"/>
                <wp:effectExtent l="2223" t="0" r="5397" b="5398"/>
                <wp:wrapNone/>
                <wp:docPr id="271" name="Text Box 271"/>
                <wp:cNvGraphicFramePr/>
                <a:graphic xmlns:a="http://schemas.openxmlformats.org/drawingml/2006/main">
                  <a:graphicData uri="http://schemas.microsoft.com/office/word/2010/wordprocessingShape">
                    <wps:wsp>
                      <wps:cNvSpPr txBox="1"/>
                      <wps:spPr>
                        <a:xfrm rot="16200000">
                          <a:off x="0" y="0"/>
                          <a:ext cx="873125" cy="233680"/>
                        </a:xfrm>
                        <a:prstGeom prst="rect">
                          <a:avLst/>
                        </a:prstGeom>
                        <a:solidFill>
                          <a:schemeClr val="lt1"/>
                        </a:solidFill>
                        <a:ln w="6350">
                          <a:noFill/>
                        </a:ln>
                      </wps:spPr>
                      <wps:txbx>
                        <w:txbxContent>
                          <w:p w14:paraId="3E77B75D" w14:textId="0E3B95ED" w:rsidR="00C2072C" w:rsidRPr="0080727C" w:rsidRDefault="00C2072C" w:rsidP="00F54017">
                            <w:pPr>
                              <w:rPr>
                                <w:rFonts w:asciiTheme="majorHAnsi" w:hAnsiTheme="majorHAnsi" w:cstheme="majorHAnsi"/>
                                <w:lang w:val="en-US"/>
                              </w:rPr>
                            </w:pPr>
                            <w:r w:rsidRPr="00E01313">
                              <w:t>GSE19587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D6B43" id="Text Box 271" o:spid="_x0000_s1111" type="#_x0000_t202" style="position:absolute;margin-left:327.9pt;margin-top:4.3pt;width:68.75pt;height:18.4pt;rotation:-90;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" fillcolor="white [3201]" stroked="f" strokeweight=".5pt">
                <v:textbox>
                  <w:txbxContent>
                    <w:p w14:paraId="3E77B75D" w14:textId="0E3B95ED" w:rsidR="00C2072C" w:rsidRPr="0080727C" w:rsidRDefault="00C2072C" w:rsidP="00F54017">
                      <w:pPr>
                        <w:rPr>
                          <w:rFonts w:asciiTheme="majorHAnsi" w:hAnsiTheme="majorHAnsi" w:cstheme="majorHAnsi"/>
                          <w:lang w:val="en-US"/>
                        </w:rPr>
                      </w:pPr>
                      <w:r w:rsidRPr="00E01313">
                        <w:t>GSE19587</w:t>
                      </w:r>
                    </w:p>
                  </w:txbxContent>
                </v:textbox>
              </v:shape>
            </w:pict>
          </mc:Fallback>
        </mc:AlternateContent>
      </w:r>
    </w:p>
    <w:p w14:paraId="75E7B6D1" w14:textId="66604192" w:rsidR="000A072B" w:rsidRDefault="000A072B" w:rsidP="000A072B">
      <w:pPr>
        <w:rPr>
          <w:lang w:val="en-GB"/>
        </w:rPr>
      </w:pPr>
    </w:p>
    <w:p w14:paraId="7D38ED02" w14:textId="4F1BDEC1" w:rsidR="000A072B" w:rsidRDefault="000A072B" w:rsidP="000A072B">
      <w:pPr>
        <w:rPr>
          <w:lang w:val="en-GB"/>
        </w:rPr>
      </w:pPr>
    </w:p>
    <w:p w14:paraId="1193E8D5" w14:textId="7257EFC5" w:rsidR="000A072B" w:rsidRDefault="000A072B" w:rsidP="000A072B">
      <w:pPr>
        <w:rPr>
          <w:lang w:val="en-GB"/>
        </w:rPr>
      </w:pPr>
    </w:p>
    <w:p w14:paraId="329641D8" w14:textId="5243CFFD" w:rsidR="000A072B" w:rsidRDefault="00F54017" w:rsidP="000A072B">
      <w:pPr>
        <w:rPr>
          <w:lang w:val="en-GB"/>
        </w:rPr>
      </w:pPr>
      <w:r w:rsidRPr="00E01313">
        <w:rPr>
          <w:noProof/>
        </w:rPr>
        <w:drawing>
          <wp:anchor distT="0" distB="0" distL="114300" distR="114300" simplePos="0" relativeHeight="251890688" behindDoc="1" locked="0" layoutInCell="1" allowOverlap="1" wp14:anchorId="5EC17819" wp14:editId="0EC37132">
            <wp:simplePos x="0" y="0"/>
            <wp:positionH relativeFrom="column">
              <wp:posOffset>2428240</wp:posOffset>
            </wp:positionH>
            <wp:positionV relativeFrom="paragraph">
              <wp:posOffset>133985</wp:posOffset>
            </wp:positionV>
            <wp:extent cx="1922145" cy="1266825"/>
            <wp:effectExtent l="0" t="0" r="0" b="3175"/>
            <wp:wrapTight wrapText="bothSides">
              <wp:wrapPolygon edited="0">
                <wp:start x="0" y="0"/>
                <wp:lineTo x="0" y="21438"/>
                <wp:lineTo x="21407" y="21438"/>
                <wp:lineTo x="21407" y="0"/>
                <wp:lineTo x="0" y="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ID3_Boxplots.pdf"/>
                    <pic:cNvPicPr/>
                  </pic:nvPicPr>
                  <pic:blipFill rotWithShape="1">
                    <a:blip r:embed="rId243" cstate="print">
                      <a:extLst>
                        <a:ext uri="{28A0092B-C50C-407E-A947-70E740481C1C}">
                          <a14:useLocalDpi xmlns:a14="http://schemas.microsoft.com/office/drawing/2010/main" val="0"/>
                        </a:ext>
                      </a:extLst>
                    </a:blip>
                    <a:srcRect b="6764"/>
                    <a:stretch/>
                  </pic:blipFill>
                  <pic:spPr bwMode="auto">
                    <a:xfrm>
                      <a:off x="0" y="0"/>
                      <a:ext cx="192214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50752" behindDoc="1" locked="0" layoutInCell="1" allowOverlap="1" wp14:anchorId="08935734" wp14:editId="011A0044">
            <wp:simplePos x="0" y="0"/>
            <wp:positionH relativeFrom="column">
              <wp:posOffset>13140</wp:posOffset>
            </wp:positionH>
            <wp:positionV relativeFrom="paragraph">
              <wp:posOffset>134278</wp:posOffset>
            </wp:positionV>
            <wp:extent cx="2414905" cy="1342390"/>
            <wp:effectExtent l="0" t="0" r="0" b="3810"/>
            <wp:wrapTight wrapText="bothSides">
              <wp:wrapPolygon edited="0">
                <wp:start x="0" y="0"/>
                <wp:lineTo x="0" y="21457"/>
                <wp:lineTo x="21469" y="21457"/>
                <wp:lineTo x="21469"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ID3_Boxplots.pdf"/>
                    <pic:cNvPicPr/>
                  </pic:nvPicPr>
                  <pic:blipFill rotWithShape="1">
                    <a:blip r:embed="rId244" cstate="print">
                      <a:extLst>
                        <a:ext uri="{28A0092B-C50C-407E-A947-70E740481C1C}">
                          <a14:useLocalDpi xmlns:a14="http://schemas.microsoft.com/office/drawing/2010/main" val="0"/>
                        </a:ext>
                      </a:extLst>
                    </a:blip>
                    <a:srcRect l="1405" t="11296" r="3520" b="13916"/>
                    <a:stretch/>
                  </pic:blipFill>
                  <pic:spPr bwMode="auto">
                    <a:xfrm>
                      <a:off x="0" y="0"/>
                      <a:ext cx="2414905" cy="1342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CFDE0" w14:textId="69B8EEF3" w:rsidR="000A072B" w:rsidRDefault="000A072B" w:rsidP="000A072B">
      <w:pPr>
        <w:rPr>
          <w:lang w:val="en-GB"/>
        </w:rPr>
      </w:pPr>
    </w:p>
    <w:p w14:paraId="74F4EBD1" w14:textId="76B3E25A" w:rsidR="000A072B" w:rsidRDefault="00F54017" w:rsidP="000A072B">
      <w:pPr>
        <w:rPr>
          <w:lang w:val="en-GB"/>
        </w:rPr>
      </w:pPr>
      <w:r w:rsidRPr="00F54017">
        <w:rPr>
          <w:noProof/>
          <w:lang w:val="en-GB"/>
        </w:rPr>
        <mc:AlternateContent>
          <mc:Choice Requires="wps">
            <w:drawing>
              <wp:anchor distT="0" distB="0" distL="114300" distR="114300" simplePos="0" relativeHeight="251886592" behindDoc="0" locked="0" layoutInCell="1" allowOverlap="1" wp14:anchorId="3E879FE7" wp14:editId="04888822">
                <wp:simplePos x="0" y="0"/>
                <wp:positionH relativeFrom="column">
                  <wp:posOffset>4159542</wp:posOffset>
                </wp:positionH>
                <wp:positionV relativeFrom="paragraph">
                  <wp:posOffset>88118</wp:posOffset>
                </wp:positionV>
                <wp:extent cx="882456" cy="233680"/>
                <wp:effectExtent l="0" t="6032" r="952" b="953"/>
                <wp:wrapNone/>
                <wp:docPr id="273" name="Text Box 273"/>
                <wp:cNvGraphicFramePr/>
                <a:graphic xmlns:a="http://schemas.openxmlformats.org/drawingml/2006/main">
                  <a:graphicData uri="http://schemas.microsoft.com/office/word/2010/wordprocessingShape">
                    <wps:wsp>
                      <wps:cNvSpPr txBox="1"/>
                      <wps:spPr>
                        <a:xfrm rot="16200000">
                          <a:off x="0" y="0"/>
                          <a:ext cx="882456" cy="233680"/>
                        </a:xfrm>
                        <a:prstGeom prst="rect">
                          <a:avLst/>
                        </a:prstGeom>
                        <a:solidFill>
                          <a:schemeClr val="lt1"/>
                        </a:solidFill>
                        <a:ln w="6350">
                          <a:noFill/>
                        </a:ln>
                      </wps:spPr>
                      <wps:txbx>
                        <w:txbxContent>
                          <w:p w14:paraId="2158F3FB" w14:textId="73B1BEBE" w:rsidR="00C2072C" w:rsidRPr="00AF0B4A" w:rsidRDefault="00C2072C" w:rsidP="00F54017">
                            <w:pPr>
                              <w:rPr>
                                <w:rFonts w:asciiTheme="majorHAnsi" w:hAnsiTheme="majorHAnsi" w:cstheme="majorHAnsi"/>
                                <w:lang w:val="en-US"/>
                              </w:rPr>
                            </w:pPr>
                            <w:r w:rsidRPr="00E01313">
                              <w:t>GSE20168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79FE7" id="Text Box 273" o:spid="_x0000_s1112" type="#_x0000_t202" style="position:absolute;margin-left:327.5pt;margin-top:6.95pt;width:69.5pt;height:18.4pt;rotation:-90;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" fillcolor="white [3201]" stroked="f" strokeweight=".5pt">
                <v:textbox>
                  <w:txbxContent>
                    <w:p w14:paraId="2158F3FB" w14:textId="73B1BEBE" w:rsidR="00C2072C" w:rsidRPr="00AF0B4A" w:rsidRDefault="00C2072C" w:rsidP="00F54017">
                      <w:pPr>
                        <w:rPr>
                          <w:rFonts w:asciiTheme="majorHAnsi" w:hAnsiTheme="majorHAnsi" w:cstheme="majorHAnsi"/>
                          <w:lang w:val="en-US"/>
                        </w:rPr>
                      </w:pPr>
                      <w:r w:rsidRPr="00E01313">
                        <w:t>GSE20168</w:t>
                      </w:r>
                    </w:p>
                  </w:txbxContent>
                </v:textbox>
              </v:shape>
            </w:pict>
          </mc:Fallback>
        </mc:AlternateContent>
      </w:r>
    </w:p>
    <w:p w14:paraId="2F0E9668" w14:textId="0A979B8C" w:rsidR="000A072B" w:rsidRDefault="000A072B" w:rsidP="000A072B">
      <w:pPr>
        <w:rPr>
          <w:lang w:val="en-GB"/>
        </w:rPr>
      </w:pPr>
    </w:p>
    <w:p w14:paraId="494DD62C" w14:textId="4EAB3B0F" w:rsidR="000A072B" w:rsidRDefault="000A072B" w:rsidP="000A072B">
      <w:pPr>
        <w:rPr>
          <w:lang w:val="en-GB"/>
        </w:rPr>
      </w:pPr>
    </w:p>
    <w:p w14:paraId="04C41051" w14:textId="394298E0" w:rsidR="000A072B" w:rsidRDefault="00F54017" w:rsidP="000A072B">
      <w:pPr>
        <w:rPr>
          <w:lang w:val="en-GB"/>
        </w:rPr>
      </w:pPr>
      <w:r w:rsidRPr="00F54017">
        <w:rPr>
          <w:noProof/>
          <w:lang w:val="en-GB"/>
        </w:rPr>
        <mc:AlternateContent>
          <mc:Choice Requires="wps">
            <w:drawing>
              <wp:anchor distT="0" distB="0" distL="114300" distR="114300" simplePos="0" relativeHeight="251880448" behindDoc="0" locked="0" layoutInCell="1" allowOverlap="1" wp14:anchorId="13C652B0" wp14:editId="433E0F32">
                <wp:simplePos x="0" y="0"/>
                <wp:positionH relativeFrom="column">
                  <wp:posOffset>-103065</wp:posOffset>
                </wp:positionH>
                <wp:positionV relativeFrom="paragraph">
                  <wp:posOffset>243205</wp:posOffset>
                </wp:positionV>
                <wp:extent cx="247015" cy="233680"/>
                <wp:effectExtent l="0" t="0" r="0" b="0"/>
                <wp:wrapNone/>
                <wp:docPr id="267" name="Text Box 267"/>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3C938FF6" w14:textId="21902067" w:rsidR="00C2072C" w:rsidRPr="00AF0B4A" w:rsidRDefault="00C2072C" w:rsidP="00F54017">
                            <w:pPr>
                              <w:rPr>
                                <w:rFonts w:asciiTheme="majorHAnsi" w:hAnsiTheme="majorHAnsi" w:cstheme="majorHAnsi"/>
                                <w:lang w:val="en-US"/>
                              </w:rPr>
                            </w:pPr>
                            <w:r>
                              <w:rPr>
                                <w:rFonts w:asciiTheme="majorHAnsi" w:hAnsiTheme="majorHAnsi" w:cstheme="majorHAnsi"/>
                                <w:lang w:val="en-US"/>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C652B0" id="Text Box 267" o:spid="_x0000_s1113" type="#_x0000_t202" style="position:absolute;margin-left:-8.1pt;margin-top:19.15pt;width:19.45pt;height:18.4pt;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" fillcolor="white [3201]" stroked="f" strokeweight=".5pt">
                <v:textbox>
                  <w:txbxContent>
                    <w:p w14:paraId="3C938FF6" w14:textId="21902067" w:rsidR="00C2072C" w:rsidRPr="00AF0B4A" w:rsidRDefault="00C2072C" w:rsidP="00F54017">
                      <w:pPr>
                        <w:rPr>
                          <w:rFonts w:asciiTheme="majorHAnsi" w:hAnsiTheme="majorHAnsi" w:cstheme="majorHAnsi"/>
                          <w:lang w:val="en-US"/>
                        </w:rPr>
                      </w:pPr>
                      <w:r>
                        <w:rPr>
                          <w:rFonts w:asciiTheme="majorHAnsi" w:hAnsiTheme="majorHAnsi" w:cstheme="majorHAnsi"/>
                          <w:lang w:val="en-US"/>
                        </w:rPr>
                        <w:t>J</w:t>
                      </w:r>
                    </w:p>
                  </w:txbxContent>
                </v:textbox>
              </v:shape>
            </w:pict>
          </mc:Fallback>
        </mc:AlternateContent>
      </w:r>
    </w:p>
    <w:p w14:paraId="11DC1088" w14:textId="3AAA7B22" w:rsidR="000A072B" w:rsidRDefault="00F54017" w:rsidP="000A072B">
      <w:pPr>
        <w:rPr>
          <w:lang w:val="en-GB"/>
        </w:rPr>
      </w:pPr>
      <w:r w:rsidRPr="00E01313">
        <w:rPr>
          <w:noProof/>
        </w:rPr>
        <w:drawing>
          <wp:anchor distT="0" distB="0" distL="114300" distR="114300" simplePos="0" relativeHeight="251891712" behindDoc="1" locked="0" layoutInCell="1" allowOverlap="1" wp14:anchorId="0244261F" wp14:editId="144E19EE">
            <wp:simplePos x="0" y="0"/>
            <wp:positionH relativeFrom="column">
              <wp:posOffset>2428240</wp:posOffset>
            </wp:positionH>
            <wp:positionV relativeFrom="paragraph">
              <wp:posOffset>85725</wp:posOffset>
            </wp:positionV>
            <wp:extent cx="1922145" cy="1266825"/>
            <wp:effectExtent l="0" t="0" r="0" b="3175"/>
            <wp:wrapTight wrapText="bothSides">
              <wp:wrapPolygon edited="0">
                <wp:start x="0" y="0"/>
                <wp:lineTo x="0" y="21438"/>
                <wp:lineTo x="21407" y="21438"/>
                <wp:lineTo x="21407" y="0"/>
                <wp:lineTo x="0"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ID4_Boxplot.pdf"/>
                    <pic:cNvPicPr/>
                  </pic:nvPicPr>
                  <pic:blipFill rotWithShape="1">
                    <a:blip r:embed="rId245" cstate="print">
                      <a:extLst>
                        <a:ext uri="{28A0092B-C50C-407E-A947-70E740481C1C}">
                          <a14:useLocalDpi xmlns:a14="http://schemas.microsoft.com/office/drawing/2010/main" val="0"/>
                        </a:ext>
                      </a:extLst>
                    </a:blip>
                    <a:srcRect b="6764"/>
                    <a:stretch/>
                  </pic:blipFill>
                  <pic:spPr bwMode="auto">
                    <a:xfrm>
                      <a:off x="0" y="0"/>
                      <a:ext cx="192214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51776" behindDoc="1" locked="0" layoutInCell="1" allowOverlap="1" wp14:anchorId="122EA380" wp14:editId="54EB2ED0">
            <wp:simplePos x="0" y="0"/>
            <wp:positionH relativeFrom="column">
              <wp:posOffset>13335</wp:posOffset>
            </wp:positionH>
            <wp:positionV relativeFrom="paragraph">
              <wp:posOffset>83625</wp:posOffset>
            </wp:positionV>
            <wp:extent cx="2422525" cy="1343660"/>
            <wp:effectExtent l="0" t="0" r="3175" b="2540"/>
            <wp:wrapTight wrapText="bothSides">
              <wp:wrapPolygon edited="0">
                <wp:start x="0" y="0"/>
                <wp:lineTo x="0" y="21437"/>
                <wp:lineTo x="21515" y="21437"/>
                <wp:lineTo x="21515"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ID4_Boxplot.pdf"/>
                    <pic:cNvPicPr/>
                  </pic:nvPicPr>
                  <pic:blipFill rotWithShape="1">
                    <a:blip r:embed="rId246" cstate="print">
                      <a:extLst>
                        <a:ext uri="{28A0092B-C50C-407E-A947-70E740481C1C}">
                          <a14:useLocalDpi xmlns:a14="http://schemas.microsoft.com/office/drawing/2010/main" val="0"/>
                        </a:ext>
                      </a:extLst>
                    </a:blip>
                    <a:srcRect l="1092" t="10593" r="3827" b="14794"/>
                    <a:stretch/>
                  </pic:blipFill>
                  <pic:spPr bwMode="auto">
                    <a:xfrm>
                      <a:off x="0" y="0"/>
                      <a:ext cx="2422525" cy="1343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927A76" w14:textId="62B65EB2" w:rsidR="000A072B" w:rsidRDefault="000A072B" w:rsidP="000A072B">
      <w:pPr>
        <w:rPr>
          <w:lang w:val="en-GB"/>
        </w:rPr>
      </w:pPr>
    </w:p>
    <w:p w14:paraId="10F8D29E" w14:textId="377DA90B" w:rsidR="000A072B" w:rsidRDefault="00F54017" w:rsidP="000A072B">
      <w:pPr>
        <w:rPr>
          <w:lang w:val="en-GB"/>
        </w:rPr>
      </w:pPr>
      <w:r w:rsidRPr="00F54017">
        <w:rPr>
          <w:noProof/>
          <w:lang w:val="en-GB"/>
        </w:rPr>
        <mc:AlternateContent>
          <mc:Choice Requires="wps">
            <w:drawing>
              <wp:anchor distT="0" distB="0" distL="114300" distR="114300" simplePos="0" relativeHeight="251887616" behindDoc="0" locked="0" layoutInCell="1" allowOverlap="1" wp14:anchorId="63103DB4" wp14:editId="25A2E8F9">
                <wp:simplePos x="0" y="0"/>
                <wp:positionH relativeFrom="column">
                  <wp:posOffset>4190242</wp:posOffset>
                </wp:positionH>
                <wp:positionV relativeFrom="paragraph">
                  <wp:posOffset>25766</wp:posOffset>
                </wp:positionV>
                <wp:extent cx="815975" cy="233680"/>
                <wp:effectExtent l="0" t="952" r="0" b="0"/>
                <wp:wrapNone/>
                <wp:docPr id="274" name="Text Box 274"/>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1EDDD9CA" w14:textId="12877BCF" w:rsidR="00C2072C" w:rsidRPr="00AF0B4A" w:rsidRDefault="00C2072C" w:rsidP="00F54017">
                            <w:pPr>
                              <w:rPr>
                                <w:rFonts w:asciiTheme="majorHAnsi" w:hAnsiTheme="majorHAnsi" w:cstheme="majorHAnsi"/>
                                <w:lang w:val="en-US"/>
                              </w:rPr>
                            </w:pPr>
                            <w:r w:rsidRPr="00E01313">
                              <w:t>GSE20291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03DB4" id="Text Box 274" o:spid="_x0000_s1114" type="#_x0000_t202" style="position:absolute;margin-left:329.95pt;margin-top:2.05pt;width:64.25pt;height:18.4pt;rotation:-9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" fillcolor="white [3201]" stroked="f" strokeweight=".5pt">
                <v:textbox>
                  <w:txbxContent>
                    <w:p w14:paraId="1EDDD9CA" w14:textId="12877BCF" w:rsidR="00C2072C" w:rsidRPr="00AF0B4A" w:rsidRDefault="00C2072C" w:rsidP="00F54017">
                      <w:pPr>
                        <w:rPr>
                          <w:rFonts w:asciiTheme="majorHAnsi" w:hAnsiTheme="majorHAnsi" w:cstheme="majorHAnsi"/>
                          <w:lang w:val="en-US"/>
                        </w:rPr>
                      </w:pPr>
                      <w:r w:rsidRPr="00E01313">
                        <w:t>GSE20291</w:t>
                      </w:r>
                    </w:p>
                  </w:txbxContent>
                </v:textbox>
              </v:shape>
            </w:pict>
          </mc:Fallback>
        </mc:AlternateContent>
      </w:r>
    </w:p>
    <w:p w14:paraId="342375FF" w14:textId="5A6869E7" w:rsidR="000A072B" w:rsidRDefault="000A072B" w:rsidP="000A072B">
      <w:pPr>
        <w:rPr>
          <w:lang w:val="en-GB"/>
        </w:rPr>
      </w:pPr>
    </w:p>
    <w:p w14:paraId="7B07A417" w14:textId="59101CC4" w:rsidR="000A072B" w:rsidRDefault="000A072B" w:rsidP="000A072B">
      <w:pPr>
        <w:rPr>
          <w:lang w:val="en-GB"/>
        </w:rPr>
      </w:pPr>
    </w:p>
    <w:p w14:paraId="7BE19942" w14:textId="5D390C5B" w:rsidR="000A072B" w:rsidRDefault="00F54017" w:rsidP="000A072B">
      <w:pPr>
        <w:rPr>
          <w:lang w:val="en-GB"/>
        </w:rPr>
      </w:pPr>
      <w:r w:rsidRPr="00F54017">
        <w:rPr>
          <w:noProof/>
          <w:lang w:val="en-GB"/>
        </w:rPr>
        <mc:AlternateContent>
          <mc:Choice Requires="wps">
            <w:drawing>
              <wp:anchor distT="0" distB="0" distL="114300" distR="114300" simplePos="0" relativeHeight="251881472" behindDoc="0" locked="0" layoutInCell="1" allowOverlap="1" wp14:anchorId="668BC438" wp14:editId="63015A2C">
                <wp:simplePos x="0" y="0"/>
                <wp:positionH relativeFrom="column">
                  <wp:posOffset>-103065</wp:posOffset>
                </wp:positionH>
                <wp:positionV relativeFrom="paragraph">
                  <wp:posOffset>191770</wp:posOffset>
                </wp:positionV>
                <wp:extent cx="207938" cy="233680"/>
                <wp:effectExtent l="0" t="0" r="0" b="0"/>
                <wp:wrapNone/>
                <wp:docPr id="268" name="Text Box 268"/>
                <wp:cNvGraphicFramePr/>
                <a:graphic xmlns:a="http://schemas.openxmlformats.org/drawingml/2006/main">
                  <a:graphicData uri="http://schemas.microsoft.com/office/word/2010/wordprocessingShape">
                    <wps:wsp>
                      <wps:cNvSpPr txBox="1"/>
                      <wps:spPr>
                        <a:xfrm>
                          <a:off x="0" y="0"/>
                          <a:ext cx="207938" cy="233680"/>
                        </a:xfrm>
                        <a:prstGeom prst="rect">
                          <a:avLst/>
                        </a:prstGeom>
                        <a:solidFill>
                          <a:schemeClr val="lt1"/>
                        </a:solidFill>
                        <a:ln w="6350">
                          <a:noFill/>
                        </a:ln>
                      </wps:spPr>
                      <wps:txbx>
                        <w:txbxContent>
                          <w:p w14:paraId="0CE51A23" w14:textId="453C45D8" w:rsidR="00C2072C" w:rsidRPr="00AF0B4A" w:rsidRDefault="00C2072C" w:rsidP="00F54017">
                            <w:pPr>
                              <w:rPr>
                                <w:rFonts w:asciiTheme="majorHAnsi" w:hAnsiTheme="majorHAnsi" w:cstheme="majorHAnsi"/>
                                <w:lang w:val="en-US"/>
                              </w:rPr>
                            </w:pPr>
                            <w:r>
                              <w:rPr>
                                <w:rFonts w:asciiTheme="majorHAnsi" w:hAnsiTheme="majorHAnsi" w:cstheme="majorHAnsi"/>
                                <w:lang w:val="en-US"/>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BC438" id="Text Box 268" o:spid="_x0000_s1115" type="#_x0000_t202" style="position:absolute;margin-left:-8.1pt;margin-top:15.1pt;width:16.35pt;height:18.4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" fillcolor="white [3201]" stroked="f" strokeweight=".5pt">
                <v:textbox>
                  <w:txbxContent>
                    <w:p w14:paraId="0CE51A23" w14:textId="453C45D8" w:rsidR="00C2072C" w:rsidRPr="00AF0B4A" w:rsidRDefault="00C2072C" w:rsidP="00F54017">
                      <w:pPr>
                        <w:rPr>
                          <w:rFonts w:asciiTheme="majorHAnsi" w:hAnsiTheme="majorHAnsi" w:cstheme="majorHAnsi"/>
                          <w:lang w:val="en-US"/>
                        </w:rPr>
                      </w:pPr>
                      <w:r>
                        <w:rPr>
                          <w:rFonts w:asciiTheme="majorHAnsi" w:hAnsiTheme="majorHAnsi" w:cstheme="majorHAnsi"/>
                          <w:lang w:val="en-US"/>
                        </w:rPr>
                        <w:t>K</w:t>
                      </w:r>
                    </w:p>
                  </w:txbxContent>
                </v:textbox>
              </v:shape>
            </w:pict>
          </mc:Fallback>
        </mc:AlternateContent>
      </w:r>
    </w:p>
    <w:p w14:paraId="5277DE44" w14:textId="72338F3D" w:rsidR="000A072B" w:rsidRDefault="00F54017" w:rsidP="000A072B">
      <w:pPr>
        <w:rPr>
          <w:lang w:val="en-GB"/>
        </w:rPr>
      </w:pPr>
      <w:r w:rsidRPr="00E01313">
        <w:rPr>
          <w:noProof/>
        </w:rPr>
        <w:drawing>
          <wp:anchor distT="0" distB="0" distL="114300" distR="114300" simplePos="0" relativeHeight="251892736" behindDoc="1" locked="0" layoutInCell="1" allowOverlap="1" wp14:anchorId="03769C2F" wp14:editId="0EC3B0B2">
            <wp:simplePos x="0" y="0"/>
            <wp:positionH relativeFrom="column">
              <wp:posOffset>2428240</wp:posOffset>
            </wp:positionH>
            <wp:positionV relativeFrom="paragraph">
              <wp:posOffset>38100</wp:posOffset>
            </wp:positionV>
            <wp:extent cx="1931670" cy="1273810"/>
            <wp:effectExtent l="0" t="0" r="0" b="0"/>
            <wp:wrapTight wrapText="bothSides">
              <wp:wrapPolygon edited="0">
                <wp:start x="0" y="0"/>
                <wp:lineTo x="0" y="21320"/>
                <wp:lineTo x="21444" y="21320"/>
                <wp:lineTo x="21444" y="0"/>
                <wp:lineTo x="0" y="0"/>
              </wp:wrapPolygon>
            </wp:wrapTight>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OT1_Boxplot.pdf"/>
                    <pic:cNvPicPr/>
                  </pic:nvPicPr>
                  <pic:blipFill rotWithShape="1">
                    <a:blip r:embed="rId247" cstate="print">
                      <a:extLst>
                        <a:ext uri="{28A0092B-C50C-407E-A947-70E740481C1C}">
                          <a14:useLocalDpi xmlns:a14="http://schemas.microsoft.com/office/drawing/2010/main" val="0"/>
                        </a:ext>
                      </a:extLst>
                    </a:blip>
                    <a:srcRect b="6764"/>
                    <a:stretch/>
                  </pic:blipFill>
                  <pic:spPr bwMode="auto">
                    <a:xfrm>
                      <a:off x="0" y="0"/>
                      <a:ext cx="1931670" cy="1273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52800" behindDoc="1" locked="0" layoutInCell="1" allowOverlap="1" wp14:anchorId="6E87F67D" wp14:editId="5D6C0C33">
            <wp:simplePos x="0" y="0"/>
            <wp:positionH relativeFrom="column">
              <wp:posOffset>12700</wp:posOffset>
            </wp:positionH>
            <wp:positionV relativeFrom="paragraph">
              <wp:posOffset>59885</wp:posOffset>
            </wp:positionV>
            <wp:extent cx="2531745" cy="1343025"/>
            <wp:effectExtent l="0" t="0" r="0" b="3175"/>
            <wp:wrapTight wrapText="bothSides">
              <wp:wrapPolygon edited="0">
                <wp:start x="0" y="0"/>
                <wp:lineTo x="0" y="21447"/>
                <wp:lineTo x="21454" y="21447"/>
                <wp:lineTo x="21454"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OT1_Boxplot.pdf"/>
                    <pic:cNvPicPr/>
                  </pic:nvPicPr>
                  <pic:blipFill rotWithShape="1">
                    <a:blip r:embed="rId248" cstate="print">
                      <a:extLst>
                        <a:ext uri="{28A0092B-C50C-407E-A947-70E740481C1C}">
                          <a14:useLocalDpi xmlns:a14="http://schemas.microsoft.com/office/drawing/2010/main" val="0"/>
                        </a:ext>
                      </a:extLst>
                    </a:blip>
                    <a:srcRect t="11498" b="13482"/>
                    <a:stretch/>
                  </pic:blipFill>
                  <pic:spPr bwMode="auto">
                    <a:xfrm>
                      <a:off x="0" y="0"/>
                      <a:ext cx="2531745" cy="134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38E812" w14:textId="0E707303" w:rsidR="000A072B" w:rsidRDefault="000A072B" w:rsidP="000A072B">
      <w:pPr>
        <w:rPr>
          <w:lang w:val="en-GB"/>
        </w:rPr>
      </w:pPr>
    </w:p>
    <w:p w14:paraId="481A6C6B" w14:textId="1921A3C9" w:rsidR="000A072B" w:rsidRDefault="00F54017" w:rsidP="000A072B">
      <w:pPr>
        <w:rPr>
          <w:lang w:val="en-GB"/>
        </w:rPr>
      </w:pPr>
      <w:r w:rsidRPr="00F54017">
        <w:rPr>
          <w:noProof/>
          <w:lang w:val="en-GB"/>
        </w:rPr>
        <mc:AlternateContent>
          <mc:Choice Requires="wps">
            <w:drawing>
              <wp:anchor distT="0" distB="0" distL="114300" distR="114300" simplePos="0" relativeHeight="251885568" behindDoc="0" locked="0" layoutInCell="1" allowOverlap="1" wp14:anchorId="37AA8930" wp14:editId="49627056">
                <wp:simplePos x="0" y="0"/>
                <wp:positionH relativeFrom="column">
                  <wp:posOffset>4209462</wp:posOffset>
                </wp:positionH>
                <wp:positionV relativeFrom="paragraph">
                  <wp:posOffset>15509</wp:posOffset>
                </wp:positionV>
                <wp:extent cx="837565" cy="233680"/>
                <wp:effectExtent l="0" t="2857" r="0" b="0"/>
                <wp:wrapNone/>
                <wp:docPr id="272" name="Text Box 272"/>
                <wp:cNvGraphicFramePr/>
                <a:graphic xmlns:a="http://schemas.openxmlformats.org/drawingml/2006/main">
                  <a:graphicData uri="http://schemas.microsoft.com/office/word/2010/wordprocessingShape">
                    <wps:wsp>
                      <wps:cNvSpPr txBox="1"/>
                      <wps:spPr>
                        <a:xfrm rot="16200000">
                          <a:off x="0" y="0"/>
                          <a:ext cx="837565" cy="233680"/>
                        </a:xfrm>
                        <a:prstGeom prst="rect">
                          <a:avLst/>
                        </a:prstGeom>
                        <a:solidFill>
                          <a:schemeClr val="lt1"/>
                        </a:solidFill>
                        <a:ln w="6350">
                          <a:noFill/>
                        </a:ln>
                      </wps:spPr>
                      <wps:txbx>
                        <w:txbxContent>
                          <w:p w14:paraId="66A6EA96" w14:textId="20D2D7A1" w:rsidR="00C2072C" w:rsidRPr="00AF0B4A" w:rsidRDefault="00C2072C" w:rsidP="00F54017">
                            <w:pPr>
                              <w:rPr>
                                <w:rFonts w:asciiTheme="majorHAnsi" w:hAnsiTheme="majorHAnsi" w:cstheme="majorHAnsi"/>
                                <w:lang w:val="en-US"/>
                              </w:rPr>
                            </w:pPr>
                            <w:r w:rsidRPr="00E01313">
                              <w:t>GSE34516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A8930" id="Text Box 272" o:spid="_x0000_s1116" type="#_x0000_t202" style="position:absolute;margin-left:331.45pt;margin-top:1.2pt;width:65.95pt;height:18.4pt;rotation:-9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" fillcolor="white [3201]" stroked="f" strokeweight=".5pt">
                <v:textbox>
                  <w:txbxContent>
                    <w:p w14:paraId="66A6EA96" w14:textId="20D2D7A1" w:rsidR="00C2072C" w:rsidRPr="00AF0B4A" w:rsidRDefault="00C2072C" w:rsidP="00F54017">
                      <w:pPr>
                        <w:rPr>
                          <w:rFonts w:asciiTheme="majorHAnsi" w:hAnsiTheme="majorHAnsi" w:cstheme="majorHAnsi"/>
                          <w:lang w:val="en-US"/>
                        </w:rPr>
                      </w:pPr>
                      <w:r w:rsidRPr="00E01313">
                        <w:t>GSE34516</w:t>
                      </w:r>
                    </w:p>
                  </w:txbxContent>
                </v:textbox>
              </v:shape>
            </w:pict>
          </mc:Fallback>
        </mc:AlternateContent>
      </w:r>
    </w:p>
    <w:p w14:paraId="44CBF525" w14:textId="76A507E3" w:rsidR="000A072B" w:rsidRDefault="000A072B" w:rsidP="000A072B">
      <w:pPr>
        <w:rPr>
          <w:lang w:val="en-GB"/>
        </w:rPr>
      </w:pPr>
    </w:p>
    <w:p w14:paraId="175A5F62" w14:textId="333EE5DB" w:rsidR="000A072B" w:rsidRDefault="000A072B" w:rsidP="000A072B">
      <w:pPr>
        <w:rPr>
          <w:lang w:val="en-GB"/>
        </w:rPr>
      </w:pPr>
    </w:p>
    <w:p w14:paraId="757B8B89" w14:textId="3B44E622" w:rsidR="000A072B" w:rsidRDefault="00F54017" w:rsidP="000A072B">
      <w:pPr>
        <w:rPr>
          <w:lang w:val="en-GB"/>
        </w:rPr>
      </w:pPr>
      <w:r w:rsidRPr="00F54017">
        <w:rPr>
          <w:noProof/>
          <w:lang w:val="en-GB"/>
        </w:rPr>
        <mc:AlternateContent>
          <mc:Choice Requires="wps">
            <w:drawing>
              <wp:anchor distT="0" distB="0" distL="114300" distR="114300" simplePos="0" relativeHeight="251882496" behindDoc="0" locked="0" layoutInCell="1" allowOverlap="1" wp14:anchorId="09E8D5CF" wp14:editId="7448550C">
                <wp:simplePos x="0" y="0"/>
                <wp:positionH relativeFrom="column">
                  <wp:posOffset>-71560</wp:posOffset>
                </wp:positionH>
                <wp:positionV relativeFrom="paragraph">
                  <wp:posOffset>126365</wp:posOffset>
                </wp:positionV>
                <wp:extent cx="199830" cy="233680"/>
                <wp:effectExtent l="0" t="0" r="3810" b="0"/>
                <wp:wrapNone/>
                <wp:docPr id="269" name="Text Box 269"/>
                <wp:cNvGraphicFramePr/>
                <a:graphic xmlns:a="http://schemas.openxmlformats.org/drawingml/2006/main">
                  <a:graphicData uri="http://schemas.microsoft.com/office/word/2010/wordprocessingShape">
                    <wps:wsp>
                      <wps:cNvSpPr txBox="1"/>
                      <wps:spPr>
                        <a:xfrm>
                          <a:off x="0" y="0"/>
                          <a:ext cx="199830" cy="233680"/>
                        </a:xfrm>
                        <a:prstGeom prst="rect">
                          <a:avLst/>
                        </a:prstGeom>
                        <a:solidFill>
                          <a:schemeClr val="lt1"/>
                        </a:solidFill>
                        <a:ln w="6350">
                          <a:noFill/>
                        </a:ln>
                      </wps:spPr>
                      <wps:txbx>
                        <w:txbxContent>
                          <w:p w14:paraId="48139562" w14:textId="0655B62B" w:rsidR="00C2072C" w:rsidRPr="00AF0B4A" w:rsidRDefault="00C2072C" w:rsidP="00F54017">
                            <w:pPr>
                              <w:rPr>
                                <w:rFonts w:asciiTheme="majorHAnsi" w:hAnsiTheme="majorHAnsi" w:cstheme="majorHAnsi"/>
                                <w:lang w:val="en-US"/>
                              </w:rPr>
                            </w:pPr>
                            <w:r>
                              <w:rPr>
                                <w:rFonts w:asciiTheme="majorHAnsi" w:hAnsiTheme="majorHAnsi" w:cstheme="majorHAnsi"/>
                                <w:lang w:val="en-US"/>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8D5CF" id="Text Box 269" o:spid="_x0000_s1117" type="#_x0000_t202" style="position:absolute;margin-left:-5.65pt;margin-top:9.95pt;width:15.75pt;height:18.4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" fillcolor="white [3201]" stroked="f" strokeweight=".5pt">
                <v:textbox>
                  <w:txbxContent>
                    <w:p w14:paraId="48139562" w14:textId="0655B62B" w:rsidR="00C2072C" w:rsidRPr="00AF0B4A" w:rsidRDefault="00C2072C" w:rsidP="00F54017">
                      <w:pPr>
                        <w:rPr>
                          <w:rFonts w:asciiTheme="majorHAnsi" w:hAnsiTheme="majorHAnsi" w:cstheme="majorHAnsi"/>
                          <w:lang w:val="en-US"/>
                        </w:rPr>
                      </w:pPr>
                      <w:r>
                        <w:rPr>
                          <w:rFonts w:asciiTheme="majorHAnsi" w:hAnsiTheme="majorHAnsi" w:cstheme="majorHAnsi"/>
                          <w:lang w:val="en-US"/>
                        </w:rPr>
                        <w:t>L</w:t>
                      </w:r>
                    </w:p>
                  </w:txbxContent>
                </v:textbox>
              </v:shape>
            </w:pict>
          </mc:Fallback>
        </mc:AlternateContent>
      </w:r>
    </w:p>
    <w:p w14:paraId="18516406" w14:textId="139EDD45" w:rsidR="000A072B" w:rsidRDefault="00F54017" w:rsidP="000A072B">
      <w:pPr>
        <w:rPr>
          <w:lang w:val="en-GB"/>
        </w:rPr>
      </w:pPr>
      <w:r w:rsidRPr="00E01313">
        <w:rPr>
          <w:noProof/>
        </w:rPr>
        <w:drawing>
          <wp:anchor distT="0" distB="0" distL="114300" distR="114300" simplePos="0" relativeHeight="251893760" behindDoc="1" locked="0" layoutInCell="1" allowOverlap="1" wp14:anchorId="3F140108" wp14:editId="7D1568CB">
            <wp:simplePos x="0" y="0"/>
            <wp:positionH relativeFrom="column">
              <wp:posOffset>2498725</wp:posOffset>
            </wp:positionH>
            <wp:positionV relativeFrom="paragraph">
              <wp:posOffset>12065</wp:posOffset>
            </wp:positionV>
            <wp:extent cx="1922145" cy="1266825"/>
            <wp:effectExtent l="0" t="0" r="0" b="3175"/>
            <wp:wrapTight wrapText="bothSides">
              <wp:wrapPolygon edited="0">
                <wp:start x="0" y="0"/>
                <wp:lineTo x="0" y="21438"/>
                <wp:lineTo x="21407" y="21438"/>
                <wp:lineTo x="21407"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OT2_Boxplots.pdf"/>
                    <pic:cNvPicPr/>
                  </pic:nvPicPr>
                  <pic:blipFill rotWithShape="1">
                    <a:blip r:embed="rId249" cstate="print">
                      <a:extLst>
                        <a:ext uri="{28A0092B-C50C-407E-A947-70E740481C1C}">
                          <a14:useLocalDpi xmlns:a14="http://schemas.microsoft.com/office/drawing/2010/main" val="0"/>
                        </a:ext>
                      </a:extLst>
                    </a:blip>
                    <a:srcRect b="6764"/>
                    <a:stretch/>
                  </pic:blipFill>
                  <pic:spPr bwMode="auto">
                    <a:xfrm>
                      <a:off x="0" y="0"/>
                      <a:ext cx="192214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53824" behindDoc="1" locked="0" layoutInCell="1" allowOverlap="1" wp14:anchorId="5F987870" wp14:editId="1385637C">
            <wp:simplePos x="0" y="0"/>
            <wp:positionH relativeFrom="column">
              <wp:posOffset>13335</wp:posOffset>
            </wp:positionH>
            <wp:positionV relativeFrom="paragraph">
              <wp:posOffset>12700</wp:posOffset>
            </wp:positionV>
            <wp:extent cx="2484755" cy="1386840"/>
            <wp:effectExtent l="0" t="0" r="4445" b="0"/>
            <wp:wrapTight wrapText="bothSides">
              <wp:wrapPolygon edited="0">
                <wp:start x="0" y="0"/>
                <wp:lineTo x="0" y="21363"/>
                <wp:lineTo x="21528" y="21363"/>
                <wp:lineTo x="21528"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OT2_Boxplots.pdf"/>
                    <pic:cNvPicPr/>
                  </pic:nvPicPr>
                  <pic:blipFill rotWithShape="1">
                    <a:blip r:embed="rId250" cstate="print">
                      <a:extLst>
                        <a:ext uri="{28A0092B-C50C-407E-A947-70E740481C1C}">
                          <a14:useLocalDpi xmlns:a14="http://schemas.microsoft.com/office/drawing/2010/main" val="0"/>
                        </a:ext>
                      </a:extLst>
                    </a:blip>
                    <a:srcRect l="663" t="11414" r="3365" b="12813"/>
                    <a:stretch/>
                  </pic:blipFill>
                  <pic:spPr bwMode="auto">
                    <a:xfrm>
                      <a:off x="0" y="0"/>
                      <a:ext cx="2484755" cy="1386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A1F68A" w14:textId="5811CCBE" w:rsidR="000A072B" w:rsidRDefault="00F54017" w:rsidP="000A072B">
      <w:pPr>
        <w:rPr>
          <w:lang w:val="en-GB"/>
        </w:rPr>
      </w:pPr>
      <w:r w:rsidRPr="00F54017">
        <w:rPr>
          <w:noProof/>
          <w:lang w:val="en-GB"/>
        </w:rPr>
        <mc:AlternateContent>
          <mc:Choice Requires="wps">
            <w:drawing>
              <wp:anchor distT="0" distB="0" distL="114300" distR="114300" simplePos="0" relativeHeight="251888640" behindDoc="0" locked="0" layoutInCell="1" allowOverlap="1" wp14:anchorId="2D9C0796" wp14:editId="5A16E3FC">
                <wp:simplePos x="0" y="0"/>
                <wp:positionH relativeFrom="column">
                  <wp:posOffset>4217352</wp:posOffset>
                </wp:positionH>
                <wp:positionV relativeFrom="paragraph">
                  <wp:posOffset>201955</wp:posOffset>
                </wp:positionV>
                <wp:extent cx="815975" cy="233680"/>
                <wp:effectExtent l="0" t="952" r="0" b="0"/>
                <wp:wrapNone/>
                <wp:docPr id="275" name="Text Box 275"/>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481DB5A9" w14:textId="263E81CF" w:rsidR="00C2072C" w:rsidRPr="00AF0B4A" w:rsidRDefault="00C2072C" w:rsidP="00F54017">
                            <w:pPr>
                              <w:rPr>
                                <w:rFonts w:asciiTheme="majorHAnsi" w:hAnsiTheme="majorHAnsi" w:cstheme="majorHAnsi"/>
                                <w:lang w:val="en-US"/>
                              </w:rPr>
                            </w:pPr>
                            <w:r w:rsidRPr="00E01313">
                              <w:t>GSE23290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C0796" id="Text Box 275" o:spid="_x0000_s1118" type="#_x0000_t202" style="position:absolute;margin-left:332.05pt;margin-top:15.9pt;width:64.25pt;height:18.4pt;rotation:-90;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" fillcolor="white [3201]" stroked="f" strokeweight=".5pt">
                <v:textbox>
                  <w:txbxContent>
                    <w:p w14:paraId="481DB5A9" w14:textId="263E81CF" w:rsidR="00C2072C" w:rsidRPr="00AF0B4A" w:rsidRDefault="00C2072C" w:rsidP="00F54017">
                      <w:pPr>
                        <w:rPr>
                          <w:rFonts w:asciiTheme="majorHAnsi" w:hAnsiTheme="majorHAnsi" w:cstheme="majorHAnsi"/>
                          <w:lang w:val="en-US"/>
                        </w:rPr>
                      </w:pPr>
                      <w:r w:rsidRPr="00E01313">
                        <w:t>GSE23290</w:t>
                      </w:r>
                    </w:p>
                  </w:txbxContent>
                </v:textbox>
              </v:shape>
            </w:pict>
          </mc:Fallback>
        </mc:AlternateContent>
      </w:r>
    </w:p>
    <w:p w14:paraId="7EC5B3B1" w14:textId="35822041" w:rsidR="000A072B" w:rsidRPr="000A072B" w:rsidRDefault="00F54017" w:rsidP="000A072B">
      <w:pPr>
        <w:rPr>
          <w:lang w:val="en-GB"/>
        </w:rPr>
      </w:pPr>
      <w:r>
        <w:rPr>
          <w:noProof/>
        </w:rPr>
        <mc:AlternateContent>
          <mc:Choice Requires="wps">
            <w:drawing>
              <wp:anchor distT="0" distB="0" distL="114300" distR="114300" simplePos="0" relativeHeight="251855872" behindDoc="1" locked="0" layoutInCell="1" allowOverlap="1" wp14:anchorId="10298AC2" wp14:editId="6EF3E54B">
                <wp:simplePos x="0" y="0"/>
                <wp:positionH relativeFrom="column">
                  <wp:posOffset>75565</wp:posOffset>
                </wp:positionH>
                <wp:positionV relativeFrom="paragraph">
                  <wp:posOffset>933450</wp:posOffset>
                </wp:positionV>
                <wp:extent cx="4993640" cy="761365"/>
                <wp:effectExtent l="0" t="0" r="0" b="635"/>
                <wp:wrapTight wrapText="bothSides">
                  <wp:wrapPolygon edited="0">
                    <wp:start x="0" y="0"/>
                    <wp:lineTo x="0" y="21258"/>
                    <wp:lineTo x="21534" y="21258"/>
                    <wp:lineTo x="21534" y="0"/>
                    <wp:lineTo x="0" y="0"/>
                  </wp:wrapPolygon>
                </wp:wrapTight>
                <wp:docPr id="119" name="Text Box 119"/>
                <wp:cNvGraphicFramePr/>
                <a:graphic xmlns:a="http://schemas.openxmlformats.org/drawingml/2006/main">
                  <a:graphicData uri="http://schemas.microsoft.com/office/word/2010/wordprocessingShape">
                    <wps:wsp>
                      <wps:cNvSpPr txBox="1"/>
                      <wps:spPr>
                        <a:xfrm>
                          <a:off x="0" y="0"/>
                          <a:ext cx="4993640" cy="761365"/>
                        </a:xfrm>
                        <a:prstGeom prst="rect">
                          <a:avLst/>
                        </a:prstGeom>
                        <a:solidFill>
                          <a:prstClr val="white"/>
                        </a:solidFill>
                        <a:ln>
                          <a:noFill/>
                        </a:ln>
                      </wps:spPr>
                      <wps:txbx>
                        <w:txbxContent>
                          <w:p w14:paraId="4AD90D1A" w14:textId="6F13757E" w:rsidR="00C2072C" w:rsidRPr="002266AF" w:rsidRDefault="00C2072C" w:rsidP="00F54017">
                            <w:pPr>
                              <w:pStyle w:val="Caption"/>
                              <w:rPr>
                                <w:noProof/>
                                <w:szCs w:val="22"/>
                              </w:rPr>
                            </w:pPr>
                            <w:bookmarkStart w:id="425" w:name="_Toc3226035"/>
                            <w:r>
                              <w:t xml:space="preserve">Appendix Figure </w:t>
                            </w:r>
                            <w:r>
                              <w:rPr>
                                <w:noProof/>
                              </w:rPr>
                              <w:fldChar w:fldCharType="begin"/>
                            </w:r>
                            <w:r>
                              <w:rPr>
                                <w:noProof/>
                              </w:rPr>
                              <w:instrText xml:space="preserve"> SEQ Appendix_Figure \* ARABIC </w:instrText>
                            </w:r>
                            <w:r>
                              <w:rPr>
                                <w:noProof/>
                              </w:rPr>
                              <w:fldChar w:fldCharType="separate"/>
                            </w:r>
                            <w:r>
                              <w:rPr>
                                <w:noProof/>
                              </w:rPr>
                              <w:t>14</w:t>
                            </w:r>
                            <w:r>
                              <w:rPr>
                                <w:noProof/>
                              </w:rPr>
                              <w:fldChar w:fldCharType="end"/>
                            </w:r>
                            <w:r>
                              <w:t xml:space="preserve">: Variance of each Parkinson’s disease dataset before and after normalisation. </w:t>
                            </w:r>
                            <w:r>
                              <w:rPr>
                                <w:b w:val="0"/>
                              </w:rPr>
                              <w:t>Plots indicate a consistent range of variance in log2 expression between microarray (A-E, G-L) and RNA-Seq (F) conditions. RNA-Seq range is slightly larger compared to microarray, and GSE23290 shows a small range pre-normalisation, which is rectified post-normalisation.</w:t>
                            </w:r>
                            <w:bookmarkEnd w:id="4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98AC2" id="Text Box 119" o:spid="_x0000_s1119" type="#_x0000_t202" style="position:absolute;margin-left:5.95pt;margin-top:73.5pt;width:393.2pt;height:59.9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" stroked="f">
                <v:textbox inset="0,0,0,0">
                  <w:txbxContent>
                    <w:p w14:paraId="4AD90D1A" w14:textId="6F13757E" w:rsidR="00C2072C" w:rsidRPr="002266AF" w:rsidRDefault="00C2072C" w:rsidP="00F54017">
                      <w:pPr>
                        <w:pStyle w:val="Caption"/>
                        <w:rPr>
                          <w:noProof/>
                          <w:szCs w:val="22"/>
                        </w:rPr>
                      </w:pPr>
                      <w:bookmarkStart w:id="426" w:name="_Toc3226035"/>
                      <w:r>
                        <w:t xml:space="preserve">Appendix Figure </w:t>
                      </w:r>
                      <w:r>
                        <w:rPr>
                          <w:noProof/>
                        </w:rPr>
                        <w:fldChar w:fldCharType="begin"/>
                      </w:r>
                      <w:r>
                        <w:rPr>
                          <w:noProof/>
                        </w:rPr>
                        <w:instrText xml:space="preserve"> SEQ Appendix_Figure \* ARABIC </w:instrText>
                      </w:r>
                      <w:r>
                        <w:rPr>
                          <w:noProof/>
                        </w:rPr>
                        <w:fldChar w:fldCharType="separate"/>
                      </w:r>
                      <w:r>
                        <w:rPr>
                          <w:noProof/>
                        </w:rPr>
                        <w:t>14</w:t>
                      </w:r>
                      <w:r>
                        <w:rPr>
                          <w:noProof/>
                        </w:rPr>
                        <w:fldChar w:fldCharType="end"/>
                      </w:r>
                      <w:r>
                        <w:t xml:space="preserve">: Variance of each Parkinson’s disease dataset before and after normalisation. </w:t>
                      </w:r>
                      <w:r>
                        <w:rPr>
                          <w:b w:val="0"/>
                        </w:rPr>
                        <w:t>Plots indicate a consistent range of variance in log2 expression between microarray (A-E, G-L) and RNA-Seq (F) conditions. RNA-Seq range is slightly larger compared to microarray, and GSE23290 shows a small range pre-normalisation, which is rectified post-normalisation.</w:t>
                      </w:r>
                      <w:bookmarkEnd w:id="426"/>
                    </w:p>
                  </w:txbxContent>
                </v:textbox>
                <w10:wrap type="tight"/>
              </v:shape>
            </w:pict>
          </mc:Fallback>
        </mc:AlternateContent>
      </w:r>
    </w:p>
    <w:p w14:paraId="0F35D87B" w14:textId="1C894EE6" w:rsidR="00F72F37" w:rsidRPr="0082680A" w:rsidRDefault="00F72F37" w:rsidP="00774535">
      <w:pPr>
        <w:pStyle w:val="NoSpacing"/>
        <w:keepNext/>
        <w:ind w:left="-284"/>
        <w:rPr>
          <w:lang w:val="en-GB"/>
        </w:rPr>
      </w:pPr>
      <w:r w:rsidRPr="0082680A">
        <w:rPr>
          <w:noProof/>
          <w:lang w:val="en-GB"/>
        </w:rPr>
        <w:lastRenderedPageBreak/>
        <w:drawing>
          <wp:inline distT="0" distB="0" distL="0" distR="0" wp14:anchorId="5B4B1983" wp14:editId="6B1E9286">
            <wp:extent cx="5519651" cy="8415123"/>
            <wp:effectExtent l="0" t="0" r="5080" b="508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D_LobbyIndexScores.pdf"/>
                    <pic:cNvPicPr/>
                  </pic:nvPicPr>
                  <pic:blipFill rotWithShape="1">
                    <a:blip r:embed="rId251">
                      <a:extLst>
                        <a:ext uri="{28A0092B-C50C-407E-A947-70E740481C1C}">
                          <a14:useLocalDpi xmlns:a14="http://schemas.microsoft.com/office/drawing/2010/main" val="0"/>
                        </a:ext>
                      </a:extLst>
                    </a:blip>
                    <a:srcRect r="6528"/>
                    <a:stretch/>
                  </pic:blipFill>
                  <pic:spPr bwMode="auto">
                    <a:xfrm>
                      <a:off x="0" y="0"/>
                      <a:ext cx="5523001" cy="8420231"/>
                    </a:xfrm>
                    <a:prstGeom prst="rect">
                      <a:avLst/>
                    </a:prstGeom>
                    <a:ln>
                      <a:noFill/>
                    </a:ln>
                    <a:extLst>
                      <a:ext uri="{53640926-AAD7-44D8-BBD7-CCE9431645EC}">
                        <a14:shadowObscured xmlns:a14="http://schemas.microsoft.com/office/drawing/2010/main"/>
                      </a:ext>
                    </a:extLst>
                  </pic:spPr>
                </pic:pic>
              </a:graphicData>
            </a:graphic>
          </wp:inline>
        </w:drawing>
      </w:r>
    </w:p>
    <w:p w14:paraId="5CFF20EC" w14:textId="23C82DA5" w:rsidR="00F72F37" w:rsidRPr="0082680A" w:rsidRDefault="00F72F37" w:rsidP="00774535">
      <w:pPr>
        <w:pStyle w:val="Caption"/>
        <w:ind w:left="-142"/>
        <w:rPr>
          <w:lang w:val="en-GB"/>
        </w:rPr>
      </w:pPr>
      <w:bookmarkStart w:id="427" w:name="_Toc3225987"/>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7</w:t>
      </w:r>
      <w:r w:rsidR="00F45096" w:rsidRPr="0082680A">
        <w:rPr>
          <w:noProof/>
          <w:lang w:val="en-GB"/>
        </w:rPr>
        <w:fldChar w:fldCharType="end"/>
      </w:r>
      <w:r w:rsidRPr="0082680A">
        <w:rPr>
          <w:lang w:val="en-GB"/>
        </w:rPr>
        <w:t xml:space="preserve">: </w:t>
      </w:r>
      <w:r w:rsidR="007A3925" w:rsidRPr="0082680A">
        <w:rPr>
          <w:b w:val="0"/>
          <w:szCs w:val="22"/>
          <w:lang w:val="en-GB"/>
        </w:rPr>
        <w:t xml:space="preserve">Lobby index </w:t>
      </w:r>
      <w:r w:rsidR="007A3925">
        <w:rPr>
          <w:b w:val="0"/>
          <w:szCs w:val="22"/>
          <w:lang w:val="en-GB"/>
        </w:rPr>
        <w:t>values</w:t>
      </w:r>
      <w:r w:rsidR="007A3925" w:rsidRPr="0082680A">
        <w:rPr>
          <w:b w:val="0"/>
          <w:szCs w:val="22"/>
          <w:lang w:val="en-GB"/>
        </w:rPr>
        <w:t xml:space="preserve"> for </w:t>
      </w:r>
      <w:r w:rsidR="007A3925">
        <w:rPr>
          <w:b w:val="0"/>
          <w:szCs w:val="22"/>
          <w:lang w:val="en-GB"/>
        </w:rPr>
        <w:t>PD</w:t>
      </w:r>
      <w:r w:rsidR="007A3925" w:rsidRPr="0082680A">
        <w:rPr>
          <w:b w:val="0"/>
          <w:szCs w:val="22"/>
          <w:lang w:val="en-GB"/>
        </w:rPr>
        <w:t xml:space="preserve"> common coexpression module members</w:t>
      </w:r>
      <w:r w:rsidR="007A3925">
        <w:rPr>
          <w:b w:val="0"/>
          <w:szCs w:val="22"/>
          <w:lang w:val="en-GB"/>
        </w:rPr>
        <w:t xml:space="preserve"> and resulting prioritisation score from 1-5.</w:t>
      </w:r>
      <w:bookmarkEnd w:id="427"/>
    </w:p>
    <w:p w14:paraId="446A9F93" w14:textId="77777777" w:rsidR="00F72F37" w:rsidRPr="0082680A" w:rsidRDefault="00F72F37" w:rsidP="00F72F37">
      <w:pPr>
        <w:pStyle w:val="NoSpacing"/>
        <w:keepNext/>
        <w:ind w:left="-142"/>
        <w:rPr>
          <w:lang w:val="en-GB"/>
        </w:rPr>
      </w:pPr>
      <w:r w:rsidRPr="0082680A">
        <w:rPr>
          <w:noProof/>
          <w:lang w:val="en-GB"/>
        </w:rPr>
        <w:lastRenderedPageBreak/>
        <w:drawing>
          <wp:inline distT="0" distB="0" distL="0" distR="0" wp14:anchorId="0EE81A04" wp14:editId="793ABE54">
            <wp:extent cx="5090160" cy="4144010"/>
            <wp:effectExtent l="0" t="0" r="254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D_GeneXplainScores.pdf"/>
                    <pic:cNvPicPr/>
                  </pic:nvPicPr>
                  <pic:blipFill rotWithShape="1">
                    <a:blip r:embed="rId252">
                      <a:extLst>
                        <a:ext uri="{28A0092B-C50C-407E-A947-70E740481C1C}">
                          <a14:useLocalDpi xmlns:a14="http://schemas.microsoft.com/office/drawing/2010/main" val="0"/>
                        </a:ext>
                      </a:extLst>
                    </a:blip>
                    <a:srcRect l="3526" r="5886"/>
                    <a:stretch/>
                  </pic:blipFill>
                  <pic:spPr bwMode="auto">
                    <a:xfrm>
                      <a:off x="0" y="0"/>
                      <a:ext cx="5094434" cy="4147489"/>
                    </a:xfrm>
                    <a:prstGeom prst="rect">
                      <a:avLst/>
                    </a:prstGeom>
                    <a:ln>
                      <a:noFill/>
                    </a:ln>
                    <a:extLst>
                      <a:ext uri="{53640926-AAD7-44D8-BBD7-CCE9431645EC}">
                        <a14:shadowObscured xmlns:a14="http://schemas.microsoft.com/office/drawing/2010/main"/>
                      </a:ext>
                    </a:extLst>
                  </pic:spPr>
                </pic:pic>
              </a:graphicData>
            </a:graphic>
          </wp:inline>
        </w:drawing>
      </w:r>
    </w:p>
    <w:p w14:paraId="2C4A701F" w14:textId="7AFD5844" w:rsidR="007A3925" w:rsidRPr="0082680A" w:rsidRDefault="00F72F37" w:rsidP="0064654D">
      <w:pPr>
        <w:pStyle w:val="Caption"/>
        <w:ind w:left="-142"/>
        <w:rPr>
          <w:i/>
          <w:iCs w:val="0"/>
          <w:color w:val="1F497D" w:themeColor="text2"/>
          <w:lang w:val="en-GB"/>
        </w:rPr>
      </w:pPr>
      <w:bookmarkStart w:id="428" w:name="_Toc3225988"/>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8</w:t>
      </w:r>
      <w:r w:rsidR="00F45096" w:rsidRPr="0082680A">
        <w:rPr>
          <w:noProof/>
          <w:lang w:val="en-GB"/>
        </w:rPr>
        <w:fldChar w:fldCharType="end"/>
      </w:r>
      <w:r w:rsidRPr="0082680A">
        <w:rPr>
          <w:lang w:val="en-GB"/>
        </w:rPr>
        <w:t xml:space="preserve">: </w:t>
      </w:r>
      <w:r w:rsidR="007A3925" w:rsidRPr="0082680A">
        <w:rPr>
          <w:b w:val="0"/>
          <w:szCs w:val="22"/>
          <w:lang w:val="en-GB"/>
        </w:rPr>
        <w:t xml:space="preserve">GeneXplain </w:t>
      </w:r>
      <w:r w:rsidR="007A3925">
        <w:rPr>
          <w:b w:val="0"/>
          <w:szCs w:val="22"/>
          <w:lang w:val="en-GB"/>
        </w:rPr>
        <w:t>rank</w:t>
      </w:r>
      <w:r w:rsidR="007A3925" w:rsidRPr="0082680A">
        <w:rPr>
          <w:b w:val="0"/>
          <w:szCs w:val="22"/>
          <w:lang w:val="en-GB"/>
        </w:rPr>
        <w:t xml:space="preserve"> for </w:t>
      </w:r>
      <w:r w:rsidR="007A3925">
        <w:rPr>
          <w:b w:val="0"/>
          <w:szCs w:val="22"/>
          <w:lang w:val="en-GB"/>
        </w:rPr>
        <w:t>PD</w:t>
      </w:r>
      <w:r w:rsidR="007A3925" w:rsidRPr="0082680A">
        <w:rPr>
          <w:b w:val="0"/>
          <w:szCs w:val="22"/>
          <w:lang w:val="en-GB"/>
        </w:rPr>
        <w:t xml:space="preserve"> common coexpression module members</w:t>
      </w:r>
      <w:r w:rsidR="007A3925">
        <w:rPr>
          <w:b w:val="0"/>
          <w:szCs w:val="22"/>
          <w:lang w:val="en-GB"/>
        </w:rPr>
        <w:t>. Ranks sum is the score given by GeneXplain on which genes are ranked. Prioritisation is scored 1-5.</w:t>
      </w:r>
      <w:bookmarkEnd w:id="428"/>
    </w:p>
    <w:p w14:paraId="2D986750" w14:textId="77777777" w:rsidR="00F72F37" w:rsidRPr="0082680A" w:rsidRDefault="00F72F37" w:rsidP="00F72F37">
      <w:pPr>
        <w:rPr>
          <w:lang w:val="en-GB"/>
        </w:rPr>
      </w:pPr>
    </w:p>
    <w:p w14:paraId="3676DA3C" w14:textId="77777777" w:rsidR="00F72F37" w:rsidRPr="0082680A" w:rsidRDefault="00F72F37" w:rsidP="00F72F37">
      <w:pPr>
        <w:pStyle w:val="NoSpacing"/>
        <w:keepNext/>
        <w:ind w:left="-142"/>
        <w:rPr>
          <w:lang w:val="en-GB"/>
        </w:rPr>
      </w:pPr>
      <w:r w:rsidRPr="0082680A">
        <w:rPr>
          <w:noProof/>
          <w:lang w:val="en-GB"/>
        </w:rPr>
        <w:drawing>
          <wp:inline distT="0" distB="0" distL="0" distR="0" wp14:anchorId="5DA4832A" wp14:editId="0B48DCC5">
            <wp:extent cx="5242560" cy="2658110"/>
            <wp:effectExtent l="0" t="0" r="254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D_IPARelationships.pdf"/>
                    <pic:cNvPicPr/>
                  </pic:nvPicPr>
                  <pic:blipFill rotWithShape="1">
                    <a:blip r:embed="rId253">
                      <a:extLst>
                        <a:ext uri="{28A0092B-C50C-407E-A947-70E740481C1C}">
                          <a14:useLocalDpi xmlns:a14="http://schemas.microsoft.com/office/drawing/2010/main" val="0"/>
                        </a:ext>
                      </a:extLst>
                    </a:blip>
                    <a:srcRect r="8455" b="37062"/>
                    <a:stretch/>
                  </pic:blipFill>
                  <pic:spPr bwMode="auto">
                    <a:xfrm>
                      <a:off x="0" y="0"/>
                      <a:ext cx="5243394" cy="2658533"/>
                    </a:xfrm>
                    <a:prstGeom prst="rect">
                      <a:avLst/>
                    </a:prstGeom>
                    <a:ln>
                      <a:noFill/>
                    </a:ln>
                    <a:extLst>
                      <a:ext uri="{53640926-AAD7-44D8-BBD7-CCE9431645EC}">
                        <a14:shadowObscured xmlns:a14="http://schemas.microsoft.com/office/drawing/2010/main"/>
                      </a:ext>
                    </a:extLst>
                  </pic:spPr>
                </pic:pic>
              </a:graphicData>
            </a:graphic>
          </wp:inline>
        </w:drawing>
      </w:r>
    </w:p>
    <w:p w14:paraId="33F650B7" w14:textId="7916DF92" w:rsidR="00F72F37" w:rsidRPr="0082680A" w:rsidRDefault="00F72F37" w:rsidP="00F72F37">
      <w:pPr>
        <w:pStyle w:val="Caption"/>
        <w:ind w:left="-142"/>
        <w:rPr>
          <w:b w:val="0"/>
          <w:szCs w:val="22"/>
          <w:lang w:val="en-GB"/>
        </w:rPr>
      </w:pPr>
      <w:bookmarkStart w:id="429" w:name="_Toc3225989"/>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9</w:t>
      </w:r>
      <w:r w:rsidR="00F45096" w:rsidRPr="0082680A">
        <w:rPr>
          <w:noProof/>
          <w:lang w:val="en-GB"/>
        </w:rPr>
        <w:fldChar w:fldCharType="end"/>
      </w:r>
      <w:r w:rsidRPr="0082680A">
        <w:rPr>
          <w:lang w:val="en-GB"/>
        </w:rPr>
        <w:t>:</w:t>
      </w:r>
      <w:r w:rsidRPr="0082680A">
        <w:rPr>
          <w:b w:val="0"/>
          <w:szCs w:val="22"/>
          <w:lang w:val="en-GB"/>
        </w:rPr>
        <w:t xml:space="preserve"> IPA regulatory relationships for PD common coexpression module members</w:t>
      </w:r>
      <w:bookmarkEnd w:id="429"/>
    </w:p>
    <w:p w14:paraId="4AC02FD8" w14:textId="6FBCAAEE" w:rsidR="00F72F37" w:rsidRPr="0082680A" w:rsidRDefault="00F72F37" w:rsidP="00F72F37">
      <w:pPr>
        <w:pStyle w:val="Caption"/>
        <w:rPr>
          <w:lang w:val="en-GB"/>
        </w:rPr>
      </w:pPr>
    </w:p>
    <w:p w14:paraId="7B931297" w14:textId="77777777" w:rsidR="00F72F37" w:rsidRPr="0082680A" w:rsidRDefault="00F72F37" w:rsidP="00F72F37">
      <w:pPr>
        <w:pStyle w:val="NoSpacing"/>
        <w:keepNext/>
        <w:jc w:val="center"/>
        <w:rPr>
          <w:lang w:val="en-GB"/>
        </w:rPr>
      </w:pPr>
      <w:r w:rsidRPr="0082680A">
        <w:rPr>
          <w:noProof/>
          <w:lang w:val="en-GB"/>
        </w:rPr>
        <w:lastRenderedPageBreak/>
        <w:drawing>
          <wp:inline distT="0" distB="0" distL="0" distR="0" wp14:anchorId="054A245F" wp14:editId="3E702E98">
            <wp:extent cx="4686480" cy="1985319"/>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D_IPAScores.pdf"/>
                    <pic:cNvPicPr/>
                  </pic:nvPicPr>
                  <pic:blipFill rotWithShape="1">
                    <a:blip r:embed="rId254">
                      <a:extLst>
                        <a:ext uri="{28A0092B-C50C-407E-A947-70E740481C1C}">
                          <a14:useLocalDpi xmlns:a14="http://schemas.microsoft.com/office/drawing/2010/main" val="0"/>
                        </a:ext>
                      </a:extLst>
                    </a:blip>
                    <a:srcRect r="32299" b="61110"/>
                    <a:stretch/>
                  </pic:blipFill>
                  <pic:spPr bwMode="auto">
                    <a:xfrm>
                      <a:off x="0" y="0"/>
                      <a:ext cx="4695782" cy="1989260"/>
                    </a:xfrm>
                    <a:prstGeom prst="rect">
                      <a:avLst/>
                    </a:prstGeom>
                    <a:ln>
                      <a:noFill/>
                    </a:ln>
                    <a:extLst>
                      <a:ext uri="{53640926-AAD7-44D8-BBD7-CCE9431645EC}">
                        <a14:shadowObscured xmlns:a14="http://schemas.microsoft.com/office/drawing/2010/main"/>
                      </a:ext>
                    </a:extLst>
                  </pic:spPr>
                </pic:pic>
              </a:graphicData>
            </a:graphic>
          </wp:inline>
        </w:drawing>
      </w:r>
    </w:p>
    <w:p w14:paraId="557F2698" w14:textId="43E92BEE" w:rsidR="00F72F37" w:rsidRPr="0082680A" w:rsidRDefault="00F72F37" w:rsidP="0064654D">
      <w:pPr>
        <w:pStyle w:val="Caption"/>
        <w:ind w:left="284"/>
        <w:rPr>
          <w:lang w:val="en-GB"/>
        </w:rPr>
      </w:pPr>
      <w:bookmarkStart w:id="430" w:name="_Toc3225990"/>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10</w:t>
      </w:r>
      <w:r w:rsidR="00F45096" w:rsidRPr="0082680A">
        <w:rPr>
          <w:noProof/>
          <w:lang w:val="en-GB"/>
        </w:rPr>
        <w:fldChar w:fldCharType="end"/>
      </w:r>
      <w:r w:rsidRPr="0082680A">
        <w:rPr>
          <w:lang w:val="en-GB"/>
        </w:rPr>
        <w:t>:</w:t>
      </w:r>
      <w:r w:rsidRPr="0082680A">
        <w:rPr>
          <w:b w:val="0"/>
          <w:szCs w:val="22"/>
          <w:lang w:val="en-GB"/>
        </w:rPr>
        <w:t xml:space="preserve"> </w:t>
      </w:r>
      <w:r w:rsidR="007A3925" w:rsidRPr="0082680A">
        <w:rPr>
          <w:b w:val="0"/>
          <w:szCs w:val="22"/>
          <w:lang w:val="en-GB"/>
        </w:rPr>
        <w:t xml:space="preserve">IPA scores for </w:t>
      </w:r>
      <w:r w:rsidR="007A3925">
        <w:rPr>
          <w:b w:val="0"/>
          <w:szCs w:val="22"/>
          <w:lang w:val="en-GB"/>
        </w:rPr>
        <w:t>PD</w:t>
      </w:r>
      <w:r w:rsidR="007A3925" w:rsidRPr="0082680A">
        <w:rPr>
          <w:b w:val="0"/>
          <w:szCs w:val="22"/>
          <w:lang w:val="en-GB"/>
        </w:rPr>
        <w:t xml:space="preserve"> common coexpression module members</w:t>
      </w:r>
      <w:r w:rsidR="007A3925">
        <w:rPr>
          <w:b w:val="0"/>
          <w:szCs w:val="22"/>
          <w:lang w:val="en-GB"/>
        </w:rPr>
        <w:t xml:space="preserve">. </w:t>
      </w:r>
      <w:r w:rsidR="007A3925" w:rsidRPr="007A46FA">
        <w:rPr>
          <w:b w:val="0"/>
          <w:i/>
          <w:szCs w:val="22"/>
          <w:lang w:val="en-GB"/>
        </w:rPr>
        <w:t>Number of targets</w:t>
      </w:r>
      <w:r w:rsidR="007A3925">
        <w:rPr>
          <w:b w:val="0"/>
          <w:i/>
          <w:szCs w:val="22"/>
          <w:lang w:val="en-GB"/>
        </w:rPr>
        <w:t xml:space="preserve"> </w:t>
      </w:r>
      <w:r w:rsidR="007A3925">
        <w:rPr>
          <w:b w:val="0"/>
          <w:szCs w:val="22"/>
          <w:lang w:val="en-GB"/>
        </w:rPr>
        <w:t xml:space="preserve">refers to the number of molecules each </w:t>
      </w:r>
      <w:r w:rsidR="007A3925" w:rsidRPr="007A46FA">
        <w:rPr>
          <w:b w:val="0"/>
          <w:i/>
          <w:szCs w:val="22"/>
          <w:lang w:val="en-GB"/>
        </w:rPr>
        <w:t>From Molecule</w:t>
      </w:r>
      <w:r w:rsidR="007A3925">
        <w:rPr>
          <w:b w:val="0"/>
          <w:szCs w:val="22"/>
          <w:lang w:val="en-GB"/>
        </w:rPr>
        <w:t xml:space="preserve"> influences. Scores are from 1-5 based on this value.</w:t>
      </w:r>
      <w:bookmarkEnd w:id="430"/>
    </w:p>
    <w:p w14:paraId="09F87C40" w14:textId="77777777" w:rsidR="00F72F37" w:rsidRPr="0082680A" w:rsidRDefault="00F72F37" w:rsidP="00F72F37">
      <w:pPr>
        <w:pStyle w:val="NoSpacing"/>
        <w:jc w:val="center"/>
        <w:rPr>
          <w:lang w:val="en-GB"/>
        </w:rPr>
      </w:pPr>
    </w:p>
    <w:p w14:paraId="692D3F9D" w14:textId="77777777" w:rsidR="00F72F37" w:rsidRPr="0082680A" w:rsidRDefault="00F72F37" w:rsidP="00F72F37">
      <w:pPr>
        <w:pStyle w:val="NoSpacing"/>
        <w:keepNext/>
        <w:ind w:left="-426"/>
        <w:rPr>
          <w:lang w:val="en-GB"/>
        </w:rPr>
      </w:pPr>
      <w:r w:rsidRPr="0082680A">
        <w:rPr>
          <w:noProof/>
          <w:lang w:val="en-GB"/>
        </w:rPr>
        <w:lastRenderedPageBreak/>
        <w:drawing>
          <wp:inline distT="0" distB="0" distL="0" distR="0" wp14:anchorId="3420087F" wp14:editId="4BF2BAFD">
            <wp:extent cx="5569527" cy="8491840"/>
            <wp:effectExtent l="0" t="0" r="6350" b="508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D_EndeavourScore.pdf"/>
                    <pic:cNvPicPr/>
                  </pic:nvPicPr>
                  <pic:blipFill rotWithShape="1">
                    <a:blip r:embed="rId255">
                      <a:extLst>
                        <a:ext uri="{28A0092B-C50C-407E-A947-70E740481C1C}">
                          <a14:useLocalDpi xmlns:a14="http://schemas.microsoft.com/office/drawing/2010/main" val="0"/>
                        </a:ext>
                      </a:extLst>
                    </a:blip>
                    <a:srcRect l="2032" r="4503"/>
                    <a:stretch/>
                  </pic:blipFill>
                  <pic:spPr bwMode="auto">
                    <a:xfrm>
                      <a:off x="0" y="0"/>
                      <a:ext cx="5573307" cy="8497604"/>
                    </a:xfrm>
                    <a:prstGeom prst="rect">
                      <a:avLst/>
                    </a:prstGeom>
                    <a:ln>
                      <a:noFill/>
                    </a:ln>
                    <a:extLst>
                      <a:ext uri="{53640926-AAD7-44D8-BBD7-CCE9431645EC}">
                        <a14:shadowObscured xmlns:a14="http://schemas.microsoft.com/office/drawing/2010/main"/>
                      </a:ext>
                    </a:extLst>
                  </pic:spPr>
                </pic:pic>
              </a:graphicData>
            </a:graphic>
          </wp:inline>
        </w:drawing>
      </w:r>
    </w:p>
    <w:p w14:paraId="0B7B9F69" w14:textId="51EDDD65" w:rsidR="00F72F37" w:rsidRPr="0082680A" w:rsidRDefault="00F72F37" w:rsidP="00F72F37">
      <w:pPr>
        <w:pStyle w:val="Caption"/>
        <w:ind w:left="-284"/>
        <w:rPr>
          <w:lang w:val="en-GB"/>
        </w:rPr>
      </w:pPr>
      <w:bookmarkStart w:id="431" w:name="_Toc3225991"/>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11</w:t>
      </w:r>
      <w:r w:rsidR="00F45096" w:rsidRPr="0082680A">
        <w:rPr>
          <w:noProof/>
          <w:lang w:val="en-GB"/>
        </w:rPr>
        <w:fldChar w:fldCharType="end"/>
      </w:r>
      <w:r w:rsidRPr="0082680A">
        <w:rPr>
          <w:lang w:val="en-GB"/>
        </w:rPr>
        <w:t xml:space="preserve">: </w:t>
      </w:r>
      <w:r w:rsidR="0064654D" w:rsidRPr="0082680A">
        <w:rPr>
          <w:b w:val="0"/>
          <w:szCs w:val="22"/>
          <w:lang w:val="en-GB"/>
        </w:rPr>
        <w:t xml:space="preserve">Endeavour Scores for </w:t>
      </w:r>
      <w:r w:rsidR="0064654D">
        <w:rPr>
          <w:b w:val="0"/>
          <w:szCs w:val="22"/>
          <w:lang w:val="en-GB"/>
        </w:rPr>
        <w:t>PD</w:t>
      </w:r>
      <w:r w:rsidR="0064654D" w:rsidRPr="0082680A">
        <w:rPr>
          <w:b w:val="0"/>
          <w:szCs w:val="22"/>
          <w:lang w:val="en-GB"/>
        </w:rPr>
        <w:t xml:space="preserve"> common coexpression module members</w:t>
      </w:r>
      <w:r w:rsidR="0064654D">
        <w:rPr>
          <w:b w:val="0"/>
          <w:szCs w:val="22"/>
          <w:lang w:val="en-GB"/>
        </w:rPr>
        <w:t>. Endeavour rank is the position after ranking by p-value. Score is from 0-5.</w:t>
      </w:r>
      <w:bookmarkEnd w:id="431"/>
    </w:p>
    <w:p w14:paraId="62294638" w14:textId="04B1D5AC" w:rsidR="00F72F37" w:rsidRPr="0082680A" w:rsidRDefault="00F72F37" w:rsidP="00F72F37">
      <w:pPr>
        <w:rPr>
          <w:i/>
          <w:iCs/>
          <w:color w:val="1F497D" w:themeColor="text2"/>
          <w:sz w:val="18"/>
          <w:szCs w:val="18"/>
          <w:lang w:val="en-GB"/>
        </w:rPr>
      </w:pPr>
    </w:p>
    <w:p w14:paraId="6477B519" w14:textId="5D19B115" w:rsidR="00F72F37" w:rsidRPr="0082680A" w:rsidRDefault="007E3613" w:rsidP="0064654D">
      <w:pPr>
        <w:pStyle w:val="NoSpacing"/>
        <w:jc w:val="center"/>
        <w:rPr>
          <w:lang w:val="en-GB"/>
        </w:rPr>
      </w:pPr>
      <w:r w:rsidRPr="007E3613">
        <w:rPr>
          <w:noProof/>
          <w:lang w:val="en-GB"/>
        </w:rPr>
        <mc:AlternateContent>
          <mc:Choice Requires="wps">
            <w:drawing>
              <wp:anchor distT="0" distB="0" distL="114300" distR="114300" simplePos="0" relativeHeight="251780096" behindDoc="0" locked="0" layoutInCell="1" allowOverlap="1" wp14:anchorId="31E1784E" wp14:editId="72E6F30E">
                <wp:simplePos x="0" y="0"/>
                <wp:positionH relativeFrom="column">
                  <wp:posOffset>500380</wp:posOffset>
                </wp:positionH>
                <wp:positionV relativeFrom="paragraph">
                  <wp:posOffset>4679950</wp:posOffset>
                </wp:positionV>
                <wp:extent cx="247015" cy="283845"/>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23F670B5"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1784E" id="Text Box 206" o:spid="_x0000_s1120" type="#_x0000_t202" style="position:absolute;left:0;text-align:left;margin-left:39.4pt;margin-top:368.5pt;width:19.45pt;height:22.35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" fillcolor="white [3201]" stroked="f" strokeweight=".5pt">
                <v:textbox>
                  <w:txbxContent>
                    <w:p w14:paraId="23F670B5"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Pr="007E3613">
        <w:rPr>
          <w:noProof/>
          <w:lang w:val="en-GB"/>
        </w:rPr>
        <mc:AlternateContent>
          <mc:Choice Requires="wps">
            <w:drawing>
              <wp:anchor distT="0" distB="0" distL="114300" distR="114300" simplePos="0" relativeHeight="251779072" behindDoc="0" locked="0" layoutInCell="1" allowOverlap="1" wp14:anchorId="2C17A0DB" wp14:editId="00CA7B40">
                <wp:simplePos x="0" y="0"/>
                <wp:positionH relativeFrom="column">
                  <wp:posOffset>500380</wp:posOffset>
                </wp:positionH>
                <wp:positionV relativeFrom="paragraph">
                  <wp:posOffset>2350135</wp:posOffset>
                </wp:positionV>
                <wp:extent cx="247015" cy="283845"/>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6F233B16"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17A0DB" id="Text Box 205" o:spid="_x0000_s1121" type="#_x0000_t202" style="position:absolute;left:0;text-align:left;margin-left:39.4pt;margin-top:185.05pt;width:19.45pt;height:22.3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" fillcolor="white [3201]" stroked="f" strokeweight=".5pt">
                <v:textbox>
                  <w:txbxContent>
                    <w:p w14:paraId="6F233B16"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7E3613">
        <w:rPr>
          <w:noProof/>
          <w:lang w:val="en-GB"/>
        </w:rPr>
        <mc:AlternateContent>
          <mc:Choice Requires="wps">
            <w:drawing>
              <wp:anchor distT="0" distB="0" distL="114300" distR="114300" simplePos="0" relativeHeight="251778048" behindDoc="0" locked="0" layoutInCell="1" allowOverlap="1" wp14:anchorId="6E019F5E" wp14:editId="2CA202AF">
                <wp:simplePos x="0" y="0"/>
                <wp:positionH relativeFrom="column">
                  <wp:posOffset>507433</wp:posOffset>
                </wp:positionH>
                <wp:positionV relativeFrom="paragraph">
                  <wp:posOffset>-635</wp:posOffset>
                </wp:positionV>
                <wp:extent cx="247135" cy="284205"/>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247135" cy="284205"/>
                        </a:xfrm>
                        <a:prstGeom prst="rect">
                          <a:avLst/>
                        </a:prstGeom>
                        <a:solidFill>
                          <a:schemeClr val="lt1"/>
                        </a:solidFill>
                        <a:ln w="6350">
                          <a:noFill/>
                        </a:ln>
                      </wps:spPr>
                      <wps:txbx>
                        <w:txbxContent>
                          <w:p w14:paraId="2860FE4F"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19F5E" id="Text Box 204" o:spid="_x0000_s1122" type="#_x0000_t202" style="position:absolute;left:0;text-align:left;margin-left:39.95pt;margin-top:-.05pt;width:19.45pt;height:22.4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" fillcolor="white [3201]" stroked="f" strokeweight=".5pt">
                <v:textbox>
                  <w:txbxContent>
                    <w:p w14:paraId="2860FE4F"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F72F37" w:rsidRPr="0082680A">
        <w:rPr>
          <w:noProof/>
          <w:lang w:val="en-GB"/>
        </w:rPr>
        <w:drawing>
          <wp:inline distT="0" distB="0" distL="0" distR="0" wp14:anchorId="63EFCC4B" wp14:editId="64F9D693">
            <wp:extent cx="3534032" cy="241871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ER.RA_PCA.pdf"/>
                    <pic:cNvPicPr/>
                  </pic:nvPicPr>
                  <pic:blipFill rotWithShape="1">
                    <a:blip r:embed="rId256">
                      <a:extLst>
                        <a:ext uri="{28A0092B-C50C-407E-A947-70E740481C1C}">
                          <a14:useLocalDpi xmlns:a14="http://schemas.microsoft.com/office/drawing/2010/main" val="0"/>
                        </a:ext>
                      </a:extLst>
                    </a:blip>
                    <a:srcRect t="7990" r="2227"/>
                    <a:stretch/>
                  </pic:blipFill>
                  <pic:spPr bwMode="auto">
                    <a:xfrm>
                      <a:off x="0" y="0"/>
                      <a:ext cx="3535129" cy="2419466"/>
                    </a:xfrm>
                    <a:prstGeom prst="rect">
                      <a:avLst/>
                    </a:prstGeom>
                    <a:ln>
                      <a:noFill/>
                    </a:ln>
                    <a:extLst>
                      <a:ext uri="{53640926-AAD7-44D8-BBD7-CCE9431645EC}">
                        <a14:shadowObscured xmlns:a14="http://schemas.microsoft.com/office/drawing/2010/main"/>
                      </a:ext>
                    </a:extLst>
                  </pic:spPr>
                </pic:pic>
              </a:graphicData>
            </a:graphic>
          </wp:inline>
        </w:drawing>
      </w:r>
    </w:p>
    <w:p w14:paraId="5F6B695B" w14:textId="77777777" w:rsidR="00F72F37" w:rsidRPr="0082680A" w:rsidRDefault="00F72F37" w:rsidP="0064654D">
      <w:pPr>
        <w:pStyle w:val="NoSpacing"/>
        <w:jc w:val="center"/>
        <w:rPr>
          <w:lang w:val="en-GB"/>
        </w:rPr>
      </w:pPr>
      <w:r w:rsidRPr="0082680A">
        <w:rPr>
          <w:noProof/>
          <w:lang w:val="en-GB"/>
        </w:rPr>
        <w:drawing>
          <wp:inline distT="0" distB="0" distL="0" distR="0" wp14:anchorId="3B1DA4AA" wp14:editId="065305CB">
            <wp:extent cx="3773528" cy="2180590"/>
            <wp:effectExtent l="0" t="0" r="0"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ER.RA_Boxplot.pdf"/>
                    <pic:cNvPicPr/>
                  </pic:nvPicPr>
                  <pic:blipFill rotWithShape="1">
                    <a:blip r:embed="rId257" cstate="print">
                      <a:extLst>
                        <a:ext uri="{28A0092B-C50C-407E-A947-70E740481C1C}">
                          <a14:useLocalDpi xmlns:a14="http://schemas.microsoft.com/office/drawing/2010/main" val="0"/>
                        </a:ext>
                      </a:extLst>
                    </a:blip>
                    <a:srcRect l="1249" t="10151" r="3389" b="11921"/>
                    <a:stretch/>
                  </pic:blipFill>
                  <pic:spPr bwMode="auto">
                    <a:xfrm>
                      <a:off x="0" y="0"/>
                      <a:ext cx="3776314" cy="2182200"/>
                    </a:xfrm>
                    <a:prstGeom prst="rect">
                      <a:avLst/>
                    </a:prstGeom>
                    <a:ln>
                      <a:noFill/>
                    </a:ln>
                    <a:extLst>
                      <a:ext uri="{53640926-AAD7-44D8-BBD7-CCE9431645EC}">
                        <a14:shadowObscured xmlns:a14="http://schemas.microsoft.com/office/drawing/2010/main"/>
                      </a:ext>
                    </a:extLst>
                  </pic:spPr>
                </pic:pic>
              </a:graphicData>
            </a:graphic>
          </wp:inline>
        </w:drawing>
      </w:r>
    </w:p>
    <w:p w14:paraId="6666B111" w14:textId="63A77B8B" w:rsidR="00F72F37" w:rsidRDefault="00F72F37" w:rsidP="0064654D">
      <w:pPr>
        <w:pStyle w:val="NoSpacing"/>
        <w:jc w:val="center"/>
        <w:rPr>
          <w:lang w:val="en-GB"/>
        </w:rPr>
      </w:pPr>
      <w:r w:rsidRPr="0082680A">
        <w:rPr>
          <w:noProof/>
          <w:lang w:val="en-GB"/>
        </w:rPr>
        <w:drawing>
          <wp:inline distT="0" distB="0" distL="0" distR="0" wp14:anchorId="50AA767E" wp14:editId="72E2035A">
            <wp:extent cx="3484638" cy="2125362"/>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ER.RA_Cluster.pdf"/>
                    <pic:cNvPicPr/>
                  </pic:nvPicPr>
                  <pic:blipFill rotWithShape="1">
                    <a:blip r:embed="rId258">
                      <a:extLst>
                        <a:ext uri="{28A0092B-C50C-407E-A947-70E740481C1C}">
                          <a14:useLocalDpi xmlns:a14="http://schemas.microsoft.com/office/drawing/2010/main" val="0"/>
                        </a:ext>
                      </a:extLst>
                    </a:blip>
                    <a:srcRect l="2898" t="5119" r="3300" b="14014"/>
                    <a:stretch/>
                  </pic:blipFill>
                  <pic:spPr bwMode="auto">
                    <a:xfrm>
                      <a:off x="0" y="0"/>
                      <a:ext cx="3489605" cy="2128391"/>
                    </a:xfrm>
                    <a:prstGeom prst="rect">
                      <a:avLst/>
                    </a:prstGeom>
                    <a:ln>
                      <a:noFill/>
                    </a:ln>
                    <a:extLst>
                      <a:ext uri="{53640926-AAD7-44D8-BBD7-CCE9431645EC}">
                        <a14:shadowObscured xmlns:a14="http://schemas.microsoft.com/office/drawing/2010/main"/>
                      </a:ext>
                    </a:extLst>
                  </pic:spPr>
                </pic:pic>
              </a:graphicData>
            </a:graphic>
          </wp:inline>
        </w:drawing>
      </w:r>
    </w:p>
    <w:p w14:paraId="2B3B7A69" w14:textId="77777777" w:rsidR="0064654D" w:rsidRPr="0082680A" w:rsidRDefault="0064654D" w:rsidP="0064654D">
      <w:pPr>
        <w:pStyle w:val="NoSpacing"/>
        <w:jc w:val="center"/>
        <w:rPr>
          <w:lang w:val="en-GB"/>
        </w:rPr>
      </w:pPr>
    </w:p>
    <w:p w14:paraId="36B5A9C4" w14:textId="1964C2B6" w:rsidR="00F72F37" w:rsidRPr="0082680A" w:rsidRDefault="00F72F37" w:rsidP="0064654D">
      <w:pPr>
        <w:pStyle w:val="Caption"/>
        <w:rPr>
          <w:lang w:val="en-GB"/>
        </w:rPr>
      </w:pPr>
      <w:bookmarkStart w:id="432" w:name="_Toc3226036"/>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9403C">
        <w:rPr>
          <w:noProof/>
          <w:lang w:val="en-GB"/>
        </w:rPr>
        <w:t>15</w:t>
      </w:r>
      <w:r w:rsidR="00F45096" w:rsidRPr="0082680A">
        <w:rPr>
          <w:noProof/>
          <w:lang w:val="en-GB"/>
        </w:rPr>
        <w:fldChar w:fldCharType="end"/>
      </w:r>
      <w:r w:rsidRPr="0082680A">
        <w:rPr>
          <w:lang w:val="en-GB"/>
        </w:rPr>
        <w:t>:</w:t>
      </w:r>
      <w:r w:rsidRPr="0082680A">
        <w:rPr>
          <w:b w:val="0"/>
          <w:szCs w:val="22"/>
          <w:lang w:val="en-GB"/>
        </w:rPr>
        <w:t xml:space="preserve"> </w:t>
      </w:r>
      <w:r w:rsidRPr="00A12256">
        <w:rPr>
          <w:szCs w:val="22"/>
          <w:lang w:val="en-GB"/>
        </w:rPr>
        <w:t>Quality control results for GSE55457</w:t>
      </w:r>
      <w:r w:rsidR="00A12256">
        <w:rPr>
          <w:szCs w:val="22"/>
          <w:lang w:val="en-GB"/>
        </w:rPr>
        <w:t xml:space="preserve">. </w:t>
      </w:r>
      <w:r w:rsidR="00A12256">
        <w:rPr>
          <w:lang w:val="en-GB"/>
        </w:rPr>
        <w:t>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32"/>
    </w:p>
    <w:p w14:paraId="6672E6FA" w14:textId="77777777" w:rsidR="00F72F37" w:rsidRPr="0082680A" w:rsidRDefault="00F72F37" w:rsidP="00F72F37">
      <w:pPr>
        <w:rPr>
          <w:lang w:val="en-GB"/>
        </w:rPr>
      </w:pPr>
      <w:r w:rsidRPr="0082680A">
        <w:rPr>
          <w:lang w:val="en-GB"/>
        </w:rPr>
        <w:br w:type="page"/>
      </w:r>
    </w:p>
    <w:p w14:paraId="6113FA88" w14:textId="307B1C1E" w:rsidR="00F72F37" w:rsidRPr="0082680A" w:rsidRDefault="007E3613" w:rsidP="002F5A7E">
      <w:pPr>
        <w:pStyle w:val="NoSpacing"/>
        <w:jc w:val="center"/>
        <w:rPr>
          <w:lang w:val="en-GB"/>
        </w:rPr>
      </w:pPr>
      <w:r w:rsidRPr="007E3613">
        <w:rPr>
          <w:noProof/>
          <w:lang w:val="en-GB"/>
        </w:rPr>
        <w:lastRenderedPageBreak/>
        <mc:AlternateContent>
          <mc:Choice Requires="wps">
            <w:drawing>
              <wp:anchor distT="0" distB="0" distL="114300" distR="114300" simplePos="0" relativeHeight="251782144" behindDoc="0" locked="0" layoutInCell="1" allowOverlap="1" wp14:anchorId="7C3D8689" wp14:editId="765EF5FB">
                <wp:simplePos x="0" y="0"/>
                <wp:positionH relativeFrom="column">
                  <wp:posOffset>457835</wp:posOffset>
                </wp:positionH>
                <wp:positionV relativeFrom="paragraph">
                  <wp:posOffset>35560</wp:posOffset>
                </wp:positionV>
                <wp:extent cx="247015" cy="283845"/>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210751C1"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3D8689" id="Text Box 207" o:spid="_x0000_s1123" type="#_x0000_t202" style="position:absolute;left:0;text-align:left;margin-left:36.05pt;margin-top:2.8pt;width:19.45pt;height:22.3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" fillcolor="white [3201]" stroked="f" strokeweight=".5pt">
                <v:textbox>
                  <w:txbxContent>
                    <w:p w14:paraId="210751C1"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Pr="007E3613">
        <w:rPr>
          <w:noProof/>
          <w:lang w:val="en-GB"/>
        </w:rPr>
        <mc:AlternateContent>
          <mc:Choice Requires="wps">
            <w:drawing>
              <wp:anchor distT="0" distB="0" distL="114300" distR="114300" simplePos="0" relativeHeight="251783168" behindDoc="0" locked="0" layoutInCell="1" allowOverlap="1" wp14:anchorId="60A6BA39" wp14:editId="4B14C1E3">
                <wp:simplePos x="0" y="0"/>
                <wp:positionH relativeFrom="column">
                  <wp:posOffset>450850</wp:posOffset>
                </wp:positionH>
                <wp:positionV relativeFrom="paragraph">
                  <wp:posOffset>2386330</wp:posOffset>
                </wp:positionV>
                <wp:extent cx="247015" cy="283845"/>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704D1623"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A6BA39" id="Text Box 208" o:spid="_x0000_s1124" type="#_x0000_t202" style="position:absolute;left:0;text-align:left;margin-left:35.5pt;margin-top:187.9pt;width:19.45pt;height:22.3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" fillcolor="white [3201]" stroked="f" strokeweight=".5pt">
                <v:textbox>
                  <w:txbxContent>
                    <w:p w14:paraId="704D1623"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00F72F37" w:rsidRPr="0082680A">
        <w:rPr>
          <w:noProof/>
          <w:lang w:val="en-GB"/>
        </w:rPr>
        <w:drawing>
          <wp:inline distT="0" distB="0" distL="0" distR="0" wp14:anchorId="66D49183" wp14:editId="64314F68">
            <wp:extent cx="3570605" cy="2384854"/>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JEN.RA_PCA.pdf"/>
                    <pic:cNvPicPr/>
                  </pic:nvPicPr>
                  <pic:blipFill rotWithShape="1">
                    <a:blip r:embed="rId259">
                      <a:extLst>
                        <a:ext uri="{28A0092B-C50C-407E-A947-70E740481C1C}">
                          <a14:useLocalDpi xmlns:a14="http://schemas.microsoft.com/office/drawing/2010/main" val="0"/>
                        </a:ext>
                      </a:extLst>
                    </a:blip>
                    <a:srcRect t="8400" r="1899" b="1506"/>
                    <a:stretch/>
                  </pic:blipFill>
                  <pic:spPr bwMode="auto">
                    <a:xfrm>
                      <a:off x="0" y="0"/>
                      <a:ext cx="3572322" cy="2386001"/>
                    </a:xfrm>
                    <a:prstGeom prst="rect">
                      <a:avLst/>
                    </a:prstGeom>
                    <a:ln>
                      <a:noFill/>
                    </a:ln>
                    <a:extLst>
                      <a:ext uri="{53640926-AAD7-44D8-BBD7-CCE9431645EC}">
                        <a14:shadowObscured xmlns:a14="http://schemas.microsoft.com/office/drawing/2010/main"/>
                      </a:ext>
                    </a:extLst>
                  </pic:spPr>
                </pic:pic>
              </a:graphicData>
            </a:graphic>
          </wp:inline>
        </w:drawing>
      </w:r>
    </w:p>
    <w:p w14:paraId="567F1AF5" w14:textId="7DF28795" w:rsidR="00F72F37" w:rsidRPr="0082680A" w:rsidRDefault="007E3613" w:rsidP="002F5A7E">
      <w:pPr>
        <w:pStyle w:val="NoSpacing"/>
        <w:jc w:val="center"/>
        <w:rPr>
          <w:lang w:val="en-GB"/>
        </w:rPr>
      </w:pPr>
      <w:r w:rsidRPr="007E3613">
        <w:rPr>
          <w:noProof/>
          <w:lang w:val="en-GB"/>
        </w:rPr>
        <mc:AlternateContent>
          <mc:Choice Requires="wps">
            <w:drawing>
              <wp:anchor distT="0" distB="0" distL="114300" distR="114300" simplePos="0" relativeHeight="251784192" behindDoc="0" locked="0" layoutInCell="1" allowOverlap="1" wp14:anchorId="60A57743" wp14:editId="01CBD82B">
                <wp:simplePos x="0" y="0"/>
                <wp:positionH relativeFrom="column">
                  <wp:posOffset>450850</wp:posOffset>
                </wp:positionH>
                <wp:positionV relativeFrom="paragraph">
                  <wp:posOffset>2072005</wp:posOffset>
                </wp:positionV>
                <wp:extent cx="247015" cy="283845"/>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26A90B08"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A57743" id="Text Box 209" o:spid="_x0000_s1125" type="#_x0000_t202" style="position:absolute;left:0;text-align:left;margin-left:35.5pt;margin-top:163.15pt;width:19.45pt;height:22.3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" fillcolor="white [3201]" stroked="f" strokeweight=".5pt">
                <v:textbox>
                  <w:txbxContent>
                    <w:p w14:paraId="26A90B08"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26662FDF" wp14:editId="7265ED80">
            <wp:extent cx="3564019" cy="2069465"/>
            <wp:effectExtent l="0" t="0" r="5080" b="63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JEN.RA_Boxplot.pdf"/>
                    <pic:cNvPicPr/>
                  </pic:nvPicPr>
                  <pic:blipFill rotWithShape="1">
                    <a:blip r:embed="rId260" cstate="print">
                      <a:extLst>
                        <a:ext uri="{28A0092B-C50C-407E-A947-70E740481C1C}">
                          <a14:useLocalDpi xmlns:a14="http://schemas.microsoft.com/office/drawing/2010/main" val="0"/>
                        </a:ext>
                      </a:extLst>
                    </a:blip>
                    <a:srcRect l="1471" t="9936" r="4238" b="12640"/>
                    <a:stretch/>
                  </pic:blipFill>
                  <pic:spPr bwMode="auto">
                    <a:xfrm>
                      <a:off x="0" y="0"/>
                      <a:ext cx="3565659" cy="2070417"/>
                    </a:xfrm>
                    <a:prstGeom prst="rect">
                      <a:avLst/>
                    </a:prstGeom>
                    <a:ln>
                      <a:noFill/>
                    </a:ln>
                    <a:extLst>
                      <a:ext uri="{53640926-AAD7-44D8-BBD7-CCE9431645EC}">
                        <a14:shadowObscured xmlns:a14="http://schemas.microsoft.com/office/drawing/2010/main"/>
                      </a:ext>
                    </a:extLst>
                  </pic:spPr>
                </pic:pic>
              </a:graphicData>
            </a:graphic>
          </wp:inline>
        </w:drawing>
      </w:r>
    </w:p>
    <w:p w14:paraId="3DD83ED8" w14:textId="16C70F5D" w:rsidR="00F72F37" w:rsidRDefault="00F72F37" w:rsidP="002F5A7E">
      <w:pPr>
        <w:pStyle w:val="NoSpacing"/>
        <w:jc w:val="center"/>
        <w:rPr>
          <w:lang w:val="en-GB"/>
        </w:rPr>
      </w:pPr>
      <w:r w:rsidRPr="0082680A">
        <w:rPr>
          <w:noProof/>
          <w:lang w:val="en-GB"/>
        </w:rPr>
        <w:drawing>
          <wp:inline distT="0" distB="0" distL="0" distR="0" wp14:anchorId="7ED470F4" wp14:editId="6AD9EB1D">
            <wp:extent cx="4036652" cy="2452816"/>
            <wp:effectExtent l="0" t="0" r="254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JEN.RA_Cluster.pdf"/>
                    <pic:cNvPicPr/>
                  </pic:nvPicPr>
                  <pic:blipFill rotWithShape="1">
                    <a:blip r:embed="rId261">
                      <a:extLst>
                        <a:ext uri="{28A0092B-C50C-407E-A947-70E740481C1C}">
                          <a14:useLocalDpi xmlns:a14="http://schemas.microsoft.com/office/drawing/2010/main" val="0"/>
                        </a:ext>
                      </a:extLst>
                    </a:blip>
                    <a:srcRect r="2606" b="16353"/>
                    <a:stretch/>
                  </pic:blipFill>
                  <pic:spPr bwMode="auto">
                    <a:xfrm>
                      <a:off x="0" y="0"/>
                      <a:ext cx="4051078" cy="2461582"/>
                    </a:xfrm>
                    <a:prstGeom prst="rect">
                      <a:avLst/>
                    </a:prstGeom>
                    <a:ln>
                      <a:noFill/>
                    </a:ln>
                    <a:extLst>
                      <a:ext uri="{53640926-AAD7-44D8-BBD7-CCE9431645EC}">
                        <a14:shadowObscured xmlns:a14="http://schemas.microsoft.com/office/drawing/2010/main"/>
                      </a:ext>
                    </a:extLst>
                  </pic:spPr>
                </pic:pic>
              </a:graphicData>
            </a:graphic>
          </wp:inline>
        </w:drawing>
      </w:r>
    </w:p>
    <w:p w14:paraId="1B2258D5" w14:textId="77777777" w:rsidR="002F5A7E" w:rsidRPr="0082680A" w:rsidRDefault="002F5A7E" w:rsidP="002F5A7E">
      <w:pPr>
        <w:pStyle w:val="NoSpacing"/>
        <w:jc w:val="center"/>
        <w:rPr>
          <w:lang w:val="en-GB"/>
        </w:rPr>
      </w:pPr>
    </w:p>
    <w:p w14:paraId="7DB42854" w14:textId="63C9A8DB" w:rsidR="00F72F37" w:rsidRPr="0082680A" w:rsidRDefault="00F72F37" w:rsidP="002F5A7E">
      <w:pPr>
        <w:pStyle w:val="Caption"/>
        <w:rPr>
          <w:lang w:val="en-GB"/>
        </w:rPr>
      </w:pPr>
      <w:bookmarkStart w:id="433" w:name="_Toc3226037"/>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16</w:t>
      </w:r>
      <w:r w:rsidR="00F45096" w:rsidRPr="0082680A">
        <w:rPr>
          <w:noProof/>
          <w:lang w:val="en-GB"/>
        </w:rPr>
        <w:fldChar w:fldCharType="end"/>
      </w:r>
      <w:r w:rsidRPr="0082680A">
        <w:rPr>
          <w:lang w:val="en-GB"/>
        </w:rPr>
        <w:t xml:space="preserve">: </w:t>
      </w:r>
      <w:r w:rsidRPr="00A12256">
        <w:rPr>
          <w:szCs w:val="22"/>
          <w:lang w:val="en-GB"/>
        </w:rPr>
        <w:t>Quality control results for GSE55235</w:t>
      </w:r>
      <w:r w:rsidR="00A12256">
        <w:rPr>
          <w:szCs w:val="22"/>
          <w:lang w:val="en-GB"/>
        </w:rPr>
        <w:t xml:space="preserve">. </w:t>
      </w:r>
      <w:r w:rsidR="00A12256">
        <w:rPr>
          <w:lang w:val="en-GB"/>
        </w:rPr>
        <w:t>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33"/>
    </w:p>
    <w:p w14:paraId="48BC6CBB" w14:textId="77777777" w:rsidR="00F72F37" w:rsidRPr="0082680A" w:rsidRDefault="00F72F37" w:rsidP="00F72F37">
      <w:pPr>
        <w:rPr>
          <w:lang w:val="en-GB"/>
        </w:rPr>
      </w:pPr>
      <w:r w:rsidRPr="0082680A">
        <w:rPr>
          <w:lang w:val="en-GB"/>
        </w:rPr>
        <w:br w:type="page"/>
      </w:r>
    </w:p>
    <w:p w14:paraId="7FA43013" w14:textId="77F65E36" w:rsidR="00F72F37" w:rsidRPr="0082680A" w:rsidRDefault="00066B5A" w:rsidP="002F5A7E">
      <w:pPr>
        <w:pStyle w:val="NoSpacing"/>
        <w:jc w:val="center"/>
        <w:rPr>
          <w:lang w:val="en-GB"/>
        </w:rPr>
      </w:pPr>
      <w:r>
        <w:rPr>
          <w:noProof/>
          <w:lang w:val="en-GB"/>
        </w:rPr>
        <w:lastRenderedPageBreak/>
        <mc:AlternateContent>
          <mc:Choice Requires="wps">
            <w:drawing>
              <wp:anchor distT="0" distB="0" distL="114300" distR="114300" simplePos="0" relativeHeight="251950080" behindDoc="0" locked="0" layoutInCell="1" allowOverlap="1" wp14:anchorId="41892E89" wp14:editId="3C67C71D">
                <wp:simplePos x="0" y="0"/>
                <wp:positionH relativeFrom="column">
                  <wp:posOffset>4073525</wp:posOffset>
                </wp:positionH>
                <wp:positionV relativeFrom="paragraph">
                  <wp:posOffset>2175279</wp:posOffset>
                </wp:positionV>
                <wp:extent cx="464012" cy="172315"/>
                <wp:effectExtent l="0" t="0" r="19050" b="18415"/>
                <wp:wrapNone/>
                <wp:docPr id="366" name="Rectangle 366"/>
                <wp:cNvGraphicFramePr/>
                <a:graphic xmlns:a="http://schemas.openxmlformats.org/drawingml/2006/main">
                  <a:graphicData uri="http://schemas.microsoft.com/office/word/2010/wordprocessingShape">
                    <wps:wsp>
                      <wps:cNvSpPr/>
                      <wps:spPr>
                        <a:xfrm>
                          <a:off x="0" y="0"/>
                          <a:ext cx="464012" cy="172315"/>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07C0127E" w14:textId="77777777" w:rsidR="00C2072C" w:rsidRPr="00066B5A" w:rsidRDefault="00C2072C" w:rsidP="00066B5A">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92E89" id="Rectangle 366" o:spid="_x0000_s1126" style="position:absolute;left:0;text-align:left;margin-left:320.75pt;margin-top:171.3pt;width:36.55pt;height:13.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" filled="f" strokecolor="#5f497a [2407]">
                <v:textbox>
                  <w:txbxContent>
                    <w:p w14:paraId="07C0127E" w14:textId="77777777" w:rsidR="00C2072C" w:rsidRPr="00066B5A" w:rsidRDefault="00C2072C" w:rsidP="00066B5A">
                      <w:pPr>
                        <w:jc w:val="center"/>
                        <w:rPr>
                          <w:lang w:val="en-US"/>
                        </w:rPr>
                      </w:pPr>
                      <w:r>
                        <w:rPr>
                          <w:lang w:val="en-US"/>
                        </w:rPr>
                        <w:t xml:space="preserve"> </w:t>
                      </w:r>
                    </w:p>
                  </w:txbxContent>
                </v:textbox>
              </v:rect>
            </w:pict>
          </mc:Fallback>
        </mc:AlternateContent>
      </w:r>
      <w:r>
        <w:rPr>
          <w:noProof/>
          <w:lang w:val="en-GB"/>
        </w:rPr>
        <mc:AlternateContent>
          <mc:Choice Requires="wps">
            <w:drawing>
              <wp:anchor distT="0" distB="0" distL="114300" distR="114300" simplePos="0" relativeHeight="251948032" behindDoc="0" locked="0" layoutInCell="1" allowOverlap="1" wp14:anchorId="3A51CA79" wp14:editId="035A3192">
                <wp:simplePos x="0" y="0"/>
                <wp:positionH relativeFrom="column">
                  <wp:posOffset>3345873</wp:posOffset>
                </wp:positionH>
                <wp:positionV relativeFrom="paragraph">
                  <wp:posOffset>1655041</wp:posOffset>
                </wp:positionV>
                <wp:extent cx="595745" cy="172315"/>
                <wp:effectExtent l="0" t="0" r="13970" b="18415"/>
                <wp:wrapNone/>
                <wp:docPr id="365" name="Rectangle 365"/>
                <wp:cNvGraphicFramePr/>
                <a:graphic xmlns:a="http://schemas.openxmlformats.org/drawingml/2006/main">
                  <a:graphicData uri="http://schemas.microsoft.com/office/word/2010/wordprocessingShape">
                    <wps:wsp>
                      <wps:cNvSpPr/>
                      <wps:spPr>
                        <a:xfrm>
                          <a:off x="0" y="0"/>
                          <a:ext cx="595745" cy="172315"/>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3C8AB4F2" w14:textId="77777777" w:rsidR="00C2072C" w:rsidRPr="00066B5A" w:rsidRDefault="00C2072C" w:rsidP="00066B5A">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1CA79" id="Rectangle 365" o:spid="_x0000_s1127" style="position:absolute;left:0;text-align:left;margin-left:263.45pt;margin-top:130.3pt;width:46.9pt;height:13.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" filled="f" strokecolor="#5f497a [2407]">
                <v:textbox>
                  <w:txbxContent>
                    <w:p w14:paraId="3C8AB4F2" w14:textId="77777777" w:rsidR="00C2072C" w:rsidRPr="00066B5A" w:rsidRDefault="00C2072C" w:rsidP="00066B5A">
                      <w:pPr>
                        <w:jc w:val="center"/>
                        <w:rPr>
                          <w:lang w:val="en-US"/>
                        </w:rPr>
                      </w:pPr>
                      <w:r>
                        <w:rPr>
                          <w:lang w:val="en-US"/>
                        </w:rPr>
                        <w:t xml:space="preserve"> </w:t>
                      </w:r>
                    </w:p>
                  </w:txbxContent>
                </v:textbox>
              </v:rect>
            </w:pict>
          </mc:Fallback>
        </mc:AlternateContent>
      </w:r>
      <w:r w:rsidR="007E3613" w:rsidRPr="007E3613">
        <w:rPr>
          <w:noProof/>
          <w:lang w:val="en-GB"/>
        </w:rPr>
        <mc:AlternateContent>
          <mc:Choice Requires="wps">
            <w:drawing>
              <wp:anchor distT="0" distB="0" distL="114300" distR="114300" simplePos="0" relativeHeight="251787264" behindDoc="0" locked="0" layoutInCell="1" allowOverlap="1" wp14:anchorId="75F25996" wp14:editId="7A3AEB4B">
                <wp:simplePos x="0" y="0"/>
                <wp:positionH relativeFrom="column">
                  <wp:posOffset>191135</wp:posOffset>
                </wp:positionH>
                <wp:positionV relativeFrom="paragraph">
                  <wp:posOffset>2566035</wp:posOffset>
                </wp:positionV>
                <wp:extent cx="247015" cy="283845"/>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04B86300"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F25996" id="Text Box 211" o:spid="_x0000_s1128" type="#_x0000_t202" style="position:absolute;left:0;text-align:left;margin-left:15.05pt;margin-top:202.05pt;width:19.45pt;height:22.3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" fillcolor="white [3201]" stroked="f" strokeweight=".5pt">
                <v:textbox>
                  <w:txbxContent>
                    <w:p w14:paraId="04B86300"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007E3613" w:rsidRPr="007E3613">
        <w:rPr>
          <w:noProof/>
          <w:lang w:val="en-GB"/>
        </w:rPr>
        <mc:AlternateContent>
          <mc:Choice Requires="wps">
            <w:drawing>
              <wp:anchor distT="0" distB="0" distL="114300" distR="114300" simplePos="0" relativeHeight="251786240" behindDoc="0" locked="0" layoutInCell="1" allowOverlap="1" wp14:anchorId="6A0ED39A" wp14:editId="3BCC7AA9">
                <wp:simplePos x="0" y="0"/>
                <wp:positionH relativeFrom="column">
                  <wp:posOffset>198326</wp:posOffset>
                </wp:positionH>
                <wp:positionV relativeFrom="paragraph">
                  <wp:posOffset>104140</wp:posOffset>
                </wp:positionV>
                <wp:extent cx="247015" cy="283845"/>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5C48536B"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0ED39A" id="Text Box 210" o:spid="_x0000_s1129" type="#_x0000_t202" style="position:absolute;left:0;text-align:left;margin-left:15.6pt;margin-top:8.2pt;width:19.45pt;height:22.3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" fillcolor="white [3201]" stroked="f" strokeweight=".5pt">
                <v:textbox>
                  <w:txbxContent>
                    <w:p w14:paraId="5C48536B"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00F72F37" w:rsidRPr="0082680A">
        <w:rPr>
          <w:noProof/>
          <w:lang w:val="en-GB"/>
        </w:rPr>
        <w:drawing>
          <wp:inline distT="0" distB="0" distL="0" distR="0" wp14:anchorId="520D7B98" wp14:editId="516D4BA0">
            <wp:extent cx="4003297" cy="2564027"/>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AL.RA_PCA.pdf"/>
                    <pic:cNvPicPr/>
                  </pic:nvPicPr>
                  <pic:blipFill rotWithShape="1">
                    <a:blip r:embed="rId262">
                      <a:extLst>
                        <a:ext uri="{28A0092B-C50C-407E-A947-70E740481C1C}">
                          <a14:useLocalDpi xmlns:a14="http://schemas.microsoft.com/office/drawing/2010/main" val="0"/>
                        </a:ext>
                      </a:extLst>
                    </a:blip>
                    <a:srcRect t="7995" r="2450" b="6097"/>
                    <a:stretch/>
                  </pic:blipFill>
                  <pic:spPr bwMode="auto">
                    <a:xfrm>
                      <a:off x="0" y="0"/>
                      <a:ext cx="4009856" cy="2568228"/>
                    </a:xfrm>
                    <a:prstGeom prst="rect">
                      <a:avLst/>
                    </a:prstGeom>
                    <a:ln>
                      <a:noFill/>
                    </a:ln>
                    <a:extLst>
                      <a:ext uri="{53640926-AAD7-44D8-BBD7-CCE9431645EC}">
                        <a14:shadowObscured xmlns:a14="http://schemas.microsoft.com/office/drawing/2010/main"/>
                      </a:ext>
                    </a:extLst>
                  </pic:spPr>
                </pic:pic>
              </a:graphicData>
            </a:graphic>
          </wp:inline>
        </w:drawing>
      </w:r>
    </w:p>
    <w:p w14:paraId="0973A1C8" w14:textId="43BEF14A" w:rsidR="00F72F37" w:rsidRPr="0082680A" w:rsidRDefault="00F72F37" w:rsidP="002F5A7E">
      <w:pPr>
        <w:pStyle w:val="NoSpacing"/>
        <w:jc w:val="center"/>
        <w:rPr>
          <w:lang w:val="en-GB"/>
        </w:rPr>
      </w:pPr>
      <w:r w:rsidRPr="0082680A">
        <w:rPr>
          <w:noProof/>
          <w:lang w:val="en-GB"/>
        </w:rPr>
        <w:drawing>
          <wp:inline distT="0" distB="0" distL="0" distR="0" wp14:anchorId="69E017DD" wp14:editId="7C0CCE2D">
            <wp:extent cx="4166462" cy="234160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AL.RA_Boxplot.pdf"/>
                    <pic:cNvPicPr/>
                  </pic:nvPicPr>
                  <pic:blipFill rotWithShape="1">
                    <a:blip r:embed="rId263" cstate="print">
                      <a:extLst>
                        <a:ext uri="{28A0092B-C50C-407E-A947-70E740481C1C}">
                          <a14:useLocalDpi xmlns:a14="http://schemas.microsoft.com/office/drawing/2010/main" val="0"/>
                        </a:ext>
                      </a:extLst>
                    </a:blip>
                    <a:srcRect l="1610" t="10240" r="4246" b="14937"/>
                    <a:stretch/>
                  </pic:blipFill>
                  <pic:spPr bwMode="auto">
                    <a:xfrm>
                      <a:off x="0" y="0"/>
                      <a:ext cx="4188136" cy="2353786"/>
                    </a:xfrm>
                    <a:prstGeom prst="rect">
                      <a:avLst/>
                    </a:prstGeom>
                    <a:ln>
                      <a:noFill/>
                    </a:ln>
                    <a:extLst>
                      <a:ext uri="{53640926-AAD7-44D8-BBD7-CCE9431645EC}">
                        <a14:shadowObscured xmlns:a14="http://schemas.microsoft.com/office/drawing/2010/main"/>
                      </a:ext>
                    </a:extLst>
                  </pic:spPr>
                </pic:pic>
              </a:graphicData>
            </a:graphic>
          </wp:inline>
        </w:drawing>
      </w:r>
    </w:p>
    <w:p w14:paraId="633DF117" w14:textId="0F3B73AF" w:rsidR="00F72F37" w:rsidRDefault="0009403C" w:rsidP="002F5A7E">
      <w:pPr>
        <w:pStyle w:val="NoSpacing"/>
        <w:jc w:val="center"/>
        <w:rPr>
          <w:lang w:val="en-GB"/>
        </w:rPr>
      </w:pPr>
      <w:r>
        <w:rPr>
          <w:noProof/>
          <w:lang w:val="en-GB"/>
        </w:rPr>
        <mc:AlternateContent>
          <mc:Choice Requires="wps">
            <w:drawing>
              <wp:anchor distT="0" distB="0" distL="114300" distR="114300" simplePos="0" relativeHeight="251952128" behindDoc="0" locked="0" layoutInCell="1" allowOverlap="1" wp14:anchorId="73202CB2" wp14:editId="0E73BDAB">
                <wp:simplePos x="0" y="0"/>
                <wp:positionH relativeFrom="column">
                  <wp:posOffset>700896</wp:posOffset>
                </wp:positionH>
                <wp:positionV relativeFrom="paragraph">
                  <wp:posOffset>2482217</wp:posOffset>
                </wp:positionV>
                <wp:extent cx="81016" cy="351741"/>
                <wp:effectExtent l="0" t="0" r="8255" b="17145"/>
                <wp:wrapNone/>
                <wp:docPr id="367" name="Rectangle 367"/>
                <wp:cNvGraphicFramePr/>
                <a:graphic xmlns:a="http://schemas.openxmlformats.org/drawingml/2006/main">
                  <a:graphicData uri="http://schemas.microsoft.com/office/word/2010/wordprocessingShape">
                    <wps:wsp>
                      <wps:cNvSpPr/>
                      <wps:spPr>
                        <a:xfrm>
                          <a:off x="0" y="0"/>
                          <a:ext cx="81016" cy="351741"/>
                        </a:xfrm>
                        <a:prstGeom prst="rect">
                          <a:avLst/>
                        </a:prstGeom>
                        <a:noFill/>
                        <a:ln>
                          <a:solidFill>
                            <a:schemeClr val="accent4">
                              <a:lumMod val="75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6D964B09" w14:textId="77777777" w:rsidR="00C2072C" w:rsidRPr="00066B5A" w:rsidRDefault="00C2072C" w:rsidP="0009403C">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02CB2" id="Rectangle 367" o:spid="_x0000_s1130" style="position:absolute;left:0;text-align:left;margin-left:55.2pt;margin-top:195.45pt;width:6.4pt;height:27.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" filled="f" strokecolor="#5f497a [2407]">
                <v:textbox>
                  <w:txbxContent>
                    <w:p w14:paraId="6D964B09" w14:textId="77777777" w:rsidR="00C2072C" w:rsidRPr="00066B5A" w:rsidRDefault="00C2072C" w:rsidP="0009403C">
                      <w:pPr>
                        <w:jc w:val="center"/>
                        <w:rPr>
                          <w:lang w:val="en-US"/>
                        </w:rPr>
                      </w:pPr>
                      <w:r>
                        <w:rPr>
                          <w:lang w:val="en-US"/>
                        </w:rPr>
                        <w:t xml:space="preserve"> </w:t>
                      </w:r>
                    </w:p>
                  </w:txbxContent>
                </v:textbox>
              </v:rect>
            </w:pict>
          </mc:Fallback>
        </mc:AlternateContent>
      </w:r>
      <w:r w:rsidR="007E3613" w:rsidRPr="007E3613">
        <w:rPr>
          <w:noProof/>
          <w:lang w:val="en-GB"/>
        </w:rPr>
        <mc:AlternateContent>
          <mc:Choice Requires="wps">
            <w:drawing>
              <wp:anchor distT="0" distB="0" distL="114300" distR="114300" simplePos="0" relativeHeight="251788288" behindDoc="0" locked="0" layoutInCell="1" allowOverlap="1" wp14:anchorId="288B5857" wp14:editId="3C4EDD4D">
                <wp:simplePos x="0" y="0"/>
                <wp:positionH relativeFrom="column">
                  <wp:posOffset>191135</wp:posOffset>
                </wp:positionH>
                <wp:positionV relativeFrom="paragraph">
                  <wp:posOffset>343363</wp:posOffset>
                </wp:positionV>
                <wp:extent cx="247015" cy="283845"/>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04FF926D"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5857" id="Text Box 212" o:spid="_x0000_s1131" type="#_x0000_t202" style="position:absolute;left:0;text-align:left;margin-left:15.05pt;margin-top:27.05pt;width:19.45pt;height:22.3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" fillcolor="white [3201]" stroked="f" strokeweight=".5pt">
                <v:textbox>
                  <w:txbxContent>
                    <w:p w14:paraId="04FF926D"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0CA67494" wp14:editId="5B5375AA">
            <wp:extent cx="4265125" cy="2835876"/>
            <wp:effectExtent l="0" t="0" r="254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AL.RA_Cluster.pdf"/>
                    <pic:cNvPicPr/>
                  </pic:nvPicPr>
                  <pic:blipFill rotWithShape="1">
                    <a:blip r:embed="rId264">
                      <a:extLst>
                        <a:ext uri="{28A0092B-C50C-407E-A947-70E740481C1C}">
                          <a14:useLocalDpi xmlns:a14="http://schemas.microsoft.com/office/drawing/2010/main" val="0"/>
                        </a:ext>
                      </a:extLst>
                    </a:blip>
                    <a:srcRect t="10145" r="4389"/>
                    <a:stretch/>
                  </pic:blipFill>
                  <pic:spPr bwMode="auto">
                    <a:xfrm>
                      <a:off x="0" y="0"/>
                      <a:ext cx="4275390" cy="2842701"/>
                    </a:xfrm>
                    <a:prstGeom prst="rect">
                      <a:avLst/>
                    </a:prstGeom>
                    <a:ln>
                      <a:noFill/>
                    </a:ln>
                    <a:extLst>
                      <a:ext uri="{53640926-AAD7-44D8-BBD7-CCE9431645EC}">
                        <a14:shadowObscured xmlns:a14="http://schemas.microsoft.com/office/drawing/2010/main"/>
                      </a:ext>
                    </a:extLst>
                  </pic:spPr>
                </pic:pic>
              </a:graphicData>
            </a:graphic>
          </wp:inline>
        </w:drawing>
      </w:r>
    </w:p>
    <w:p w14:paraId="45E21C66" w14:textId="77777777" w:rsidR="002F5A7E" w:rsidRPr="0082680A" w:rsidRDefault="002F5A7E" w:rsidP="002F5A7E">
      <w:pPr>
        <w:pStyle w:val="NoSpacing"/>
        <w:jc w:val="center"/>
        <w:rPr>
          <w:lang w:val="en-GB"/>
        </w:rPr>
      </w:pPr>
    </w:p>
    <w:p w14:paraId="00E0DFD0" w14:textId="5EE7BF19" w:rsidR="00F72F37" w:rsidRPr="0082680A" w:rsidRDefault="00F72F37" w:rsidP="002F5A7E">
      <w:pPr>
        <w:pStyle w:val="Caption"/>
        <w:rPr>
          <w:lang w:val="en-GB"/>
        </w:rPr>
      </w:pPr>
      <w:bookmarkStart w:id="434" w:name="_Toc3226038"/>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17</w:t>
      </w:r>
      <w:r w:rsidR="00F45096" w:rsidRPr="0082680A">
        <w:rPr>
          <w:noProof/>
          <w:lang w:val="en-GB"/>
        </w:rPr>
        <w:fldChar w:fldCharType="end"/>
      </w:r>
      <w:r w:rsidRPr="0082680A">
        <w:rPr>
          <w:lang w:val="en-GB"/>
        </w:rPr>
        <w:t xml:space="preserve">: </w:t>
      </w:r>
      <w:r w:rsidRPr="00A12256">
        <w:rPr>
          <w:szCs w:val="22"/>
          <w:lang w:val="en-GB"/>
        </w:rPr>
        <w:t>Quality control results for GSE89408</w:t>
      </w:r>
      <w:r w:rsidR="00A12256">
        <w:rPr>
          <w:szCs w:val="22"/>
          <w:lang w:val="en-GB"/>
        </w:rPr>
        <w:t xml:space="preserve">. </w:t>
      </w:r>
      <w:r w:rsidR="00A12256">
        <w:rPr>
          <w:lang w:val="en-GB"/>
        </w:rPr>
        <w:t>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34"/>
      <w:r w:rsidRPr="0082680A">
        <w:rPr>
          <w:szCs w:val="22"/>
          <w:lang w:val="en-GB"/>
        </w:rPr>
        <w:br w:type="page"/>
      </w:r>
    </w:p>
    <w:p w14:paraId="4DF6DFB7" w14:textId="452389A9" w:rsidR="00F72F37" w:rsidRPr="0082680A" w:rsidRDefault="007E3613" w:rsidP="002F5A7E">
      <w:pPr>
        <w:pStyle w:val="NoSpacing"/>
        <w:jc w:val="center"/>
        <w:rPr>
          <w:lang w:val="en-GB"/>
        </w:rPr>
      </w:pPr>
      <w:r w:rsidRPr="007E3613">
        <w:rPr>
          <w:noProof/>
          <w:lang w:val="en-GB"/>
        </w:rPr>
        <w:lastRenderedPageBreak/>
        <mc:AlternateContent>
          <mc:Choice Requires="wps">
            <w:drawing>
              <wp:anchor distT="0" distB="0" distL="114300" distR="114300" simplePos="0" relativeHeight="251790336" behindDoc="0" locked="0" layoutInCell="1" allowOverlap="1" wp14:anchorId="4E3B98BC" wp14:editId="38BD5573">
                <wp:simplePos x="0" y="0"/>
                <wp:positionH relativeFrom="column">
                  <wp:posOffset>383540</wp:posOffset>
                </wp:positionH>
                <wp:positionV relativeFrom="paragraph">
                  <wp:posOffset>103505</wp:posOffset>
                </wp:positionV>
                <wp:extent cx="247015" cy="283845"/>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79E88FC2"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3B98BC" id="Text Box 213" o:spid="_x0000_s1132" type="#_x0000_t202" style="position:absolute;left:0;text-align:left;margin-left:30.2pt;margin-top:8.15pt;width:19.45pt;height:22.3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" fillcolor="white [3201]" stroked="f" strokeweight=".5pt">
                <v:textbox>
                  <w:txbxContent>
                    <w:p w14:paraId="79E88FC2" w14:textId="77777777" w:rsidR="00C2072C" w:rsidRPr="00AF0B4A" w:rsidRDefault="00C2072C" w:rsidP="007E3613">
                      <w:pPr>
                        <w:rPr>
                          <w:rFonts w:asciiTheme="majorHAnsi" w:hAnsiTheme="majorHAnsi" w:cstheme="majorHAnsi"/>
                          <w:lang w:val="en-US"/>
                        </w:rPr>
                      </w:pPr>
                      <w:r w:rsidRPr="00AF0B4A">
                        <w:rPr>
                          <w:rFonts w:asciiTheme="majorHAnsi" w:hAnsiTheme="majorHAnsi" w:cstheme="majorHAnsi"/>
                          <w:lang w:val="en-US"/>
                        </w:rPr>
                        <w:t>A</w:t>
                      </w:r>
                    </w:p>
                  </w:txbxContent>
                </v:textbox>
              </v:shape>
            </w:pict>
          </mc:Fallback>
        </mc:AlternateContent>
      </w:r>
      <w:r w:rsidRPr="007E3613">
        <w:rPr>
          <w:noProof/>
          <w:lang w:val="en-GB"/>
        </w:rPr>
        <mc:AlternateContent>
          <mc:Choice Requires="wps">
            <w:drawing>
              <wp:anchor distT="0" distB="0" distL="114300" distR="114300" simplePos="0" relativeHeight="251791360" behindDoc="0" locked="0" layoutInCell="1" allowOverlap="1" wp14:anchorId="66ED7335" wp14:editId="393170B3">
                <wp:simplePos x="0" y="0"/>
                <wp:positionH relativeFrom="column">
                  <wp:posOffset>376555</wp:posOffset>
                </wp:positionH>
                <wp:positionV relativeFrom="paragraph">
                  <wp:posOffset>2454275</wp:posOffset>
                </wp:positionV>
                <wp:extent cx="247015" cy="283845"/>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5021AE95"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ED7335" id="Text Box 214" o:spid="_x0000_s1133" type="#_x0000_t202" style="position:absolute;left:0;text-align:left;margin-left:29.65pt;margin-top:193.25pt;width:19.45pt;height:22.35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" fillcolor="white [3201]" stroked="f" strokeweight=".5pt">
                <v:textbox>
                  <w:txbxContent>
                    <w:p w14:paraId="5021AE95"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r w:rsidRPr="007E3613">
        <w:rPr>
          <w:noProof/>
          <w:lang w:val="en-GB"/>
        </w:rPr>
        <mc:AlternateContent>
          <mc:Choice Requires="wps">
            <w:drawing>
              <wp:anchor distT="0" distB="0" distL="114300" distR="114300" simplePos="0" relativeHeight="251792384" behindDoc="0" locked="0" layoutInCell="1" allowOverlap="1" wp14:anchorId="7783016F" wp14:editId="3A3FB5E2">
                <wp:simplePos x="0" y="0"/>
                <wp:positionH relativeFrom="column">
                  <wp:posOffset>376555</wp:posOffset>
                </wp:positionH>
                <wp:positionV relativeFrom="paragraph">
                  <wp:posOffset>4784090</wp:posOffset>
                </wp:positionV>
                <wp:extent cx="247015" cy="283845"/>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247015" cy="283845"/>
                        </a:xfrm>
                        <a:prstGeom prst="rect">
                          <a:avLst/>
                        </a:prstGeom>
                        <a:solidFill>
                          <a:schemeClr val="lt1"/>
                        </a:solidFill>
                        <a:ln w="6350">
                          <a:noFill/>
                        </a:ln>
                      </wps:spPr>
                      <wps:txbx>
                        <w:txbxContent>
                          <w:p w14:paraId="4C777145"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83016F" id="Text Box 215" o:spid="_x0000_s1134" type="#_x0000_t202" style="position:absolute;left:0;text-align:left;margin-left:29.65pt;margin-top:376.7pt;width:19.45pt;height:22.3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" fillcolor="white [3201]" stroked="f" strokeweight=".5pt">
                <v:textbox>
                  <w:txbxContent>
                    <w:p w14:paraId="4C777145" w14:textId="77777777" w:rsidR="00C2072C" w:rsidRPr="00AF0B4A" w:rsidRDefault="00C2072C" w:rsidP="007E3613">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r w:rsidR="00F72F37" w:rsidRPr="0082680A">
        <w:rPr>
          <w:noProof/>
          <w:lang w:val="en-GB"/>
        </w:rPr>
        <w:drawing>
          <wp:inline distT="0" distB="0" distL="0" distR="0" wp14:anchorId="047F760D" wp14:editId="51229BCC">
            <wp:extent cx="3607700" cy="245281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RO_PCA.pdf"/>
                    <pic:cNvPicPr/>
                  </pic:nvPicPr>
                  <pic:blipFill rotWithShape="1">
                    <a:blip r:embed="rId265">
                      <a:extLst>
                        <a:ext uri="{28A0092B-C50C-407E-A947-70E740481C1C}">
                          <a14:useLocalDpi xmlns:a14="http://schemas.microsoft.com/office/drawing/2010/main" val="0"/>
                        </a:ext>
                      </a:extLst>
                    </a:blip>
                    <a:srcRect t="6903" r="2267" b="1733"/>
                    <a:stretch/>
                  </pic:blipFill>
                  <pic:spPr bwMode="auto">
                    <a:xfrm>
                      <a:off x="0" y="0"/>
                      <a:ext cx="3609379" cy="2453957"/>
                    </a:xfrm>
                    <a:prstGeom prst="rect">
                      <a:avLst/>
                    </a:prstGeom>
                    <a:ln>
                      <a:noFill/>
                    </a:ln>
                    <a:extLst>
                      <a:ext uri="{53640926-AAD7-44D8-BBD7-CCE9431645EC}">
                        <a14:shadowObscured xmlns:a14="http://schemas.microsoft.com/office/drawing/2010/main"/>
                      </a:ext>
                    </a:extLst>
                  </pic:spPr>
                </pic:pic>
              </a:graphicData>
            </a:graphic>
          </wp:inline>
        </w:drawing>
      </w:r>
    </w:p>
    <w:p w14:paraId="12F14F51" w14:textId="77777777" w:rsidR="00F72F37" w:rsidRPr="0082680A" w:rsidRDefault="00F72F37" w:rsidP="002F5A7E">
      <w:pPr>
        <w:pStyle w:val="NoSpacing"/>
        <w:jc w:val="center"/>
        <w:rPr>
          <w:lang w:val="en-GB"/>
        </w:rPr>
      </w:pPr>
      <w:r w:rsidRPr="0082680A">
        <w:rPr>
          <w:noProof/>
          <w:lang w:val="en-GB"/>
        </w:rPr>
        <w:drawing>
          <wp:inline distT="0" distB="0" distL="0" distR="0" wp14:anchorId="46DADA1B" wp14:editId="499B198B">
            <wp:extent cx="3736017" cy="213771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RO_Boxplot.pdf"/>
                    <pic:cNvPicPr/>
                  </pic:nvPicPr>
                  <pic:blipFill rotWithShape="1">
                    <a:blip r:embed="rId266" cstate="print">
                      <a:extLst>
                        <a:ext uri="{28A0092B-C50C-407E-A947-70E740481C1C}">
                          <a14:useLocalDpi xmlns:a14="http://schemas.microsoft.com/office/drawing/2010/main" val="0"/>
                        </a:ext>
                      </a:extLst>
                    </a:blip>
                    <a:srcRect l="1468" t="10606" r="3632" b="12604"/>
                    <a:stretch/>
                  </pic:blipFill>
                  <pic:spPr bwMode="auto">
                    <a:xfrm>
                      <a:off x="0" y="0"/>
                      <a:ext cx="3743117" cy="2141782"/>
                    </a:xfrm>
                    <a:prstGeom prst="rect">
                      <a:avLst/>
                    </a:prstGeom>
                    <a:ln>
                      <a:noFill/>
                    </a:ln>
                    <a:extLst>
                      <a:ext uri="{53640926-AAD7-44D8-BBD7-CCE9431645EC}">
                        <a14:shadowObscured xmlns:a14="http://schemas.microsoft.com/office/drawing/2010/main"/>
                      </a:ext>
                    </a:extLst>
                  </pic:spPr>
                </pic:pic>
              </a:graphicData>
            </a:graphic>
          </wp:inline>
        </w:drawing>
      </w:r>
    </w:p>
    <w:p w14:paraId="6AC0D5FD" w14:textId="2104753F" w:rsidR="00F72F37" w:rsidRDefault="00F72F37" w:rsidP="002F5A7E">
      <w:pPr>
        <w:pStyle w:val="NoSpacing"/>
        <w:jc w:val="center"/>
        <w:rPr>
          <w:lang w:val="en-GB"/>
        </w:rPr>
      </w:pPr>
      <w:r w:rsidRPr="0082680A">
        <w:rPr>
          <w:noProof/>
          <w:lang w:val="en-GB"/>
        </w:rPr>
        <w:drawing>
          <wp:inline distT="0" distB="0" distL="0" distR="0" wp14:anchorId="4E361FA8" wp14:editId="54000D20">
            <wp:extent cx="3802143" cy="216243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RO_Cluster.pdf"/>
                    <pic:cNvPicPr/>
                  </pic:nvPicPr>
                  <pic:blipFill rotWithShape="1">
                    <a:blip r:embed="rId267">
                      <a:extLst>
                        <a:ext uri="{28A0092B-C50C-407E-A947-70E740481C1C}">
                          <a14:useLocalDpi xmlns:a14="http://schemas.microsoft.com/office/drawing/2010/main" val="0"/>
                        </a:ext>
                      </a:extLst>
                    </a:blip>
                    <a:srcRect l="3606" t="5557" r="2231" b="18745"/>
                    <a:stretch/>
                  </pic:blipFill>
                  <pic:spPr bwMode="auto">
                    <a:xfrm>
                      <a:off x="0" y="0"/>
                      <a:ext cx="3811533" cy="2167773"/>
                    </a:xfrm>
                    <a:prstGeom prst="rect">
                      <a:avLst/>
                    </a:prstGeom>
                    <a:ln>
                      <a:noFill/>
                    </a:ln>
                    <a:extLst>
                      <a:ext uri="{53640926-AAD7-44D8-BBD7-CCE9431645EC}">
                        <a14:shadowObscured xmlns:a14="http://schemas.microsoft.com/office/drawing/2010/main"/>
                      </a:ext>
                    </a:extLst>
                  </pic:spPr>
                </pic:pic>
              </a:graphicData>
            </a:graphic>
          </wp:inline>
        </w:drawing>
      </w:r>
    </w:p>
    <w:p w14:paraId="4312A596" w14:textId="77777777" w:rsidR="002F5A7E" w:rsidRPr="0082680A" w:rsidRDefault="002F5A7E" w:rsidP="002F5A7E">
      <w:pPr>
        <w:pStyle w:val="NoSpacing"/>
        <w:jc w:val="center"/>
        <w:rPr>
          <w:lang w:val="en-GB"/>
        </w:rPr>
      </w:pPr>
    </w:p>
    <w:p w14:paraId="1E4F8BBA" w14:textId="7CCEEDDA" w:rsidR="00F72F37" w:rsidRPr="0082680A" w:rsidRDefault="00F72F37" w:rsidP="002F5A7E">
      <w:pPr>
        <w:pStyle w:val="Caption"/>
        <w:rPr>
          <w:lang w:val="en-GB"/>
        </w:rPr>
      </w:pPr>
      <w:bookmarkStart w:id="435" w:name="_Toc3226039"/>
      <w:r w:rsidRPr="0082680A">
        <w:rPr>
          <w:lang w:val="en-GB"/>
        </w:rPr>
        <w:t xml:space="preserve">Appendix Figure </w:t>
      </w:r>
      <w:r w:rsidR="00F45096" w:rsidRPr="0082680A">
        <w:rPr>
          <w:noProof/>
          <w:lang w:val="en-GB"/>
        </w:rPr>
        <w:fldChar w:fldCharType="begin"/>
      </w:r>
      <w:r w:rsidR="00F45096" w:rsidRPr="0082680A">
        <w:rPr>
          <w:noProof/>
          <w:lang w:val="en-GB"/>
        </w:rPr>
        <w:instrText xml:space="preserve"> SEQ Appendix_Figure \* ARABIC </w:instrText>
      </w:r>
      <w:r w:rsidR="00F45096" w:rsidRPr="0082680A">
        <w:rPr>
          <w:noProof/>
          <w:lang w:val="en-GB"/>
        </w:rPr>
        <w:fldChar w:fldCharType="separate"/>
      </w:r>
      <w:r w:rsidR="00066B5A">
        <w:rPr>
          <w:noProof/>
          <w:lang w:val="en-GB"/>
        </w:rPr>
        <w:t>18</w:t>
      </w:r>
      <w:r w:rsidR="00F45096" w:rsidRPr="0082680A">
        <w:rPr>
          <w:noProof/>
          <w:lang w:val="en-GB"/>
        </w:rPr>
        <w:fldChar w:fldCharType="end"/>
      </w:r>
      <w:r w:rsidRPr="0082680A">
        <w:rPr>
          <w:lang w:val="en-GB"/>
        </w:rPr>
        <w:t>:</w:t>
      </w:r>
      <w:r w:rsidRPr="0082680A">
        <w:rPr>
          <w:b w:val="0"/>
          <w:szCs w:val="22"/>
          <w:lang w:val="en-GB"/>
        </w:rPr>
        <w:t xml:space="preserve"> </w:t>
      </w:r>
      <w:r w:rsidRPr="00A12256">
        <w:rPr>
          <w:szCs w:val="22"/>
          <w:lang w:val="en-GB"/>
        </w:rPr>
        <w:t>Quality control results for GSE77298</w:t>
      </w:r>
      <w:r w:rsidR="00A12256">
        <w:rPr>
          <w:szCs w:val="22"/>
          <w:lang w:val="en-GB"/>
        </w:rPr>
        <w:t xml:space="preserve">. </w:t>
      </w:r>
      <w:r w:rsidR="00A12256">
        <w:rPr>
          <w:lang w:val="en-GB"/>
        </w:rPr>
        <w:t>A</w:t>
      </w:r>
      <w:r w:rsidR="00A12256">
        <w:rPr>
          <w:b w:val="0"/>
          <w:lang w:val="en-GB"/>
        </w:rPr>
        <w:t xml:space="preserve"> </w:t>
      </w:r>
      <w:proofErr w:type="gramStart"/>
      <w:r w:rsidR="00A12256">
        <w:rPr>
          <w:b w:val="0"/>
          <w:lang w:val="en-GB"/>
        </w:rPr>
        <w:t>shows</w:t>
      </w:r>
      <w:proofErr w:type="gramEnd"/>
      <w:r w:rsidR="00A12256">
        <w:rPr>
          <w:b w:val="0"/>
          <w:lang w:val="en-GB"/>
        </w:rPr>
        <w:t xml:space="preserve"> a PCA plot of all samples. </w:t>
      </w:r>
      <w:r w:rsidR="00A12256">
        <w:rPr>
          <w:lang w:val="en-GB"/>
        </w:rPr>
        <w:t>B</w:t>
      </w:r>
      <w:r w:rsidR="00A12256">
        <w:rPr>
          <w:b w:val="0"/>
          <w:lang w:val="en-GB"/>
        </w:rPr>
        <w:t xml:space="preserve"> shows a boxplot of the log2 expression of the genes in each sample. </w:t>
      </w:r>
      <w:r w:rsidR="00A12256">
        <w:rPr>
          <w:lang w:val="en-GB"/>
        </w:rPr>
        <w:t>C</w:t>
      </w:r>
      <w:r w:rsidR="00A12256">
        <w:rPr>
          <w:b w:val="0"/>
          <w:lang w:val="en-GB"/>
        </w:rPr>
        <w:t xml:space="preserve"> shows an unsupervised clustering dendrogram of all samples. All expression is non-normalised. Orange indicates patients, turquoise indicates controls</w:t>
      </w:r>
      <w:bookmarkEnd w:id="435"/>
    </w:p>
    <w:p w14:paraId="5BB30ED0" w14:textId="521A436D" w:rsidR="00F72F37" w:rsidRDefault="00F72F37" w:rsidP="00F72F37">
      <w:pPr>
        <w:rPr>
          <w:lang w:val="en-GB"/>
        </w:rPr>
      </w:pPr>
      <w:r w:rsidRPr="0082680A">
        <w:rPr>
          <w:lang w:val="en-GB"/>
        </w:rPr>
        <w:br w:type="page"/>
      </w:r>
    </w:p>
    <w:p w14:paraId="54998264" w14:textId="56045A69" w:rsidR="008F766F" w:rsidRDefault="005B0AF1" w:rsidP="00F72F37">
      <w:pPr>
        <w:rPr>
          <w:lang w:val="en-GB"/>
        </w:rPr>
      </w:pPr>
      <w:r w:rsidRPr="005B0AF1">
        <w:rPr>
          <w:noProof/>
          <w:lang w:val="en-GB"/>
        </w:rPr>
        <w:lastRenderedPageBreak/>
        <mc:AlternateContent>
          <mc:Choice Requires="wps">
            <w:drawing>
              <wp:anchor distT="0" distB="0" distL="114300" distR="114300" simplePos="0" relativeHeight="251908096" behindDoc="0" locked="0" layoutInCell="1" allowOverlap="1" wp14:anchorId="1CA3517A" wp14:editId="020E2B7C">
                <wp:simplePos x="0" y="0"/>
                <wp:positionH relativeFrom="column">
                  <wp:posOffset>-57199</wp:posOffset>
                </wp:positionH>
                <wp:positionV relativeFrom="paragraph">
                  <wp:posOffset>-125681</wp:posOffset>
                </wp:positionV>
                <wp:extent cx="247015" cy="233680"/>
                <wp:effectExtent l="0" t="0" r="0" b="0"/>
                <wp:wrapNone/>
                <wp:docPr id="344" name="Text Box 344"/>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7B648418"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A3517A" id="Text Box 344" o:spid="_x0000_s1135" type="#_x0000_t202" style="position:absolute;margin-left:-4.5pt;margin-top:-9.9pt;width:19.45pt;height:18.4pt;z-index:25190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" fillcolor="white [3201]" stroked="f" strokeweight=".5pt">
                <v:textbox>
                  <w:txbxContent>
                    <w:p w14:paraId="7B648418"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A</w:t>
                      </w:r>
                    </w:p>
                  </w:txbxContent>
                </v:textbox>
              </v:shape>
            </w:pict>
          </mc:Fallback>
        </mc:AlternateContent>
      </w:r>
      <w:r w:rsidR="008F766F" w:rsidRPr="00D64F3B">
        <w:rPr>
          <w:noProof/>
        </w:rPr>
        <w:drawing>
          <wp:anchor distT="0" distB="0" distL="114300" distR="114300" simplePos="0" relativeHeight="251898880" behindDoc="1" locked="0" layoutInCell="1" allowOverlap="1" wp14:anchorId="27A1C5F8" wp14:editId="648D3BF3">
            <wp:simplePos x="0" y="0"/>
            <wp:positionH relativeFrom="column">
              <wp:posOffset>2584450</wp:posOffset>
            </wp:positionH>
            <wp:positionV relativeFrom="paragraph">
              <wp:posOffset>0</wp:posOffset>
            </wp:positionV>
            <wp:extent cx="2008505" cy="1419860"/>
            <wp:effectExtent l="0" t="0" r="0" b="2540"/>
            <wp:wrapTight wrapText="bothSides">
              <wp:wrapPolygon edited="0">
                <wp:start x="0" y="0"/>
                <wp:lineTo x="0" y="21445"/>
                <wp:lineTo x="21443" y="21445"/>
                <wp:lineTo x="21443"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ER.RA_Boxplot.pdf"/>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008505" cy="1419860"/>
                    </a:xfrm>
                    <a:prstGeom prst="rect">
                      <a:avLst/>
                    </a:prstGeom>
                  </pic:spPr>
                </pic:pic>
              </a:graphicData>
            </a:graphic>
            <wp14:sizeRelH relativeFrom="page">
              <wp14:pctWidth>0</wp14:pctWidth>
            </wp14:sizeRelH>
            <wp14:sizeRelV relativeFrom="page">
              <wp14:pctHeight>0</wp14:pctHeight>
            </wp14:sizeRelV>
          </wp:anchor>
        </w:drawing>
      </w:r>
      <w:r w:rsidR="008F766F" w:rsidRPr="0082680A">
        <w:rPr>
          <w:noProof/>
          <w:lang w:val="en-GB"/>
        </w:rPr>
        <w:drawing>
          <wp:anchor distT="0" distB="0" distL="114300" distR="114300" simplePos="0" relativeHeight="251894784" behindDoc="1" locked="0" layoutInCell="1" allowOverlap="1" wp14:anchorId="556137A6" wp14:editId="1941B49E">
            <wp:simplePos x="0" y="0"/>
            <wp:positionH relativeFrom="column">
              <wp:posOffset>0</wp:posOffset>
            </wp:positionH>
            <wp:positionV relativeFrom="paragraph">
              <wp:posOffset>0</wp:posOffset>
            </wp:positionV>
            <wp:extent cx="2532185" cy="1463261"/>
            <wp:effectExtent l="0" t="0" r="0" b="0"/>
            <wp:wrapTight wrapText="bothSides">
              <wp:wrapPolygon edited="0">
                <wp:start x="0" y="0"/>
                <wp:lineTo x="0" y="21375"/>
                <wp:lineTo x="21454" y="21375"/>
                <wp:lineTo x="21454"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ER.RA_Boxplot.pdf"/>
                    <pic:cNvPicPr/>
                  </pic:nvPicPr>
                  <pic:blipFill rotWithShape="1">
                    <a:blip r:embed="rId269" cstate="print">
                      <a:extLst>
                        <a:ext uri="{28A0092B-C50C-407E-A947-70E740481C1C}">
                          <a14:useLocalDpi xmlns:a14="http://schemas.microsoft.com/office/drawing/2010/main" val="0"/>
                        </a:ext>
                      </a:extLst>
                    </a:blip>
                    <a:srcRect l="1249" t="10151" r="3389" b="11921"/>
                    <a:stretch/>
                  </pic:blipFill>
                  <pic:spPr bwMode="auto">
                    <a:xfrm>
                      <a:off x="0" y="0"/>
                      <a:ext cx="2532185" cy="14632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F68D45" w14:textId="07176DD4" w:rsidR="008F766F" w:rsidRDefault="005B0AF1" w:rsidP="00F72F37">
      <w:pPr>
        <w:rPr>
          <w:lang w:val="en-GB"/>
        </w:rPr>
      </w:pPr>
      <w:r w:rsidRPr="005B0AF1">
        <w:rPr>
          <w:noProof/>
          <w:lang w:val="en-GB"/>
        </w:rPr>
        <mc:AlternateContent>
          <mc:Choice Requires="wps">
            <w:drawing>
              <wp:anchor distT="0" distB="0" distL="114300" distR="114300" simplePos="0" relativeHeight="251912192" behindDoc="0" locked="0" layoutInCell="1" allowOverlap="1" wp14:anchorId="343AE6F1" wp14:editId="68D0886D">
                <wp:simplePos x="0" y="0"/>
                <wp:positionH relativeFrom="column">
                  <wp:posOffset>-59055</wp:posOffset>
                </wp:positionH>
                <wp:positionV relativeFrom="paragraph">
                  <wp:posOffset>5250815</wp:posOffset>
                </wp:positionV>
                <wp:extent cx="247015" cy="233680"/>
                <wp:effectExtent l="0" t="0" r="0" b="0"/>
                <wp:wrapNone/>
                <wp:docPr id="348" name="Text Box 348"/>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69B79F20"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3AE6F1" id="Text Box 348" o:spid="_x0000_s1136" type="#_x0000_t202" style="position:absolute;margin-left:-4.65pt;margin-top:413.45pt;width:19.45pt;height:18.4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" fillcolor="white [3201]" stroked="f" strokeweight=".5pt">
                <v:textbox>
                  <w:txbxContent>
                    <w:p w14:paraId="69B79F20"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E</w:t>
                      </w:r>
                    </w:p>
                  </w:txbxContent>
                </v:textbox>
              </v:shape>
            </w:pict>
          </mc:Fallback>
        </mc:AlternateContent>
      </w:r>
      <w:r w:rsidRPr="005B0AF1">
        <w:rPr>
          <w:noProof/>
          <w:lang w:val="en-GB"/>
        </w:rPr>
        <mc:AlternateContent>
          <mc:Choice Requires="wps">
            <w:drawing>
              <wp:anchor distT="0" distB="0" distL="114300" distR="114300" simplePos="0" relativeHeight="251913216" behindDoc="0" locked="0" layoutInCell="1" allowOverlap="1" wp14:anchorId="57C76892" wp14:editId="6E01D43F">
                <wp:simplePos x="0" y="0"/>
                <wp:positionH relativeFrom="column">
                  <wp:posOffset>4490720</wp:posOffset>
                </wp:positionH>
                <wp:positionV relativeFrom="paragraph">
                  <wp:posOffset>172720</wp:posOffset>
                </wp:positionV>
                <wp:extent cx="815975" cy="233680"/>
                <wp:effectExtent l="0" t="952" r="0" b="0"/>
                <wp:wrapNone/>
                <wp:docPr id="349" name="Text Box 349"/>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44607AAC" w14:textId="0F003DFF" w:rsidR="00C2072C" w:rsidRPr="00AF0B4A" w:rsidRDefault="00C2072C" w:rsidP="005B0AF1">
                            <w:pPr>
                              <w:rPr>
                                <w:rFonts w:asciiTheme="majorHAnsi" w:hAnsiTheme="majorHAnsi" w:cstheme="majorHAnsi"/>
                                <w:lang w:val="en-US"/>
                              </w:rPr>
                            </w:pPr>
                            <w:r w:rsidRPr="00D64F3B">
                              <w:t>GSE55457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76892" id="Text Box 349" o:spid="_x0000_s1137" type="#_x0000_t202" style="position:absolute;margin-left:353.6pt;margin-top:13.6pt;width:64.25pt;height:18.4pt;rotation:-9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" fillcolor="white [3201]" stroked="f" strokeweight=".5pt">
                <v:textbox>
                  <w:txbxContent>
                    <w:p w14:paraId="44607AAC" w14:textId="0F003DFF" w:rsidR="00C2072C" w:rsidRPr="00AF0B4A" w:rsidRDefault="00C2072C" w:rsidP="005B0AF1">
                      <w:pPr>
                        <w:rPr>
                          <w:rFonts w:asciiTheme="majorHAnsi" w:hAnsiTheme="majorHAnsi" w:cstheme="majorHAnsi"/>
                          <w:lang w:val="en-US"/>
                        </w:rPr>
                      </w:pPr>
                      <w:r w:rsidRPr="00D64F3B">
                        <w:t>GSE55457</w:t>
                      </w:r>
                    </w:p>
                  </w:txbxContent>
                </v:textbox>
              </v:shape>
            </w:pict>
          </mc:Fallback>
        </mc:AlternateContent>
      </w:r>
      <w:r w:rsidRPr="005B0AF1">
        <w:rPr>
          <w:noProof/>
          <w:lang w:val="en-GB"/>
        </w:rPr>
        <mc:AlternateContent>
          <mc:Choice Requires="wps">
            <w:drawing>
              <wp:anchor distT="0" distB="0" distL="114300" distR="114300" simplePos="0" relativeHeight="251914240" behindDoc="0" locked="0" layoutInCell="1" allowOverlap="1" wp14:anchorId="5964C78C" wp14:editId="1C93D291">
                <wp:simplePos x="0" y="0"/>
                <wp:positionH relativeFrom="column">
                  <wp:posOffset>4464685</wp:posOffset>
                </wp:positionH>
                <wp:positionV relativeFrom="paragraph">
                  <wp:posOffset>1628140</wp:posOffset>
                </wp:positionV>
                <wp:extent cx="873125" cy="233680"/>
                <wp:effectExtent l="2223" t="0" r="5397" b="5398"/>
                <wp:wrapNone/>
                <wp:docPr id="350" name="Text Box 350"/>
                <wp:cNvGraphicFramePr/>
                <a:graphic xmlns:a="http://schemas.openxmlformats.org/drawingml/2006/main">
                  <a:graphicData uri="http://schemas.microsoft.com/office/word/2010/wordprocessingShape">
                    <wps:wsp>
                      <wps:cNvSpPr txBox="1"/>
                      <wps:spPr>
                        <a:xfrm rot="16200000">
                          <a:off x="0" y="0"/>
                          <a:ext cx="873125" cy="233680"/>
                        </a:xfrm>
                        <a:prstGeom prst="rect">
                          <a:avLst/>
                        </a:prstGeom>
                        <a:solidFill>
                          <a:schemeClr val="lt1"/>
                        </a:solidFill>
                        <a:ln w="6350">
                          <a:noFill/>
                        </a:ln>
                      </wps:spPr>
                      <wps:txbx>
                        <w:txbxContent>
                          <w:p w14:paraId="444EEF7A" w14:textId="3BF76E8E" w:rsidR="00C2072C" w:rsidRPr="0080727C" w:rsidRDefault="00C2072C" w:rsidP="005B0AF1">
                            <w:pPr>
                              <w:rPr>
                                <w:rFonts w:asciiTheme="majorHAnsi" w:hAnsiTheme="majorHAnsi" w:cstheme="majorHAnsi"/>
                                <w:lang w:val="en-US"/>
                              </w:rPr>
                            </w:pPr>
                            <w:r w:rsidRPr="00D64F3B">
                              <w:t>GSE55235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4C78C" id="Text Box 350" o:spid="_x0000_s1138" type="#_x0000_t202" style="position:absolute;margin-left:351.55pt;margin-top:128.2pt;width:68.75pt;height:18.4pt;rotation:-90;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" fillcolor="white [3201]" stroked="f" strokeweight=".5pt">
                <v:textbox>
                  <w:txbxContent>
                    <w:p w14:paraId="444EEF7A" w14:textId="3BF76E8E" w:rsidR="00C2072C" w:rsidRPr="0080727C" w:rsidRDefault="00C2072C" w:rsidP="005B0AF1">
                      <w:pPr>
                        <w:rPr>
                          <w:rFonts w:asciiTheme="majorHAnsi" w:hAnsiTheme="majorHAnsi" w:cstheme="majorHAnsi"/>
                          <w:lang w:val="en-US"/>
                        </w:rPr>
                      </w:pPr>
                      <w:r w:rsidRPr="00D64F3B">
                        <w:t>GSE55235</w:t>
                      </w:r>
                    </w:p>
                  </w:txbxContent>
                </v:textbox>
              </v:shape>
            </w:pict>
          </mc:Fallback>
        </mc:AlternateContent>
      </w:r>
    </w:p>
    <w:p w14:paraId="555574B7" w14:textId="0DA07249" w:rsidR="008F766F" w:rsidRDefault="008F766F" w:rsidP="00F72F37">
      <w:pPr>
        <w:rPr>
          <w:lang w:val="en-GB"/>
        </w:rPr>
      </w:pPr>
    </w:p>
    <w:p w14:paraId="3412043B" w14:textId="758B8193" w:rsidR="008F766F" w:rsidRPr="008F766F" w:rsidRDefault="008F766F" w:rsidP="008F766F">
      <w:pPr>
        <w:rPr>
          <w:lang w:val="en-GB"/>
        </w:rPr>
      </w:pPr>
    </w:p>
    <w:p w14:paraId="03F6E762" w14:textId="6D6764A6" w:rsidR="008F766F" w:rsidRPr="008F766F" w:rsidRDefault="008F766F" w:rsidP="008F766F">
      <w:pPr>
        <w:rPr>
          <w:lang w:val="en-GB"/>
        </w:rPr>
      </w:pPr>
    </w:p>
    <w:p w14:paraId="4046C787" w14:textId="28DD0248" w:rsidR="008F766F" w:rsidRDefault="005B0AF1" w:rsidP="008F766F">
      <w:pPr>
        <w:rPr>
          <w:lang w:val="en-GB"/>
        </w:rPr>
      </w:pPr>
      <w:r w:rsidRPr="005B0AF1">
        <w:rPr>
          <w:noProof/>
          <w:lang w:val="en-GB"/>
        </w:rPr>
        <mc:AlternateContent>
          <mc:Choice Requires="wps">
            <w:drawing>
              <wp:anchor distT="0" distB="0" distL="114300" distR="114300" simplePos="0" relativeHeight="251909120" behindDoc="0" locked="0" layoutInCell="1" allowOverlap="1" wp14:anchorId="0FA46A08" wp14:editId="471BC932">
                <wp:simplePos x="0" y="0"/>
                <wp:positionH relativeFrom="column">
                  <wp:posOffset>-59690</wp:posOffset>
                </wp:positionH>
                <wp:positionV relativeFrom="paragraph">
                  <wp:posOffset>67945</wp:posOffset>
                </wp:positionV>
                <wp:extent cx="247015" cy="233680"/>
                <wp:effectExtent l="0" t="0" r="0" b="0"/>
                <wp:wrapNone/>
                <wp:docPr id="345" name="Text Box 345"/>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5A2C8C8C"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A46A08" id="Text Box 345" o:spid="_x0000_s1139" type="#_x0000_t202" style="position:absolute;margin-left:-4.7pt;margin-top:5.35pt;width:19.45pt;height:18.4pt;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" fillcolor="white [3201]" stroked="f" strokeweight=".5pt">
                <v:textbox>
                  <w:txbxContent>
                    <w:p w14:paraId="5A2C8C8C"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B</w:t>
                      </w:r>
                    </w:p>
                  </w:txbxContent>
                </v:textbox>
              </v:shape>
            </w:pict>
          </mc:Fallback>
        </mc:AlternateContent>
      </w:r>
    </w:p>
    <w:p w14:paraId="10FE6EE6" w14:textId="509DD514" w:rsidR="008F766F" w:rsidRPr="008F766F" w:rsidRDefault="008F766F" w:rsidP="008F766F">
      <w:pPr>
        <w:rPr>
          <w:lang w:val="en-GB"/>
        </w:rPr>
      </w:pPr>
      <w:r w:rsidRPr="0082680A">
        <w:rPr>
          <w:noProof/>
          <w:lang w:val="en-GB"/>
        </w:rPr>
        <w:drawing>
          <wp:anchor distT="0" distB="0" distL="114300" distR="114300" simplePos="0" relativeHeight="251895808" behindDoc="1" locked="0" layoutInCell="1" allowOverlap="1" wp14:anchorId="5D0CA307" wp14:editId="52781F82">
            <wp:simplePos x="0" y="0"/>
            <wp:positionH relativeFrom="column">
              <wp:posOffset>0</wp:posOffset>
            </wp:positionH>
            <wp:positionV relativeFrom="paragraph">
              <wp:posOffset>25400</wp:posOffset>
            </wp:positionV>
            <wp:extent cx="2531745" cy="1470025"/>
            <wp:effectExtent l="0" t="0" r="0" b="3175"/>
            <wp:wrapTight wrapText="bothSides">
              <wp:wrapPolygon edited="0">
                <wp:start x="0" y="0"/>
                <wp:lineTo x="0" y="21460"/>
                <wp:lineTo x="21454" y="21460"/>
                <wp:lineTo x="21454" y="0"/>
                <wp:lineTo x="0" y="0"/>
              </wp:wrapPolygon>
            </wp:wrapTight>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JEN.RA_Boxplot.pdf"/>
                    <pic:cNvPicPr/>
                  </pic:nvPicPr>
                  <pic:blipFill rotWithShape="1">
                    <a:blip r:embed="rId270" cstate="print">
                      <a:extLst>
                        <a:ext uri="{28A0092B-C50C-407E-A947-70E740481C1C}">
                          <a14:useLocalDpi xmlns:a14="http://schemas.microsoft.com/office/drawing/2010/main" val="0"/>
                        </a:ext>
                      </a:extLst>
                    </a:blip>
                    <a:srcRect l="1471" t="9936" r="4238" b="12640"/>
                    <a:stretch/>
                  </pic:blipFill>
                  <pic:spPr bwMode="auto">
                    <a:xfrm>
                      <a:off x="0" y="0"/>
                      <a:ext cx="2531745" cy="1470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F3B">
        <w:rPr>
          <w:noProof/>
        </w:rPr>
        <w:drawing>
          <wp:anchor distT="0" distB="0" distL="114300" distR="114300" simplePos="0" relativeHeight="251899904" behindDoc="1" locked="0" layoutInCell="1" allowOverlap="1" wp14:anchorId="657AF054" wp14:editId="6030FD73">
            <wp:simplePos x="0" y="0"/>
            <wp:positionH relativeFrom="column">
              <wp:posOffset>2583815</wp:posOffset>
            </wp:positionH>
            <wp:positionV relativeFrom="paragraph">
              <wp:posOffset>24960</wp:posOffset>
            </wp:positionV>
            <wp:extent cx="2063115" cy="1393190"/>
            <wp:effectExtent l="0" t="0" r="0" b="3810"/>
            <wp:wrapTight wrapText="bothSides">
              <wp:wrapPolygon edited="0">
                <wp:start x="0" y="0"/>
                <wp:lineTo x="0" y="21462"/>
                <wp:lineTo x="21407" y="21462"/>
                <wp:lineTo x="21407"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JEN.RA_Boxplot.pdf"/>
                    <pic:cNvPicPr/>
                  </pic:nvPicPr>
                  <pic:blipFill rotWithShape="1">
                    <a:blip r:embed="rId271" cstate="print">
                      <a:extLst>
                        <a:ext uri="{28A0092B-C50C-407E-A947-70E740481C1C}">
                          <a14:useLocalDpi xmlns:a14="http://schemas.microsoft.com/office/drawing/2010/main" val="0"/>
                        </a:ext>
                      </a:extLst>
                    </a:blip>
                    <a:srcRect b="4506"/>
                    <a:stretch/>
                  </pic:blipFill>
                  <pic:spPr bwMode="auto">
                    <a:xfrm>
                      <a:off x="0" y="0"/>
                      <a:ext cx="2063115" cy="1393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341119" w14:textId="3C0F89BC" w:rsidR="008F766F" w:rsidRDefault="008F766F" w:rsidP="008F766F">
      <w:pPr>
        <w:rPr>
          <w:lang w:val="en-GB"/>
        </w:rPr>
      </w:pPr>
    </w:p>
    <w:p w14:paraId="0183886E" w14:textId="0CAE917E" w:rsidR="008F766F" w:rsidRDefault="008F766F" w:rsidP="008F766F">
      <w:pPr>
        <w:rPr>
          <w:lang w:val="en-GB"/>
        </w:rPr>
      </w:pPr>
    </w:p>
    <w:p w14:paraId="0B5A0CA5" w14:textId="18A3BAFF" w:rsidR="008F766F" w:rsidRDefault="008F766F" w:rsidP="008F766F">
      <w:pPr>
        <w:rPr>
          <w:lang w:val="en-GB"/>
        </w:rPr>
      </w:pPr>
    </w:p>
    <w:p w14:paraId="5C498870" w14:textId="0C0410F0" w:rsidR="008F766F" w:rsidRDefault="008F766F" w:rsidP="008F766F">
      <w:pPr>
        <w:rPr>
          <w:lang w:val="en-GB"/>
        </w:rPr>
      </w:pPr>
    </w:p>
    <w:p w14:paraId="130A73B3" w14:textId="11B476A3" w:rsidR="008F766F" w:rsidRDefault="005B0AF1" w:rsidP="008F766F">
      <w:pPr>
        <w:rPr>
          <w:lang w:val="en-GB"/>
        </w:rPr>
      </w:pPr>
      <w:r w:rsidRPr="005B0AF1">
        <w:rPr>
          <w:noProof/>
          <w:lang w:val="en-GB"/>
        </w:rPr>
        <mc:AlternateContent>
          <mc:Choice Requires="wps">
            <w:drawing>
              <wp:anchor distT="0" distB="0" distL="114300" distR="114300" simplePos="0" relativeHeight="251910144" behindDoc="0" locked="0" layoutInCell="1" allowOverlap="1" wp14:anchorId="3F5D6C82" wp14:editId="5FEFDA73">
                <wp:simplePos x="0" y="0"/>
                <wp:positionH relativeFrom="column">
                  <wp:posOffset>-55880</wp:posOffset>
                </wp:positionH>
                <wp:positionV relativeFrom="paragraph">
                  <wp:posOffset>148394</wp:posOffset>
                </wp:positionV>
                <wp:extent cx="247015" cy="233680"/>
                <wp:effectExtent l="0" t="0" r="0" b="0"/>
                <wp:wrapNone/>
                <wp:docPr id="346" name="Text Box 346"/>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7A18AC33"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5D6C82" id="Text Box 346" o:spid="_x0000_s1140" type="#_x0000_t202" style="position:absolute;margin-left:-4.4pt;margin-top:11.7pt;width:19.45pt;height:18.4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" fillcolor="white [3201]" stroked="f" strokeweight=".5pt">
                <v:textbox>
                  <w:txbxContent>
                    <w:p w14:paraId="7A18AC33"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C</w:t>
                      </w:r>
                    </w:p>
                  </w:txbxContent>
                </v:textbox>
              </v:shape>
            </w:pict>
          </mc:Fallback>
        </mc:AlternateContent>
      </w:r>
    </w:p>
    <w:p w14:paraId="4CDFE685" w14:textId="1F7741B7" w:rsidR="008F766F" w:rsidRDefault="008F766F" w:rsidP="008F766F">
      <w:pPr>
        <w:rPr>
          <w:lang w:val="en-GB"/>
        </w:rPr>
      </w:pPr>
      <w:r w:rsidRPr="00D64F3B">
        <w:rPr>
          <w:noProof/>
        </w:rPr>
        <w:drawing>
          <wp:anchor distT="0" distB="0" distL="114300" distR="114300" simplePos="0" relativeHeight="251900928" behindDoc="0" locked="0" layoutInCell="1" allowOverlap="1" wp14:anchorId="6004980A" wp14:editId="2610B82E">
            <wp:simplePos x="0" y="0"/>
            <wp:positionH relativeFrom="column">
              <wp:posOffset>2584450</wp:posOffset>
            </wp:positionH>
            <wp:positionV relativeFrom="paragraph">
              <wp:posOffset>86360</wp:posOffset>
            </wp:positionV>
            <wp:extent cx="2063115" cy="1131570"/>
            <wp:effectExtent l="0" t="0" r="0" b="0"/>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AL.RA_Boxplot.pdf"/>
                    <pic:cNvPicPr/>
                  </pic:nvPicPr>
                  <pic:blipFill rotWithShape="1">
                    <a:blip r:embed="rId272" cstate="print">
                      <a:extLst>
                        <a:ext uri="{28A0092B-C50C-407E-A947-70E740481C1C}">
                          <a14:useLocalDpi xmlns:a14="http://schemas.microsoft.com/office/drawing/2010/main" val="0"/>
                        </a:ext>
                      </a:extLst>
                    </a:blip>
                    <a:srcRect b="22422"/>
                    <a:stretch/>
                  </pic:blipFill>
                  <pic:spPr bwMode="auto">
                    <a:xfrm>
                      <a:off x="0" y="0"/>
                      <a:ext cx="2063115" cy="1131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96832" behindDoc="1" locked="0" layoutInCell="1" allowOverlap="1" wp14:anchorId="074B547D" wp14:editId="7F73F672">
            <wp:simplePos x="0" y="0"/>
            <wp:positionH relativeFrom="column">
              <wp:posOffset>-2540</wp:posOffset>
            </wp:positionH>
            <wp:positionV relativeFrom="paragraph">
              <wp:posOffset>86800</wp:posOffset>
            </wp:positionV>
            <wp:extent cx="2544445" cy="1131570"/>
            <wp:effectExtent l="0" t="0" r="0" b="0"/>
            <wp:wrapTight wrapText="bothSides">
              <wp:wrapPolygon edited="0">
                <wp:start x="0" y="0"/>
                <wp:lineTo x="0" y="21333"/>
                <wp:lineTo x="21454" y="21333"/>
                <wp:lineTo x="21454"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AL.RA_Boxplot.pdf"/>
                    <pic:cNvPicPr/>
                  </pic:nvPicPr>
                  <pic:blipFill rotWithShape="1">
                    <a:blip r:embed="rId273" cstate="print">
                      <a:extLst>
                        <a:ext uri="{28A0092B-C50C-407E-A947-70E740481C1C}">
                          <a14:useLocalDpi xmlns:a14="http://schemas.microsoft.com/office/drawing/2010/main" val="0"/>
                        </a:ext>
                      </a:extLst>
                    </a:blip>
                    <a:srcRect l="1610" t="10240" r="4246" b="30553"/>
                    <a:stretch/>
                  </pic:blipFill>
                  <pic:spPr bwMode="auto">
                    <a:xfrm>
                      <a:off x="0" y="0"/>
                      <a:ext cx="2544445" cy="1131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E9C2C" w14:textId="6EEF2AA6" w:rsidR="008F766F" w:rsidRDefault="008F766F" w:rsidP="008F766F">
      <w:pPr>
        <w:rPr>
          <w:lang w:val="en-GB"/>
        </w:rPr>
      </w:pPr>
    </w:p>
    <w:p w14:paraId="6A425BFF" w14:textId="28FBE3F7" w:rsidR="008F766F" w:rsidRDefault="005B0AF1" w:rsidP="008F766F">
      <w:pPr>
        <w:rPr>
          <w:lang w:val="en-GB"/>
        </w:rPr>
      </w:pPr>
      <w:r w:rsidRPr="005B0AF1">
        <w:rPr>
          <w:noProof/>
          <w:lang w:val="en-GB"/>
        </w:rPr>
        <mc:AlternateContent>
          <mc:Choice Requires="wps">
            <w:drawing>
              <wp:anchor distT="0" distB="0" distL="114300" distR="114300" simplePos="0" relativeHeight="251916288" behindDoc="0" locked="0" layoutInCell="1" allowOverlap="1" wp14:anchorId="35DEFE4D" wp14:editId="12B35797">
                <wp:simplePos x="0" y="0"/>
                <wp:positionH relativeFrom="column">
                  <wp:posOffset>4487863</wp:posOffset>
                </wp:positionH>
                <wp:positionV relativeFrom="paragraph">
                  <wp:posOffset>59812</wp:posOffset>
                </wp:positionV>
                <wp:extent cx="835563" cy="233680"/>
                <wp:effectExtent l="0" t="4127" r="0" b="0"/>
                <wp:wrapNone/>
                <wp:docPr id="352" name="Text Box 352"/>
                <wp:cNvGraphicFramePr/>
                <a:graphic xmlns:a="http://schemas.openxmlformats.org/drawingml/2006/main">
                  <a:graphicData uri="http://schemas.microsoft.com/office/word/2010/wordprocessingShape">
                    <wps:wsp>
                      <wps:cNvSpPr txBox="1"/>
                      <wps:spPr>
                        <a:xfrm rot="16200000">
                          <a:off x="0" y="0"/>
                          <a:ext cx="835563" cy="233680"/>
                        </a:xfrm>
                        <a:prstGeom prst="rect">
                          <a:avLst/>
                        </a:prstGeom>
                        <a:solidFill>
                          <a:schemeClr val="lt1"/>
                        </a:solidFill>
                        <a:ln w="6350">
                          <a:noFill/>
                        </a:ln>
                      </wps:spPr>
                      <wps:txbx>
                        <w:txbxContent>
                          <w:p w14:paraId="4D315F32" w14:textId="69B1F55C" w:rsidR="00C2072C" w:rsidRPr="00AF0B4A" w:rsidRDefault="00C2072C" w:rsidP="005B0AF1">
                            <w:pPr>
                              <w:rPr>
                                <w:rFonts w:asciiTheme="majorHAnsi" w:hAnsiTheme="majorHAnsi" w:cstheme="majorHAnsi"/>
                                <w:lang w:val="en-US"/>
                              </w:rPr>
                            </w:pPr>
                            <w:r w:rsidRPr="00D64F3B">
                              <w:t>GSE89408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EFE4D" id="Text Box 352" o:spid="_x0000_s1141" type="#_x0000_t202" style="position:absolute;margin-left:353.4pt;margin-top:4.7pt;width:65.8pt;height:18.4pt;rotation:-9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" fillcolor="white [3201]" stroked="f" strokeweight=".5pt">
                <v:textbox>
                  <w:txbxContent>
                    <w:p w14:paraId="4D315F32" w14:textId="69B1F55C" w:rsidR="00C2072C" w:rsidRPr="00AF0B4A" w:rsidRDefault="00C2072C" w:rsidP="005B0AF1">
                      <w:pPr>
                        <w:rPr>
                          <w:rFonts w:asciiTheme="majorHAnsi" w:hAnsiTheme="majorHAnsi" w:cstheme="majorHAnsi"/>
                          <w:lang w:val="en-US"/>
                        </w:rPr>
                      </w:pPr>
                      <w:r w:rsidRPr="00D64F3B">
                        <w:t>GSE89408</w:t>
                      </w:r>
                    </w:p>
                  </w:txbxContent>
                </v:textbox>
              </v:shape>
            </w:pict>
          </mc:Fallback>
        </mc:AlternateContent>
      </w:r>
    </w:p>
    <w:p w14:paraId="69C51603" w14:textId="04902584" w:rsidR="008F766F" w:rsidRDefault="008F766F" w:rsidP="008F766F">
      <w:pPr>
        <w:rPr>
          <w:lang w:val="en-GB"/>
        </w:rPr>
      </w:pPr>
    </w:p>
    <w:p w14:paraId="63822D81" w14:textId="14189EA2" w:rsidR="008F766F" w:rsidRDefault="008F766F" w:rsidP="008F766F">
      <w:pPr>
        <w:rPr>
          <w:lang w:val="en-GB"/>
        </w:rPr>
      </w:pPr>
    </w:p>
    <w:p w14:paraId="0F8A6E7E" w14:textId="2A2783F3" w:rsidR="008F766F" w:rsidRDefault="005B0AF1" w:rsidP="008F766F">
      <w:pPr>
        <w:rPr>
          <w:lang w:val="en-GB"/>
        </w:rPr>
      </w:pPr>
      <w:r w:rsidRPr="005B0AF1">
        <w:rPr>
          <w:noProof/>
          <w:lang w:val="en-GB"/>
        </w:rPr>
        <mc:AlternateContent>
          <mc:Choice Requires="wps">
            <w:drawing>
              <wp:anchor distT="0" distB="0" distL="114300" distR="114300" simplePos="0" relativeHeight="251911168" behindDoc="0" locked="0" layoutInCell="1" allowOverlap="1" wp14:anchorId="0DA20073" wp14:editId="7554EC6B">
                <wp:simplePos x="0" y="0"/>
                <wp:positionH relativeFrom="column">
                  <wp:posOffset>-56271</wp:posOffset>
                </wp:positionH>
                <wp:positionV relativeFrom="paragraph">
                  <wp:posOffset>101991</wp:posOffset>
                </wp:positionV>
                <wp:extent cx="247015" cy="233680"/>
                <wp:effectExtent l="0" t="0" r="0" b="0"/>
                <wp:wrapNone/>
                <wp:docPr id="347" name="Text Box 347"/>
                <wp:cNvGraphicFramePr/>
                <a:graphic xmlns:a="http://schemas.openxmlformats.org/drawingml/2006/main">
                  <a:graphicData uri="http://schemas.microsoft.com/office/word/2010/wordprocessingShape">
                    <wps:wsp>
                      <wps:cNvSpPr txBox="1"/>
                      <wps:spPr>
                        <a:xfrm>
                          <a:off x="0" y="0"/>
                          <a:ext cx="247015" cy="233680"/>
                        </a:xfrm>
                        <a:prstGeom prst="rect">
                          <a:avLst/>
                        </a:prstGeom>
                        <a:solidFill>
                          <a:schemeClr val="lt1"/>
                        </a:solidFill>
                        <a:ln w="6350">
                          <a:noFill/>
                        </a:ln>
                      </wps:spPr>
                      <wps:txbx>
                        <w:txbxContent>
                          <w:p w14:paraId="1F931C76"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A20073" id="Text Box 347" o:spid="_x0000_s1142" type="#_x0000_t202" style="position:absolute;margin-left:-4.45pt;margin-top:8.05pt;width:19.45pt;height:18.4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" fillcolor="white [3201]" stroked="f" strokeweight=".5pt">
                <v:textbox>
                  <w:txbxContent>
                    <w:p w14:paraId="1F931C76" w14:textId="77777777" w:rsidR="00C2072C" w:rsidRPr="00AF0B4A" w:rsidRDefault="00C2072C" w:rsidP="005B0AF1">
                      <w:pPr>
                        <w:rPr>
                          <w:rFonts w:asciiTheme="majorHAnsi" w:hAnsiTheme="majorHAnsi" w:cstheme="majorHAnsi"/>
                          <w:lang w:val="en-US"/>
                        </w:rPr>
                      </w:pPr>
                      <w:r>
                        <w:rPr>
                          <w:rFonts w:asciiTheme="majorHAnsi" w:hAnsiTheme="majorHAnsi" w:cstheme="majorHAnsi"/>
                          <w:lang w:val="en-US"/>
                        </w:rPr>
                        <w:t>D</w:t>
                      </w:r>
                    </w:p>
                  </w:txbxContent>
                </v:textbox>
              </v:shape>
            </w:pict>
          </mc:Fallback>
        </mc:AlternateContent>
      </w:r>
      <w:r w:rsidRPr="00D64F3B">
        <w:rPr>
          <w:noProof/>
        </w:rPr>
        <w:drawing>
          <wp:anchor distT="0" distB="0" distL="114300" distR="114300" simplePos="0" relativeHeight="251901952" behindDoc="1" locked="0" layoutInCell="1" allowOverlap="1" wp14:anchorId="3E363854" wp14:editId="7FC1EEA7">
            <wp:simplePos x="0" y="0"/>
            <wp:positionH relativeFrom="column">
              <wp:posOffset>2606040</wp:posOffset>
            </wp:positionH>
            <wp:positionV relativeFrom="paragraph">
              <wp:posOffset>148590</wp:posOffset>
            </wp:positionV>
            <wp:extent cx="2039620" cy="1380490"/>
            <wp:effectExtent l="0" t="0" r="5080" b="3810"/>
            <wp:wrapTight wrapText="bothSides">
              <wp:wrapPolygon edited="0">
                <wp:start x="0" y="0"/>
                <wp:lineTo x="0" y="21461"/>
                <wp:lineTo x="21519" y="21461"/>
                <wp:lineTo x="21519" y="0"/>
                <wp:lineTo x="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RO_Boxplot.pdf"/>
                    <pic:cNvPicPr/>
                  </pic:nvPicPr>
                  <pic:blipFill rotWithShape="1">
                    <a:blip r:embed="rId274" cstate="print">
                      <a:extLst>
                        <a:ext uri="{28A0092B-C50C-407E-A947-70E740481C1C}">
                          <a14:useLocalDpi xmlns:a14="http://schemas.microsoft.com/office/drawing/2010/main" val="0"/>
                        </a:ext>
                      </a:extLst>
                    </a:blip>
                    <a:srcRect b="4290"/>
                    <a:stretch/>
                  </pic:blipFill>
                  <pic:spPr bwMode="auto">
                    <a:xfrm>
                      <a:off x="0" y="0"/>
                      <a:ext cx="2039620" cy="138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680A">
        <w:rPr>
          <w:noProof/>
          <w:lang w:val="en-GB"/>
        </w:rPr>
        <w:drawing>
          <wp:anchor distT="0" distB="0" distL="114300" distR="114300" simplePos="0" relativeHeight="251897856" behindDoc="1" locked="0" layoutInCell="1" allowOverlap="1" wp14:anchorId="09684B16" wp14:editId="58D1804E">
            <wp:simplePos x="0" y="0"/>
            <wp:positionH relativeFrom="column">
              <wp:posOffset>0</wp:posOffset>
            </wp:positionH>
            <wp:positionV relativeFrom="paragraph">
              <wp:posOffset>153230</wp:posOffset>
            </wp:positionV>
            <wp:extent cx="2544445" cy="1455420"/>
            <wp:effectExtent l="0" t="0" r="0" b="5080"/>
            <wp:wrapTight wrapText="bothSides">
              <wp:wrapPolygon edited="0">
                <wp:start x="0" y="0"/>
                <wp:lineTo x="0" y="21487"/>
                <wp:lineTo x="21454" y="21487"/>
                <wp:lineTo x="21454"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RO_Boxplot.pdf"/>
                    <pic:cNvPicPr/>
                  </pic:nvPicPr>
                  <pic:blipFill rotWithShape="1">
                    <a:blip r:embed="rId275" cstate="print">
                      <a:extLst>
                        <a:ext uri="{28A0092B-C50C-407E-A947-70E740481C1C}">
                          <a14:useLocalDpi xmlns:a14="http://schemas.microsoft.com/office/drawing/2010/main" val="0"/>
                        </a:ext>
                      </a:extLst>
                    </a:blip>
                    <a:srcRect l="1468" t="10606" r="3632" b="12604"/>
                    <a:stretch/>
                  </pic:blipFill>
                  <pic:spPr bwMode="auto">
                    <a:xfrm>
                      <a:off x="0" y="0"/>
                      <a:ext cx="2544445" cy="1455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40602A" w14:textId="5464AA96" w:rsidR="008F766F" w:rsidRDefault="008F766F" w:rsidP="008F766F">
      <w:pPr>
        <w:rPr>
          <w:lang w:val="en-GB"/>
        </w:rPr>
      </w:pPr>
    </w:p>
    <w:p w14:paraId="764DC003" w14:textId="1C4037D0" w:rsidR="008F766F" w:rsidRDefault="005B0AF1" w:rsidP="008F766F">
      <w:pPr>
        <w:rPr>
          <w:lang w:val="en-GB"/>
        </w:rPr>
      </w:pPr>
      <w:r w:rsidRPr="005B0AF1">
        <w:rPr>
          <w:noProof/>
          <w:lang w:val="en-GB"/>
        </w:rPr>
        <mc:AlternateContent>
          <mc:Choice Requires="wps">
            <w:drawing>
              <wp:anchor distT="0" distB="0" distL="114300" distR="114300" simplePos="0" relativeHeight="251917312" behindDoc="0" locked="0" layoutInCell="1" allowOverlap="1" wp14:anchorId="7F27BB52" wp14:editId="1479F625">
                <wp:simplePos x="0" y="0"/>
                <wp:positionH relativeFrom="column">
                  <wp:posOffset>4490402</wp:posOffset>
                </wp:positionH>
                <wp:positionV relativeFrom="paragraph">
                  <wp:posOffset>164196</wp:posOffset>
                </wp:positionV>
                <wp:extent cx="815975" cy="233680"/>
                <wp:effectExtent l="0" t="952" r="0" b="0"/>
                <wp:wrapNone/>
                <wp:docPr id="353" name="Text Box 353"/>
                <wp:cNvGraphicFramePr/>
                <a:graphic xmlns:a="http://schemas.openxmlformats.org/drawingml/2006/main">
                  <a:graphicData uri="http://schemas.microsoft.com/office/word/2010/wordprocessingShape">
                    <wps:wsp>
                      <wps:cNvSpPr txBox="1"/>
                      <wps:spPr>
                        <a:xfrm rot="16200000">
                          <a:off x="0" y="0"/>
                          <a:ext cx="815975" cy="233680"/>
                        </a:xfrm>
                        <a:prstGeom prst="rect">
                          <a:avLst/>
                        </a:prstGeom>
                        <a:solidFill>
                          <a:schemeClr val="lt1"/>
                        </a:solidFill>
                        <a:ln w="6350">
                          <a:noFill/>
                        </a:ln>
                      </wps:spPr>
                      <wps:txbx>
                        <w:txbxContent>
                          <w:p w14:paraId="7A1DE783" w14:textId="6475E21A" w:rsidR="00C2072C" w:rsidRPr="00AF0B4A" w:rsidRDefault="00C2072C" w:rsidP="005B0AF1">
                            <w:pPr>
                              <w:rPr>
                                <w:rFonts w:asciiTheme="majorHAnsi" w:hAnsiTheme="majorHAnsi" w:cstheme="majorHAnsi"/>
                                <w:lang w:val="en-US"/>
                              </w:rPr>
                            </w:pPr>
                            <w:r w:rsidRPr="00D64F3B">
                              <w:t>GSE77298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7BB52" id="Text Box 353" o:spid="_x0000_s1143" type="#_x0000_t202" style="position:absolute;margin-left:353.55pt;margin-top:12.95pt;width:64.25pt;height:18.4pt;rotation:-90;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" fillcolor="white [3201]" stroked="f" strokeweight=".5pt">
                <v:textbox>
                  <w:txbxContent>
                    <w:p w14:paraId="7A1DE783" w14:textId="6475E21A" w:rsidR="00C2072C" w:rsidRPr="00AF0B4A" w:rsidRDefault="00C2072C" w:rsidP="005B0AF1">
                      <w:pPr>
                        <w:rPr>
                          <w:rFonts w:asciiTheme="majorHAnsi" w:hAnsiTheme="majorHAnsi" w:cstheme="majorHAnsi"/>
                          <w:lang w:val="en-US"/>
                        </w:rPr>
                      </w:pPr>
                      <w:r w:rsidRPr="00D64F3B">
                        <w:t>GSE77298</w:t>
                      </w:r>
                    </w:p>
                  </w:txbxContent>
                </v:textbox>
              </v:shape>
            </w:pict>
          </mc:Fallback>
        </mc:AlternateContent>
      </w:r>
    </w:p>
    <w:p w14:paraId="78908DB6" w14:textId="46BF71C1" w:rsidR="008F766F" w:rsidRDefault="008F766F" w:rsidP="008F766F">
      <w:pPr>
        <w:rPr>
          <w:lang w:val="en-GB"/>
        </w:rPr>
      </w:pPr>
    </w:p>
    <w:p w14:paraId="3203632B" w14:textId="5062775A" w:rsidR="008F766F" w:rsidRDefault="008F766F" w:rsidP="008F766F">
      <w:pPr>
        <w:rPr>
          <w:lang w:val="en-GB"/>
        </w:rPr>
      </w:pPr>
    </w:p>
    <w:p w14:paraId="6C89998D" w14:textId="603908FF" w:rsidR="008F766F" w:rsidRDefault="008F766F" w:rsidP="008F766F">
      <w:pPr>
        <w:rPr>
          <w:lang w:val="en-GB"/>
        </w:rPr>
      </w:pPr>
    </w:p>
    <w:p w14:paraId="77EF38D0" w14:textId="79BF64D7" w:rsidR="008F766F" w:rsidRDefault="005B0AF1" w:rsidP="008F766F">
      <w:pPr>
        <w:rPr>
          <w:lang w:val="en-GB"/>
        </w:rPr>
      </w:pPr>
      <w:r w:rsidRPr="00D64F3B">
        <w:rPr>
          <w:noProof/>
        </w:rPr>
        <w:drawing>
          <wp:anchor distT="0" distB="0" distL="114300" distR="114300" simplePos="0" relativeHeight="251902976" behindDoc="1" locked="0" layoutInCell="1" allowOverlap="1" wp14:anchorId="3D8E709D" wp14:editId="53BD1234">
            <wp:simplePos x="0" y="0"/>
            <wp:positionH relativeFrom="column">
              <wp:posOffset>2607310</wp:posOffset>
            </wp:positionH>
            <wp:positionV relativeFrom="paragraph">
              <wp:posOffset>217756</wp:posOffset>
            </wp:positionV>
            <wp:extent cx="2063115" cy="1336040"/>
            <wp:effectExtent l="0" t="0" r="0" b="0"/>
            <wp:wrapTight wrapText="bothSides">
              <wp:wrapPolygon edited="0">
                <wp:start x="0" y="0"/>
                <wp:lineTo x="0" y="21354"/>
                <wp:lineTo x="21407" y="21354"/>
                <wp:lineTo x="21407"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OL_Boxplot.pdf"/>
                    <pic:cNvPicPr/>
                  </pic:nvPicPr>
                  <pic:blipFill rotWithShape="1">
                    <a:blip r:embed="rId276" cstate="print">
                      <a:extLst>
                        <a:ext uri="{28A0092B-C50C-407E-A947-70E740481C1C}">
                          <a14:useLocalDpi xmlns:a14="http://schemas.microsoft.com/office/drawing/2010/main" val="0"/>
                        </a:ext>
                      </a:extLst>
                    </a:blip>
                    <a:srcRect b="8400"/>
                    <a:stretch/>
                  </pic:blipFill>
                  <pic:spPr bwMode="auto">
                    <a:xfrm>
                      <a:off x="0" y="0"/>
                      <a:ext cx="2063115" cy="1336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rPr>
        <w:drawing>
          <wp:anchor distT="0" distB="0" distL="114300" distR="114300" simplePos="0" relativeHeight="251904000" behindDoc="1" locked="0" layoutInCell="1" allowOverlap="1" wp14:anchorId="079B8888" wp14:editId="4E850C69">
            <wp:simplePos x="0" y="0"/>
            <wp:positionH relativeFrom="column">
              <wp:posOffset>-12798</wp:posOffset>
            </wp:positionH>
            <wp:positionV relativeFrom="paragraph">
              <wp:posOffset>217903</wp:posOffset>
            </wp:positionV>
            <wp:extent cx="2541905" cy="1328420"/>
            <wp:effectExtent l="0" t="0" r="0" b="5080"/>
            <wp:wrapTight wrapText="bothSides">
              <wp:wrapPolygon edited="0">
                <wp:start x="0" y="0"/>
                <wp:lineTo x="0" y="21476"/>
                <wp:lineTo x="21476" y="21476"/>
                <wp:lineTo x="21476" y="0"/>
                <wp:lineTo x="0" y="0"/>
              </wp:wrapPolygon>
            </wp:wrapTight>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A_DOL_Boxplot.jpg"/>
                    <pic:cNvPicPr/>
                  </pic:nvPicPr>
                  <pic:blipFill rotWithShape="1">
                    <a:blip r:embed="rId277" cstate="print">
                      <a:extLst>
                        <a:ext uri="{28A0092B-C50C-407E-A947-70E740481C1C}">
                          <a14:useLocalDpi xmlns:a14="http://schemas.microsoft.com/office/drawing/2010/main" val="0"/>
                        </a:ext>
                      </a:extLst>
                    </a:blip>
                    <a:srcRect t="10529" r="3837" b="18416"/>
                    <a:stretch/>
                  </pic:blipFill>
                  <pic:spPr bwMode="auto">
                    <a:xfrm>
                      <a:off x="0" y="0"/>
                      <a:ext cx="2541905" cy="1328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558CDE" w14:textId="211056E2" w:rsidR="008F766F" w:rsidRPr="008F766F" w:rsidRDefault="005B0AF1" w:rsidP="008F766F">
      <w:pPr>
        <w:rPr>
          <w:lang w:val="en-GB"/>
        </w:rPr>
      </w:pPr>
      <w:r w:rsidRPr="005B0AF1">
        <w:rPr>
          <w:noProof/>
          <w:lang w:val="en-GB"/>
        </w:rPr>
        <mc:AlternateContent>
          <mc:Choice Requires="wps">
            <w:drawing>
              <wp:anchor distT="0" distB="0" distL="114300" distR="114300" simplePos="0" relativeHeight="251915264" behindDoc="0" locked="0" layoutInCell="1" allowOverlap="1" wp14:anchorId="0E678B82" wp14:editId="5FFC6670">
                <wp:simplePos x="0" y="0"/>
                <wp:positionH relativeFrom="column">
                  <wp:posOffset>4304982</wp:posOffset>
                </wp:positionH>
                <wp:positionV relativeFrom="paragraph">
                  <wp:posOffset>466261</wp:posOffset>
                </wp:positionV>
                <wp:extent cx="1189478" cy="233680"/>
                <wp:effectExtent l="0" t="4762" r="0" b="0"/>
                <wp:wrapNone/>
                <wp:docPr id="351" name="Text Box 351"/>
                <wp:cNvGraphicFramePr/>
                <a:graphic xmlns:a="http://schemas.openxmlformats.org/drawingml/2006/main">
                  <a:graphicData uri="http://schemas.microsoft.com/office/word/2010/wordprocessingShape">
                    <wps:wsp>
                      <wps:cNvSpPr txBox="1"/>
                      <wps:spPr>
                        <a:xfrm rot="16200000">
                          <a:off x="0" y="0"/>
                          <a:ext cx="1189478" cy="233680"/>
                        </a:xfrm>
                        <a:prstGeom prst="rect">
                          <a:avLst/>
                        </a:prstGeom>
                        <a:solidFill>
                          <a:schemeClr val="lt1"/>
                        </a:solidFill>
                        <a:ln w="6350">
                          <a:noFill/>
                        </a:ln>
                      </wps:spPr>
                      <wps:txbx>
                        <w:txbxContent>
                          <w:p w14:paraId="6522DEF5" w14:textId="77777777" w:rsidR="00C2072C" w:rsidRPr="00D64F3B" w:rsidRDefault="00C2072C" w:rsidP="005B0AF1">
                            <w:pPr>
                              <w:pStyle w:val="Caption"/>
                              <w:jc w:val="center"/>
                            </w:pPr>
                            <w:r w:rsidRPr="0047553A">
                              <w:rPr>
                                <w:b w:val="0"/>
                              </w:rPr>
                              <w:t>E-MTAB-3201</w:t>
                            </w:r>
                          </w:p>
                          <w:p w14:paraId="2345F0BE" w14:textId="62F17BAF" w:rsidR="00C2072C" w:rsidRPr="00AF0B4A" w:rsidRDefault="00C2072C" w:rsidP="005B0AF1">
                            <w:pPr>
                              <w:rPr>
                                <w:rFonts w:asciiTheme="majorHAnsi" w:hAnsiTheme="majorHAnsi" w:cstheme="majorHAnsi"/>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78B82" id="Text Box 351" o:spid="_x0000_s1144" type="#_x0000_t202" style="position:absolute;margin-left:338.95pt;margin-top:36.7pt;width:93.65pt;height:18.4pt;rotation:-90;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" fillcolor="white [3201]" stroked="f" strokeweight=".5pt">
                <v:textbox>
                  <w:txbxContent>
                    <w:p w14:paraId="6522DEF5" w14:textId="77777777" w:rsidR="00C2072C" w:rsidRPr="00D64F3B" w:rsidRDefault="00C2072C" w:rsidP="005B0AF1">
                      <w:pPr>
                        <w:pStyle w:val="Caption"/>
                        <w:jc w:val="center"/>
                      </w:pPr>
                      <w:r w:rsidRPr="0047553A">
                        <w:rPr>
                          <w:b w:val="0"/>
                        </w:rPr>
                        <w:t>E-MTAB-3201</w:t>
                      </w:r>
                    </w:p>
                    <w:p w14:paraId="2345F0BE" w14:textId="62F17BAF" w:rsidR="00C2072C" w:rsidRPr="00AF0B4A" w:rsidRDefault="00C2072C" w:rsidP="005B0AF1">
                      <w:pPr>
                        <w:rPr>
                          <w:rFonts w:asciiTheme="majorHAnsi" w:hAnsiTheme="majorHAnsi" w:cstheme="majorHAnsi"/>
                          <w:lang w:val="en-US"/>
                        </w:rPr>
                      </w:pPr>
                    </w:p>
                  </w:txbxContent>
                </v:textbox>
              </v:shape>
            </w:pict>
          </mc:Fallback>
        </mc:AlternateContent>
      </w:r>
      <w:r>
        <w:rPr>
          <w:noProof/>
        </w:rPr>
        <mc:AlternateContent>
          <mc:Choice Requires="wps">
            <w:drawing>
              <wp:anchor distT="0" distB="0" distL="114300" distR="114300" simplePos="0" relativeHeight="251906048" behindDoc="1" locked="0" layoutInCell="1" allowOverlap="1" wp14:anchorId="59CD9413" wp14:editId="07CF33D3">
                <wp:simplePos x="0" y="0"/>
                <wp:positionH relativeFrom="column">
                  <wp:posOffset>-10160</wp:posOffset>
                </wp:positionH>
                <wp:positionV relativeFrom="paragraph">
                  <wp:posOffset>1368425</wp:posOffset>
                </wp:positionV>
                <wp:extent cx="4798060" cy="635"/>
                <wp:effectExtent l="0" t="0" r="2540" b="0"/>
                <wp:wrapTight wrapText="bothSides">
                  <wp:wrapPolygon edited="0">
                    <wp:start x="0" y="0"/>
                    <wp:lineTo x="0" y="21314"/>
                    <wp:lineTo x="21554" y="21314"/>
                    <wp:lineTo x="21554" y="0"/>
                    <wp:lineTo x="0" y="0"/>
                  </wp:wrapPolygon>
                </wp:wrapTight>
                <wp:docPr id="343" name="Text Box 343"/>
                <wp:cNvGraphicFramePr/>
                <a:graphic xmlns:a="http://schemas.openxmlformats.org/drawingml/2006/main">
                  <a:graphicData uri="http://schemas.microsoft.com/office/word/2010/wordprocessingShape">
                    <wps:wsp>
                      <wps:cNvSpPr txBox="1"/>
                      <wps:spPr>
                        <a:xfrm>
                          <a:off x="0" y="0"/>
                          <a:ext cx="4798060" cy="635"/>
                        </a:xfrm>
                        <a:prstGeom prst="rect">
                          <a:avLst/>
                        </a:prstGeom>
                        <a:solidFill>
                          <a:prstClr val="white"/>
                        </a:solidFill>
                        <a:ln>
                          <a:noFill/>
                        </a:ln>
                      </wps:spPr>
                      <wps:txbx>
                        <w:txbxContent>
                          <w:p w14:paraId="6F3E4EDD" w14:textId="3743337B" w:rsidR="00C2072C" w:rsidRPr="004C0566" w:rsidRDefault="00C2072C" w:rsidP="005B0AF1">
                            <w:pPr>
                              <w:pStyle w:val="Caption"/>
                              <w:rPr>
                                <w:noProof/>
                                <w:szCs w:val="22"/>
                              </w:rPr>
                            </w:pPr>
                            <w:bookmarkStart w:id="436" w:name="_Toc3226040"/>
                            <w:r>
                              <w:t xml:space="preserve">Appendix Figure </w:t>
                            </w:r>
                            <w:r>
                              <w:rPr>
                                <w:noProof/>
                              </w:rPr>
                              <w:fldChar w:fldCharType="begin"/>
                            </w:r>
                            <w:r>
                              <w:rPr>
                                <w:noProof/>
                              </w:rPr>
                              <w:instrText xml:space="preserve"> SEQ Appendix_Figure \* ARABIC </w:instrText>
                            </w:r>
                            <w:r>
                              <w:rPr>
                                <w:noProof/>
                              </w:rPr>
                              <w:fldChar w:fldCharType="separate"/>
                            </w:r>
                            <w:r>
                              <w:rPr>
                                <w:noProof/>
                              </w:rPr>
                              <w:t>19</w:t>
                            </w:r>
                            <w:r>
                              <w:rPr>
                                <w:noProof/>
                              </w:rPr>
                              <w:fldChar w:fldCharType="end"/>
                            </w:r>
                            <w:r>
                              <w:t xml:space="preserve">: Variance of each autoimmune arthritis dataset before and after normalisation. </w:t>
                            </w:r>
                            <w:r>
                              <w:rPr>
                                <w:b w:val="0"/>
                              </w:rPr>
                              <w:t>Plots indicate a consistent range of variance in log2 expression between microarray (A, B, D, &amp; E) and RNA-Seq (C) conditions. RNA-Seq range is slightly larger compared to microarray but similar to ranges expected from this platform.</w:t>
                            </w:r>
                            <w:bookmarkEnd w:id="4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CD9413" id="Text Box 343" o:spid="_x0000_s1145" type="#_x0000_t202" style="position:absolute;margin-left:-.8pt;margin-top:107.75pt;width:377.8pt;height:.05pt;z-index:-25141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" stroked="f">
                <v:textbox style="mso-fit-shape-to-text:t" inset="0,0,0,0">
                  <w:txbxContent>
                    <w:p w14:paraId="6F3E4EDD" w14:textId="3743337B" w:rsidR="00C2072C" w:rsidRPr="004C0566" w:rsidRDefault="00C2072C" w:rsidP="005B0AF1">
                      <w:pPr>
                        <w:pStyle w:val="Caption"/>
                        <w:rPr>
                          <w:noProof/>
                          <w:szCs w:val="22"/>
                        </w:rPr>
                      </w:pPr>
                      <w:bookmarkStart w:id="437" w:name="_Toc3226040"/>
                      <w:r>
                        <w:t xml:space="preserve">Appendix Figure </w:t>
                      </w:r>
                      <w:r>
                        <w:rPr>
                          <w:noProof/>
                        </w:rPr>
                        <w:fldChar w:fldCharType="begin"/>
                      </w:r>
                      <w:r>
                        <w:rPr>
                          <w:noProof/>
                        </w:rPr>
                        <w:instrText xml:space="preserve"> SEQ Appendix_Figure \* ARABIC </w:instrText>
                      </w:r>
                      <w:r>
                        <w:rPr>
                          <w:noProof/>
                        </w:rPr>
                        <w:fldChar w:fldCharType="separate"/>
                      </w:r>
                      <w:r>
                        <w:rPr>
                          <w:noProof/>
                        </w:rPr>
                        <w:t>19</w:t>
                      </w:r>
                      <w:r>
                        <w:rPr>
                          <w:noProof/>
                        </w:rPr>
                        <w:fldChar w:fldCharType="end"/>
                      </w:r>
                      <w:r>
                        <w:t xml:space="preserve">: Variance of each autoimmune arthritis dataset before and after normalisation. </w:t>
                      </w:r>
                      <w:r>
                        <w:rPr>
                          <w:b w:val="0"/>
                        </w:rPr>
                        <w:t>Plots indicate a consistent range of variance in log2 expression between microarray (A, B, D, &amp; E) and RNA-Seq (C) conditions. RNA-Seq range is slightly larger compared to microarray but similar to ranges expected from this platform.</w:t>
                      </w:r>
                      <w:bookmarkEnd w:id="437"/>
                    </w:p>
                  </w:txbxContent>
                </v:textbox>
                <w10:wrap type="tight"/>
              </v:shape>
            </w:pict>
          </mc:Fallback>
        </mc:AlternateContent>
      </w:r>
    </w:p>
    <w:p w14:paraId="67E4A29F" w14:textId="77777777" w:rsidR="00F72F37" w:rsidRPr="0082680A" w:rsidRDefault="00F72F37" w:rsidP="00F72F37">
      <w:pPr>
        <w:pStyle w:val="Caption"/>
        <w:keepNext/>
        <w:ind w:left="-426"/>
        <w:jc w:val="center"/>
        <w:rPr>
          <w:lang w:val="en-GB"/>
        </w:rPr>
      </w:pPr>
      <w:r w:rsidRPr="0082680A">
        <w:rPr>
          <w:noProof/>
          <w:szCs w:val="22"/>
          <w:lang w:val="en-GB"/>
        </w:rPr>
        <w:lastRenderedPageBreak/>
        <w:drawing>
          <wp:inline distT="0" distB="0" distL="0" distR="0" wp14:anchorId="7A7409EB" wp14:editId="50AD6EDC">
            <wp:extent cx="5727700" cy="8162290"/>
            <wp:effectExtent l="0" t="0" r="0" b="381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A_LobbyIndex_Scores.pdf"/>
                    <pic:cNvPicPr/>
                  </pic:nvPicPr>
                  <pic:blipFill>
                    <a:blip r:embed="rId278">
                      <a:extLst>
                        <a:ext uri="{28A0092B-C50C-407E-A947-70E740481C1C}">
                          <a14:useLocalDpi xmlns:a14="http://schemas.microsoft.com/office/drawing/2010/main" val="0"/>
                        </a:ext>
                      </a:extLst>
                    </a:blip>
                    <a:stretch>
                      <a:fillRect/>
                    </a:stretch>
                  </pic:blipFill>
                  <pic:spPr>
                    <a:xfrm>
                      <a:off x="0" y="0"/>
                      <a:ext cx="5727700" cy="8162290"/>
                    </a:xfrm>
                    <a:prstGeom prst="rect">
                      <a:avLst/>
                    </a:prstGeom>
                  </pic:spPr>
                </pic:pic>
              </a:graphicData>
            </a:graphic>
          </wp:inline>
        </w:drawing>
      </w:r>
    </w:p>
    <w:p w14:paraId="391E8F48" w14:textId="21C9B9FC" w:rsidR="00F72F37" w:rsidRPr="0082680A" w:rsidRDefault="00F72F37" w:rsidP="00F72F37">
      <w:pPr>
        <w:pStyle w:val="Caption"/>
        <w:ind w:left="-142"/>
        <w:rPr>
          <w:szCs w:val="22"/>
          <w:lang w:val="en-GB"/>
        </w:rPr>
      </w:pPr>
      <w:bookmarkStart w:id="438" w:name="_Toc3225992"/>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12</w:t>
      </w:r>
      <w:r w:rsidR="00F45096" w:rsidRPr="0082680A">
        <w:rPr>
          <w:noProof/>
          <w:lang w:val="en-GB"/>
        </w:rPr>
        <w:fldChar w:fldCharType="end"/>
      </w:r>
      <w:r w:rsidRPr="0082680A">
        <w:rPr>
          <w:lang w:val="en-GB"/>
        </w:rPr>
        <w:t>:</w:t>
      </w:r>
      <w:r w:rsidR="00AF0B4A" w:rsidRPr="00AF0B4A">
        <w:rPr>
          <w:b w:val="0"/>
          <w:szCs w:val="22"/>
          <w:lang w:val="en-GB"/>
        </w:rPr>
        <w:t xml:space="preserve"> </w:t>
      </w:r>
      <w:r w:rsidR="00AF0B4A" w:rsidRPr="0082680A">
        <w:rPr>
          <w:b w:val="0"/>
          <w:szCs w:val="22"/>
          <w:lang w:val="en-GB"/>
        </w:rPr>
        <w:t xml:space="preserve">Lobby index </w:t>
      </w:r>
      <w:r w:rsidR="00AF0B4A">
        <w:rPr>
          <w:b w:val="0"/>
          <w:szCs w:val="22"/>
          <w:lang w:val="en-GB"/>
        </w:rPr>
        <w:t>values</w:t>
      </w:r>
      <w:r w:rsidR="00AF0B4A" w:rsidRPr="0082680A">
        <w:rPr>
          <w:b w:val="0"/>
          <w:szCs w:val="22"/>
          <w:lang w:val="en-GB"/>
        </w:rPr>
        <w:t xml:space="preserve"> for </w:t>
      </w:r>
      <w:r w:rsidR="00AF0B4A">
        <w:rPr>
          <w:b w:val="0"/>
          <w:szCs w:val="22"/>
          <w:lang w:val="en-GB"/>
        </w:rPr>
        <w:t>autoimmune arthritis</w:t>
      </w:r>
      <w:r w:rsidR="00AF0B4A" w:rsidRPr="0082680A">
        <w:rPr>
          <w:b w:val="0"/>
          <w:szCs w:val="22"/>
          <w:lang w:val="en-GB"/>
        </w:rPr>
        <w:t xml:space="preserve"> common coexpression module members</w:t>
      </w:r>
      <w:r w:rsidR="00AF0B4A">
        <w:rPr>
          <w:b w:val="0"/>
          <w:szCs w:val="22"/>
          <w:lang w:val="en-GB"/>
        </w:rPr>
        <w:t xml:space="preserve"> and resulting prioritisation score from 1-5.</w:t>
      </w:r>
      <w:bookmarkEnd w:id="438"/>
    </w:p>
    <w:p w14:paraId="7E6FD535" w14:textId="77777777" w:rsidR="00F72F37" w:rsidRPr="0082680A" w:rsidRDefault="00F72F37" w:rsidP="00F72F37">
      <w:pPr>
        <w:rPr>
          <w:i/>
          <w:iCs/>
          <w:color w:val="1F497D" w:themeColor="text2"/>
          <w:lang w:val="en-GB"/>
        </w:rPr>
      </w:pPr>
      <w:r w:rsidRPr="0082680A">
        <w:rPr>
          <w:lang w:val="en-GB"/>
        </w:rPr>
        <w:br w:type="page"/>
      </w:r>
    </w:p>
    <w:p w14:paraId="7354C80E" w14:textId="77777777" w:rsidR="00F72F37" w:rsidRPr="0082680A" w:rsidRDefault="00F72F37" w:rsidP="00F72F37">
      <w:pPr>
        <w:pStyle w:val="Caption"/>
        <w:keepNext/>
        <w:jc w:val="center"/>
        <w:rPr>
          <w:lang w:val="en-GB"/>
        </w:rPr>
      </w:pPr>
      <w:r w:rsidRPr="0082680A">
        <w:rPr>
          <w:noProof/>
          <w:szCs w:val="22"/>
          <w:lang w:val="en-GB"/>
        </w:rPr>
        <w:lastRenderedPageBreak/>
        <w:drawing>
          <wp:inline distT="0" distB="0" distL="0" distR="0" wp14:anchorId="2882DCBE" wp14:editId="3F5B314D">
            <wp:extent cx="4946754" cy="8162067"/>
            <wp:effectExtent l="0" t="0" r="0" b="444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A_GeneXplain_Scores.pdf"/>
                    <pic:cNvPicPr/>
                  </pic:nvPicPr>
                  <pic:blipFill rotWithShape="1">
                    <a:blip r:embed="rId279">
                      <a:extLst>
                        <a:ext uri="{28A0092B-C50C-407E-A947-70E740481C1C}">
                          <a14:useLocalDpi xmlns:a14="http://schemas.microsoft.com/office/drawing/2010/main" val="0"/>
                        </a:ext>
                      </a:extLst>
                    </a:blip>
                    <a:srcRect l="6805" r="6828"/>
                    <a:stretch/>
                  </pic:blipFill>
                  <pic:spPr bwMode="auto">
                    <a:xfrm>
                      <a:off x="0" y="0"/>
                      <a:ext cx="4946889" cy="8162290"/>
                    </a:xfrm>
                    <a:prstGeom prst="rect">
                      <a:avLst/>
                    </a:prstGeom>
                    <a:ln>
                      <a:noFill/>
                    </a:ln>
                    <a:extLst>
                      <a:ext uri="{53640926-AAD7-44D8-BBD7-CCE9431645EC}">
                        <a14:shadowObscured xmlns:a14="http://schemas.microsoft.com/office/drawing/2010/main"/>
                      </a:ext>
                    </a:extLst>
                  </pic:spPr>
                </pic:pic>
              </a:graphicData>
            </a:graphic>
          </wp:inline>
        </w:drawing>
      </w:r>
    </w:p>
    <w:p w14:paraId="23535289" w14:textId="0B283E76" w:rsidR="00F72F37" w:rsidRPr="0082680A" w:rsidRDefault="00F72F37" w:rsidP="00F72F37">
      <w:pPr>
        <w:pStyle w:val="Caption"/>
        <w:rPr>
          <w:szCs w:val="22"/>
          <w:lang w:val="en-GB"/>
        </w:rPr>
      </w:pPr>
      <w:bookmarkStart w:id="439" w:name="_Toc3225993"/>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13</w:t>
      </w:r>
      <w:r w:rsidR="00F45096" w:rsidRPr="0082680A">
        <w:rPr>
          <w:noProof/>
          <w:lang w:val="en-GB"/>
        </w:rPr>
        <w:fldChar w:fldCharType="end"/>
      </w:r>
      <w:r w:rsidRPr="0082680A">
        <w:rPr>
          <w:lang w:val="en-GB"/>
        </w:rPr>
        <w:t xml:space="preserve">: </w:t>
      </w:r>
      <w:r w:rsidR="00AF0B4A" w:rsidRPr="0082680A">
        <w:rPr>
          <w:b w:val="0"/>
          <w:szCs w:val="22"/>
          <w:lang w:val="en-GB"/>
        </w:rPr>
        <w:t xml:space="preserve">GeneXplain </w:t>
      </w:r>
      <w:r w:rsidR="00AF0B4A">
        <w:rPr>
          <w:b w:val="0"/>
          <w:szCs w:val="22"/>
          <w:lang w:val="en-GB"/>
        </w:rPr>
        <w:t>rank</w:t>
      </w:r>
      <w:r w:rsidR="00AF0B4A" w:rsidRPr="0082680A">
        <w:rPr>
          <w:b w:val="0"/>
          <w:szCs w:val="22"/>
          <w:lang w:val="en-GB"/>
        </w:rPr>
        <w:t xml:space="preserve"> for </w:t>
      </w:r>
      <w:r w:rsidR="00AF0B4A">
        <w:rPr>
          <w:b w:val="0"/>
          <w:szCs w:val="22"/>
          <w:lang w:val="en-GB"/>
        </w:rPr>
        <w:t>autoimmune arthritis</w:t>
      </w:r>
      <w:r w:rsidR="00AF0B4A" w:rsidRPr="0082680A">
        <w:rPr>
          <w:b w:val="0"/>
          <w:szCs w:val="22"/>
          <w:lang w:val="en-GB"/>
        </w:rPr>
        <w:t xml:space="preserve"> common coexpression module members</w:t>
      </w:r>
      <w:r w:rsidR="00AF0B4A">
        <w:rPr>
          <w:b w:val="0"/>
          <w:szCs w:val="22"/>
          <w:lang w:val="en-GB"/>
        </w:rPr>
        <w:t>. Ranks sum is the score given by GeneXplain on which genes are ranked. Prioritisation is scored 1-5.</w:t>
      </w:r>
      <w:bookmarkEnd w:id="439"/>
    </w:p>
    <w:p w14:paraId="1DF7A339" w14:textId="77777777" w:rsidR="00F72F37" w:rsidRPr="0082680A" w:rsidRDefault="00F72F37" w:rsidP="00F72F37">
      <w:pPr>
        <w:pStyle w:val="NoSpacing"/>
        <w:keepNext/>
        <w:ind w:left="-284"/>
        <w:rPr>
          <w:lang w:val="en-GB"/>
        </w:rPr>
      </w:pPr>
      <w:r w:rsidRPr="0082680A">
        <w:rPr>
          <w:noProof/>
          <w:lang w:val="en-GB"/>
        </w:rPr>
        <w:lastRenderedPageBreak/>
        <w:drawing>
          <wp:inline distT="0" distB="0" distL="0" distR="0" wp14:anchorId="287F2D5E" wp14:editId="31FC332F">
            <wp:extent cx="5455920" cy="8161367"/>
            <wp:effectExtent l="0" t="0" r="5080" b="508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A_IPA_RelationshipTable.pdf"/>
                    <pic:cNvPicPr/>
                  </pic:nvPicPr>
                  <pic:blipFill rotWithShape="1">
                    <a:blip r:embed="rId280">
                      <a:extLst>
                        <a:ext uri="{28A0092B-C50C-407E-A947-70E740481C1C}">
                          <a14:useLocalDpi xmlns:a14="http://schemas.microsoft.com/office/drawing/2010/main" val="0"/>
                        </a:ext>
                      </a:extLst>
                    </a:blip>
                    <a:srcRect l="3470" r="1265"/>
                    <a:stretch/>
                  </pic:blipFill>
                  <pic:spPr bwMode="auto">
                    <a:xfrm>
                      <a:off x="0" y="0"/>
                      <a:ext cx="5456537" cy="8162290"/>
                    </a:xfrm>
                    <a:prstGeom prst="rect">
                      <a:avLst/>
                    </a:prstGeom>
                    <a:ln>
                      <a:noFill/>
                    </a:ln>
                    <a:extLst>
                      <a:ext uri="{53640926-AAD7-44D8-BBD7-CCE9431645EC}">
                        <a14:shadowObscured xmlns:a14="http://schemas.microsoft.com/office/drawing/2010/main"/>
                      </a:ext>
                    </a:extLst>
                  </pic:spPr>
                </pic:pic>
              </a:graphicData>
            </a:graphic>
          </wp:inline>
        </w:drawing>
      </w:r>
    </w:p>
    <w:p w14:paraId="52B215A1" w14:textId="5AE13A2C" w:rsidR="00F72F37" w:rsidRPr="0082680A" w:rsidRDefault="00F72F37" w:rsidP="00F72F37">
      <w:pPr>
        <w:pStyle w:val="Caption"/>
        <w:ind w:left="-284"/>
        <w:rPr>
          <w:lang w:val="en-GB"/>
        </w:rPr>
      </w:pPr>
      <w:bookmarkStart w:id="440" w:name="_Toc3225994"/>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14</w:t>
      </w:r>
      <w:r w:rsidR="00F45096" w:rsidRPr="0082680A">
        <w:rPr>
          <w:noProof/>
          <w:lang w:val="en-GB"/>
        </w:rPr>
        <w:fldChar w:fldCharType="end"/>
      </w:r>
      <w:r w:rsidRPr="0082680A">
        <w:rPr>
          <w:lang w:val="en-GB"/>
        </w:rPr>
        <w:t xml:space="preserve">: </w:t>
      </w:r>
      <w:r w:rsidRPr="0082680A">
        <w:rPr>
          <w:b w:val="0"/>
          <w:szCs w:val="22"/>
          <w:lang w:val="en-GB"/>
        </w:rPr>
        <w:t>IPA regulatory relationships between autoimmune arthritis common coexpression module members</w:t>
      </w:r>
      <w:bookmarkEnd w:id="440"/>
    </w:p>
    <w:p w14:paraId="32C589AA" w14:textId="77777777" w:rsidR="00F72F37" w:rsidRPr="0082680A" w:rsidRDefault="00F72F37" w:rsidP="00F72F37">
      <w:pPr>
        <w:keepNext/>
        <w:jc w:val="center"/>
        <w:rPr>
          <w:lang w:val="en-GB"/>
        </w:rPr>
      </w:pPr>
      <w:r w:rsidRPr="0082680A">
        <w:rPr>
          <w:noProof/>
          <w:lang w:val="en-GB"/>
        </w:rPr>
        <w:lastRenderedPageBreak/>
        <w:drawing>
          <wp:inline distT="0" distB="0" distL="0" distR="0" wp14:anchorId="33446938" wp14:editId="62854655">
            <wp:extent cx="4848860" cy="8021782"/>
            <wp:effectExtent l="0" t="0" r="2540" b="508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A_IPA_Scrores.pdf"/>
                    <pic:cNvPicPr/>
                  </pic:nvPicPr>
                  <pic:blipFill rotWithShape="1">
                    <a:blip r:embed="rId281">
                      <a:extLst>
                        <a:ext uri="{28A0092B-C50C-407E-A947-70E740481C1C}">
                          <a14:useLocalDpi xmlns:a14="http://schemas.microsoft.com/office/drawing/2010/main" val="0"/>
                        </a:ext>
                      </a:extLst>
                    </a:blip>
                    <a:srcRect r="15340" b="1717"/>
                    <a:stretch/>
                  </pic:blipFill>
                  <pic:spPr bwMode="auto">
                    <a:xfrm>
                      <a:off x="0" y="0"/>
                      <a:ext cx="4849091" cy="8022164"/>
                    </a:xfrm>
                    <a:prstGeom prst="rect">
                      <a:avLst/>
                    </a:prstGeom>
                    <a:ln>
                      <a:noFill/>
                    </a:ln>
                    <a:extLst>
                      <a:ext uri="{53640926-AAD7-44D8-BBD7-CCE9431645EC}">
                        <a14:shadowObscured xmlns:a14="http://schemas.microsoft.com/office/drawing/2010/main"/>
                      </a:ext>
                    </a:extLst>
                  </pic:spPr>
                </pic:pic>
              </a:graphicData>
            </a:graphic>
          </wp:inline>
        </w:drawing>
      </w:r>
    </w:p>
    <w:p w14:paraId="05488A97" w14:textId="193FB4B0" w:rsidR="00F72F37" w:rsidRPr="0082680A" w:rsidRDefault="00F72F37" w:rsidP="00F72F37">
      <w:pPr>
        <w:pStyle w:val="Caption"/>
        <w:rPr>
          <w:lang w:val="en-GB"/>
        </w:rPr>
      </w:pPr>
      <w:bookmarkStart w:id="441" w:name="_Toc3225995"/>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15</w:t>
      </w:r>
      <w:r w:rsidR="00F45096" w:rsidRPr="0082680A">
        <w:rPr>
          <w:noProof/>
          <w:lang w:val="en-GB"/>
        </w:rPr>
        <w:fldChar w:fldCharType="end"/>
      </w:r>
      <w:r w:rsidRPr="0082680A">
        <w:rPr>
          <w:lang w:val="en-GB"/>
        </w:rPr>
        <w:t xml:space="preserve">: </w:t>
      </w:r>
      <w:r w:rsidR="00AF0B4A" w:rsidRPr="0082680A">
        <w:rPr>
          <w:b w:val="0"/>
          <w:szCs w:val="22"/>
          <w:lang w:val="en-GB"/>
        </w:rPr>
        <w:t xml:space="preserve">IPA scores for </w:t>
      </w:r>
      <w:r w:rsidR="00AF0B4A">
        <w:rPr>
          <w:b w:val="0"/>
          <w:szCs w:val="22"/>
          <w:lang w:val="en-GB"/>
        </w:rPr>
        <w:t>autoimmune arthritis</w:t>
      </w:r>
      <w:r w:rsidR="00AF0B4A" w:rsidRPr="0082680A">
        <w:rPr>
          <w:b w:val="0"/>
          <w:szCs w:val="22"/>
          <w:lang w:val="en-GB"/>
        </w:rPr>
        <w:t xml:space="preserve"> common coexpression module members</w:t>
      </w:r>
      <w:r w:rsidR="00AF0B4A">
        <w:rPr>
          <w:b w:val="0"/>
          <w:szCs w:val="22"/>
          <w:lang w:val="en-GB"/>
        </w:rPr>
        <w:t xml:space="preserve">. </w:t>
      </w:r>
      <w:r w:rsidR="00AF0B4A" w:rsidRPr="007A46FA">
        <w:rPr>
          <w:b w:val="0"/>
          <w:i/>
          <w:szCs w:val="22"/>
          <w:lang w:val="en-GB"/>
        </w:rPr>
        <w:t>Number of targets</w:t>
      </w:r>
      <w:r w:rsidR="00AF0B4A">
        <w:rPr>
          <w:b w:val="0"/>
          <w:i/>
          <w:szCs w:val="22"/>
          <w:lang w:val="en-GB"/>
        </w:rPr>
        <w:t xml:space="preserve"> </w:t>
      </w:r>
      <w:r w:rsidR="00AF0B4A">
        <w:rPr>
          <w:b w:val="0"/>
          <w:szCs w:val="22"/>
          <w:lang w:val="en-GB"/>
        </w:rPr>
        <w:t xml:space="preserve">refers to the number of molecules each </w:t>
      </w:r>
      <w:r w:rsidR="00AF0B4A" w:rsidRPr="007A46FA">
        <w:rPr>
          <w:b w:val="0"/>
          <w:i/>
          <w:szCs w:val="22"/>
          <w:lang w:val="en-GB"/>
        </w:rPr>
        <w:t>From Molecule</w:t>
      </w:r>
      <w:r w:rsidR="00AF0B4A">
        <w:rPr>
          <w:b w:val="0"/>
          <w:szCs w:val="22"/>
          <w:lang w:val="en-GB"/>
        </w:rPr>
        <w:t xml:space="preserve"> influences. Scores are from 1-5 based on this value.</w:t>
      </w:r>
      <w:bookmarkEnd w:id="441"/>
    </w:p>
    <w:p w14:paraId="467391D0" w14:textId="77777777" w:rsidR="00F72F37" w:rsidRPr="0082680A" w:rsidRDefault="00F72F37" w:rsidP="00F72F37">
      <w:pPr>
        <w:keepNext/>
        <w:ind w:left="-142"/>
        <w:rPr>
          <w:lang w:val="en-GB"/>
        </w:rPr>
      </w:pPr>
      <w:r w:rsidRPr="0082680A">
        <w:rPr>
          <w:noProof/>
          <w:lang w:val="en-GB"/>
        </w:rPr>
        <w:lastRenderedPageBreak/>
        <w:drawing>
          <wp:inline distT="0" distB="0" distL="0" distR="0" wp14:anchorId="2DE8258A" wp14:editId="3DF4DFDF">
            <wp:extent cx="5497551" cy="8161523"/>
            <wp:effectExtent l="0" t="0" r="1905" b="508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A_Endeavour_Scores.pdf"/>
                    <pic:cNvPicPr/>
                  </pic:nvPicPr>
                  <pic:blipFill rotWithShape="1">
                    <a:blip r:embed="rId282">
                      <a:extLst>
                        <a:ext uri="{28A0092B-C50C-407E-A947-70E740481C1C}">
                          <a14:useLocalDpi xmlns:a14="http://schemas.microsoft.com/office/drawing/2010/main" val="0"/>
                        </a:ext>
                      </a:extLst>
                    </a:blip>
                    <a:srcRect l="2141" r="1868"/>
                    <a:stretch/>
                  </pic:blipFill>
                  <pic:spPr bwMode="auto">
                    <a:xfrm>
                      <a:off x="0" y="0"/>
                      <a:ext cx="5498068" cy="8162290"/>
                    </a:xfrm>
                    <a:prstGeom prst="rect">
                      <a:avLst/>
                    </a:prstGeom>
                    <a:ln>
                      <a:noFill/>
                    </a:ln>
                    <a:extLst>
                      <a:ext uri="{53640926-AAD7-44D8-BBD7-CCE9431645EC}">
                        <a14:shadowObscured xmlns:a14="http://schemas.microsoft.com/office/drawing/2010/main"/>
                      </a:ext>
                    </a:extLst>
                  </pic:spPr>
                </pic:pic>
              </a:graphicData>
            </a:graphic>
          </wp:inline>
        </w:drawing>
      </w:r>
    </w:p>
    <w:p w14:paraId="4E40E181" w14:textId="5EFE4887" w:rsidR="00F72F37" w:rsidRPr="002F1E6E" w:rsidRDefault="00F72F37" w:rsidP="002F1E6E">
      <w:pPr>
        <w:pStyle w:val="Caption"/>
        <w:ind w:left="-142"/>
        <w:rPr>
          <w:lang w:val="en-GB"/>
        </w:rPr>
      </w:pPr>
      <w:bookmarkStart w:id="442" w:name="_Toc3225996"/>
      <w:r w:rsidRPr="0082680A">
        <w:rPr>
          <w:lang w:val="en-GB"/>
        </w:rPr>
        <w:t xml:space="preserve">Appendix Table </w:t>
      </w:r>
      <w:r w:rsidR="00F45096" w:rsidRPr="0082680A">
        <w:rPr>
          <w:noProof/>
          <w:lang w:val="en-GB"/>
        </w:rPr>
        <w:fldChar w:fldCharType="begin"/>
      </w:r>
      <w:r w:rsidR="00F45096" w:rsidRPr="0082680A">
        <w:rPr>
          <w:noProof/>
          <w:lang w:val="en-GB"/>
        </w:rPr>
        <w:instrText xml:space="preserve"> SEQ Appendix_Table \* ARABIC </w:instrText>
      </w:r>
      <w:r w:rsidR="00F45096" w:rsidRPr="0082680A">
        <w:rPr>
          <w:noProof/>
          <w:lang w:val="en-GB"/>
        </w:rPr>
        <w:fldChar w:fldCharType="separate"/>
      </w:r>
      <w:r w:rsidR="00066B5A">
        <w:rPr>
          <w:noProof/>
          <w:lang w:val="en-GB"/>
        </w:rPr>
        <w:t>16</w:t>
      </w:r>
      <w:r w:rsidR="00F45096" w:rsidRPr="0082680A">
        <w:rPr>
          <w:noProof/>
          <w:lang w:val="en-GB"/>
        </w:rPr>
        <w:fldChar w:fldCharType="end"/>
      </w:r>
      <w:r w:rsidRPr="0082680A">
        <w:rPr>
          <w:lang w:val="en-GB"/>
        </w:rPr>
        <w:t xml:space="preserve">: </w:t>
      </w:r>
      <w:r w:rsidR="00AF0B4A" w:rsidRPr="0082680A">
        <w:rPr>
          <w:b w:val="0"/>
          <w:szCs w:val="22"/>
          <w:lang w:val="en-GB"/>
        </w:rPr>
        <w:t xml:space="preserve">Endeavour Scores for </w:t>
      </w:r>
      <w:r w:rsidR="00AF0B4A">
        <w:rPr>
          <w:b w:val="0"/>
          <w:szCs w:val="22"/>
          <w:lang w:val="en-GB"/>
        </w:rPr>
        <w:t>autoimmune arthritis</w:t>
      </w:r>
      <w:r w:rsidR="00AF0B4A" w:rsidRPr="0082680A">
        <w:rPr>
          <w:b w:val="0"/>
          <w:szCs w:val="22"/>
          <w:lang w:val="en-GB"/>
        </w:rPr>
        <w:t xml:space="preserve"> common coexpression module members</w:t>
      </w:r>
      <w:r w:rsidR="00AF0B4A">
        <w:rPr>
          <w:b w:val="0"/>
          <w:szCs w:val="22"/>
          <w:lang w:val="en-GB"/>
        </w:rPr>
        <w:t>. Endeavour rank is the position after ranking by p-value. Score is from 0-5.</w:t>
      </w:r>
      <w:bookmarkEnd w:id="442"/>
      <w:r w:rsidRPr="0082680A">
        <w:rPr>
          <w:szCs w:val="22"/>
          <w:lang w:val="en-GB"/>
        </w:rPr>
        <w:br w:type="page"/>
      </w:r>
    </w:p>
    <w:p w14:paraId="477F7FC0" w14:textId="02BAE62F" w:rsidR="00DD630F" w:rsidRPr="0082680A" w:rsidRDefault="00147D6C" w:rsidP="00DC2754">
      <w:pPr>
        <w:pStyle w:val="Heading1"/>
        <w:numPr>
          <w:ilvl w:val="0"/>
          <w:numId w:val="5"/>
        </w:numPr>
        <w:rPr>
          <w:lang w:val="en-GB"/>
        </w:rPr>
      </w:pPr>
      <w:bookmarkStart w:id="443" w:name="_Toc3211460"/>
      <w:r w:rsidRPr="0082680A">
        <w:rPr>
          <w:lang w:val="en-GB"/>
        </w:rPr>
        <w:lastRenderedPageBreak/>
        <w:t>Bibliography</w:t>
      </w:r>
      <w:bookmarkEnd w:id="443"/>
    </w:p>
    <w:p w14:paraId="2BB6219C" w14:textId="35E5CB8A" w:rsidR="000507BA" w:rsidRPr="000507BA" w:rsidRDefault="00AC0BF3" w:rsidP="000507BA">
      <w:pPr>
        <w:widowControl w:val="0"/>
        <w:autoSpaceDE w:val="0"/>
        <w:autoSpaceDN w:val="0"/>
        <w:adjustRightInd w:val="0"/>
        <w:ind w:left="640" w:hanging="640"/>
        <w:rPr>
          <w:noProof/>
          <w:sz w:val="18"/>
          <w:lang w:val="en-US"/>
        </w:rPr>
      </w:pPr>
      <w:r w:rsidRPr="0082680A">
        <w:rPr>
          <w:sz w:val="18"/>
          <w:szCs w:val="18"/>
          <w:lang w:val="en-GB"/>
        </w:rPr>
        <w:fldChar w:fldCharType="begin" w:fldLock="1"/>
      </w:r>
      <w:r w:rsidRPr="0082680A">
        <w:rPr>
          <w:sz w:val="18"/>
          <w:szCs w:val="18"/>
          <w:lang w:val="en-GB"/>
        </w:rPr>
        <w:instrText xml:space="preserve">ADDIN Mendeley Bibliography CSL_BIBLIOGRAPHY </w:instrText>
      </w:r>
      <w:r w:rsidRPr="0082680A">
        <w:rPr>
          <w:sz w:val="18"/>
          <w:szCs w:val="18"/>
          <w:lang w:val="en-GB"/>
        </w:rPr>
        <w:fldChar w:fldCharType="separate"/>
      </w:r>
      <w:r w:rsidR="000507BA" w:rsidRPr="000507BA">
        <w:rPr>
          <w:noProof/>
          <w:sz w:val="18"/>
          <w:lang w:val="en-US"/>
        </w:rPr>
        <w:t xml:space="preserve">1. </w:t>
      </w:r>
      <w:r w:rsidR="000507BA" w:rsidRPr="000507BA">
        <w:rPr>
          <w:noProof/>
          <w:sz w:val="18"/>
          <w:lang w:val="en-US"/>
        </w:rPr>
        <w:tab/>
        <w:t xml:space="preserve">Durães F, Pinto M, Sousa E. Old Drugs as New Treatments for Neurodegenerative Diseases. </w:t>
      </w:r>
      <w:r w:rsidR="000507BA" w:rsidRPr="000507BA">
        <w:rPr>
          <w:i/>
          <w:iCs/>
          <w:noProof/>
          <w:sz w:val="18"/>
          <w:lang w:val="en-US"/>
        </w:rPr>
        <w:t>Pharmaceuticals (Basel)</w:t>
      </w:r>
      <w:r w:rsidR="000507BA" w:rsidRPr="000507BA">
        <w:rPr>
          <w:noProof/>
          <w:sz w:val="18"/>
          <w:lang w:val="en-US"/>
        </w:rPr>
        <w:t>. 2018;11(2). doi:10.3390/ph11020044</w:t>
      </w:r>
    </w:p>
    <w:p w14:paraId="0534232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 </w:t>
      </w:r>
      <w:r w:rsidRPr="000507BA">
        <w:rPr>
          <w:noProof/>
          <w:sz w:val="18"/>
          <w:lang w:val="en-US"/>
        </w:rPr>
        <w:tab/>
        <w:t xml:space="preserve">Aletaha D, Smolen JS. Diagnosis and Management of Rheumatoid Arthritis. </w:t>
      </w:r>
      <w:r w:rsidRPr="000507BA">
        <w:rPr>
          <w:i/>
          <w:iCs/>
          <w:noProof/>
          <w:sz w:val="18"/>
          <w:lang w:val="en-US"/>
        </w:rPr>
        <w:t>JAMA</w:t>
      </w:r>
      <w:r w:rsidRPr="000507BA">
        <w:rPr>
          <w:noProof/>
          <w:sz w:val="18"/>
          <w:lang w:val="en-US"/>
        </w:rPr>
        <w:t>. 2018;320(13):1360. doi:10.1001/jama.2018.13103</w:t>
      </w:r>
    </w:p>
    <w:p w14:paraId="3C34917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 </w:t>
      </w:r>
      <w:r w:rsidRPr="000507BA">
        <w:rPr>
          <w:noProof/>
          <w:sz w:val="18"/>
          <w:lang w:val="en-US"/>
        </w:rPr>
        <w:tab/>
        <w:t xml:space="preserve">Mayeux R, Stern Y. Epidemiology of Alzheimer disease. </w:t>
      </w:r>
      <w:r w:rsidRPr="000507BA">
        <w:rPr>
          <w:i/>
          <w:iCs/>
          <w:noProof/>
          <w:sz w:val="18"/>
          <w:lang w:val="en-US"/>
        </w:rPr>
        <w:t>Cold Spring Harb Perspect Med</w:t>
      </w:r>
      <w:r w:rsidRPr="000507BA">
        <w:rPr>
          <w:noProof/>
          <w:sz w:val="18"/>
          <w:lang w:val="en-US"/>
        </w:rPr>
        <w:t>. 2012;2(8). doi:10.1101/cshperspect.a006239</w:t>
      </w:r>
    </w:p>
    <w:p w14:paraId="47BC577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 </w:t>
      </w:r>
      <w:r w:rsidRPr="000507BA">
        <w:rPr>
          <w:noProof/>
          <w:sz w:val="18"/>
          <w:lang w:val="en-US"/>
        </w:rPr>
        <w:tab/>
        <w:t xml:space="preserve">Chopra A, Abdel-Nasser A. Epidemiology of rheumatic musculoskeletal disorders in the developing world. </w:t>
      </w:r>
      <w:r w:rsidRPr="000507BA">
        <w:rPr>
          <w:i/>
          <w:iCs/>
          <w:noProof/>
          <w:sz w:val="18"/>
          <w:lang w:val="en-US"/>
        </w:rPr>
        <w:t>Best Pract Res Clin Rheumatol</w:t>
      </w:r>
      <w:r w:rsidRPr="000507BA">
        <w:rPr>
          <w:noProof/>
          <w:sz w:val="18"/>
          <w:lang w:val="en-US"/>
        </w:rPr>
        <w:t>. 2008;22(4):583-604. doi:10.1016/j.berh.2008.07.001</w:t>
      </w:r>
    </w:p>
    <w:p w14:paraId="1F74720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 </w:t>
      </w:r>
      <w:r w:rsidRPr="000507BA">
        <w:rPr>
          <w:noProof/>
          <w:sz w:val="18"/>
          <w:lang w:val="en-US"/>
        </w:rPr>
        <w:tab/>
        <w:t xml:space="preserve">Garry RF, Witte MH, Gottlieb AA, et al. Documentation of an AIDS Virus Infection in the United States in 1968. </w:t>
      </w:r>
      <w:r w:rsidRPr="000507BA">
        <w:rPr>
          <w:i/>
          <w:iCs/>
          <w:noProof/>
          <w:sz w:val="18"/>
          <w:lang w:val="en-US"/>
        </w:rPr>
        <w:t>JAMA J Am Med Assoc</w:t>
      </w:r>
      <w:r w:rsidRPr="000507BA">
        <w:rPr>
          <w:noProof/>
          <w:sz w:val="18"/>
          <w:lang w:val="en-US"/>
        </w:rPr>
        <w:t>. 1988;260(14):2085. doi:10.1001/jama.1988.03410140097031</w:t>
      </w:r>
    </w:p>
    <w:p w14:paraId="5146814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 </w:t>
      </w:r>
      <w:r w:rsidRPr="000507BA">
        <w:rPr>
          <w:noProof/>
          <w:sz w:val="18"/>
          <w:lang w:val="en-US"/>
        </w:rPr>
        <w:tab/>
        <w:t xml:space="preserve">Hütter G, Nowak D, Mossner M, et al. Long-Term Control of HIV by </w:t>
      </w:r>
      <w:r w:rsidRPr="000507BA">
        <w:rPr>
          <w:i/>
          <w:iCs/>
          <w:noProof/>
          <w:sz w:val="18"/>
          <w:lang w:val="en-US"/>
        </w:rPr>
        <w:t>CCR5</w:t>
      </w:r>
      <w:r w:rsidRPr="000507BA">
        <w:rPr>
          <w:noProof/>
          <w:sz w:val="18"/>
          <w:lang w:val="en-US"/>
        </w:rPr>
        <w:t xml:space="preserve"> Delta32/Delta32 Stem-Cell Transplantation. </w:t>
      </w:r>
      <w:r w:rsidRPr="000507BA">
        <w:rPr>
          <w:i/>
          <w:iCs/>
          <w:noProof/>
          <w:sz w:val="18"/>
          <w:lang w:val="en-US"/>
        </w:rPr>
        <w:t>N Engl J Med</w:t>
      </w:r>
      <w:r w:rsidRPr="000507BA">
        <w:rPr>
          <w:noProof/>
          <w:sz w:val="18"/>
          <w:lang w:val="en-US"/>
        </w:rPr>
        <w:t>. 2009;360(7):692-698. doi:10.1056/NEJMoa0802905</w:t>
      </w:r>
    </w:p>
    <w:p w14:paraId="18DA76B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 </w:t>
      </w:r>
      <w:r w:rsidRPr="000507BA">
        <w:rPr>
          <w:noProof/>
          <w:sz w:val="18"/>
          <w:lang w:val="en-US"/>
        </w:rPr>
        <w:tab/>
        <w:t xml:space="preserve">Hütter G, Thiel E. Allogeneic transplantation of CCR5-deficient progenitor cells in a patient with HIV infection: an update after 3 years and the search for patient no. 2. </w:t>
      </w:r>
      <w:r w:rsidRPr="000507BA">
        <w:rPr>
          <w:i/>
          <w:iCs/>
          <w:noProof/>
          <w:sz w:val="18"/>
          <w:lang w:val="en-US"/>
        </w:rPr>
        <w:t>AIDS</w:t>
      </w:r>
      <w:r w:rsidRPr="000507BA">
        <w:rPr>
          <w:noProof/>
          <w:sz w:val="18"/>
          <w:lang w:val="en-US"/>
        </w:rPr>
        <w:t>. 2011;25(2):273-274. doi:10.1097/QAD.0b013e328340fe28</w:t>
      </w:r>
    </w:p>
    <w:p w14:paraId="1009BA0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 </w:t>
      </w:r>
      <w:r w:rsidRPr="000507BA">
        <w:rPr>
          <w:noProof/>
          <w:sz w:val="18"/>
          <w:lang w:val="en-US"/>
        </w:rPr>
        <w:tab/>
        <w:t xml:space="preserve">Ching T, Huang S, Garmire LX. Power analysis and sample size estimation for RNA-Seq differential expression. </w:t>
      </w:r>
      <w:r w:rsidRPr="000507BA">
        <w:rPr>
          <w:i/>
          <w:iCs/>
          <w:noProof/>
          <w:sz w:val="18"/>
          <w:lang w:val="en-US"/>
        </w:rPr>
        <w:t>RNA</w:t>
      </w:r>
      <w:r w:rsidRPr="000507BA">
        <w:rPr>
          <w:noProof/>
          <w:sz w:val="18"/>
          <w:lang w:val="en-US"/>
        </w:rPr>
        <w:t>. 2014;20(11):1684-1696. doi:10.1261/rna.046011.114</w:t>
      </w:r>
    </w:p>
    <w:p w14:paraId="60326D1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 </w:t>
      </w:r>
      <w:r w:rsidRPr="000507BA">
        <w:rPr>
          <w:noProof/>
          <w:sz w:val="18"/>
          <w:lang w:val="en-US"/>
        </w:rPr>
        <w:tab/>
        <w:t xml:space="preserve">Gill R, Datta S, Datta S. A statistical framework for differential network analysis from microarray data. </w:t>
      </w:r>
      <w:r w:rsidRPr="000507BA">
        <w:rPr>
          <w:i/>
          <w:iCs/>
          <w:noProof/>
          <w:sz w:val="18"/>
          <w:lang w:val="en-US"/>
        </w:rPr>
        <w:t>BMC Bioinformatics</w:t>
      </w:r>
      <w:r w:rsidRPr="000507BA">
        <w:rPr>
          <w:noProof/>
          <w:sz w:val="18"/>
          <w:lang w:val="en-US"/>
        </w:rPr>
        <w:t>. 2010;11:95. doi:10.1186/1471-2105-11-95</w:t>
      </w:r>
    </w:p>
    <w:p w14:paraId="098F0CC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 </w:t>
      </w:r>
      <w:r w:rsidRPr="000507BA">
        <w:rPr>
          <w:noProof/>
          <w:sz w:val="18"/>
          <w:lang w:val="en-US"/>
        </w:rPr>
        <w:tab/>
        <w:t xml:space="preserve">Swanson D. Statistical power of gene-set enrichment analysis is a function of gene set correlation structure. </w:t>
      </w:r>
      <w:r w:rsidRPr="000507BA">
        <w:rPr>
          <w:i/>
          <w:iCs/>
          <w:noProof/>
          <w:sz w:val="18"/>
          <w:lang w:val="en-US"/>
        </w:rPr>
        <w:t>bioRxiv</w:t>
      </w:r>
      <w:r w:rsidRPr="000507BA">
        <w:rPr>
          <w:noProof/>
          <w:sz w:val="18"/>
          <w:lang w:val="en-US"/>
        </w:rPr>
        <w:t>. September 2017:186288. doi:10.1101/186288</w:t>
      </w:r>
    </w:p>
    <w:p w14:paraId="4FEAF65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 </w:t>
      </w:r>
      <w:r w:rsidRPr="000507BA">
        <w:rPr>
          <w:noProof/>
          <w:sz w:val="18"/>
          <w:lang w:val="en-US"/>
        </w:rPr>
        <w:tab/>
        <w:t xml:space="preserve">Sham PC, Purcell SM. Statistical power and significance testing in large-scale genetic studies. </w:t>
      </w:r>
      <w:r w:rsidRPr="000507BA">
        <w:rPr>
          <w:i/>
          <w:iCs/>
          <w:noProof/>
          <w:sz w:val="18"/>
          <w:lang w:val="en-US"/>
        </w:rPr>
        <w:t>Nat Publ Gr</w:t>
      </w:r>
      <w:r w:rsidRPr="000507BA">
        <w:rPr>
          <w:noProof/>
          <w:sz w:val="18"/>
          <w:lang w:val="en-US"/>
        </w:rPr>
        <w:t>. 2014;15. doi:10.1038/nrg3706</w:t>
      </w:r>
    </w:p>
    <w:p w14:paraId="03F8D6E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 </w:t>
      </w:r>
      <w:r w:rsidRPr="000507BA">
        <w:rPr>
          <w:noProof/>
          <w:sz w:val="18"/>
          <w:lang w:val="en-US"/>
        </w:rPr>
        <w:tab/>
        <w:t xml:space="preserve">Turnbull C, Scott RH, Thomas E, et al. The 100 000 Genomes Project: bringing whole genome sequencing to the NHS. </w:t>
      </w:r>
      <w:r w:rsidRPr="000507BA">
        <w:rPr>
          <w:i/>
          <w:iCs/>
          <w:noProof/>
          <w:sz w:val="18"/>
          <w:lang w:val="en-US"/>
        </w:rPr>
        <w:t>BMJ</w:t>
      </w:r>
      <w:r w:rsidRPr="000507BA">
        <w:rPr>
          <w:noProof/>
          <w:sz w:val="18"/>
          <w:lang w:val="en-US"/>
        </w:rPr>
        <w:t>. 2018;361. doi:10.1136/bmj.k1687</w:t>
      </w:r>
    </w:p>
    <w:p w14:paraId="7C58FBF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 </w:t>
      </w:r>
      <w:r w:rsidRPr="000507BA">
        <w:rPr>
          <w:noProof/>
          <w:sz w:val="18"/>
          <w:lang w:val="en-US"/>
        </w:rPr>
        <w:tab/>
        <w:t xml:space="preserve">Duncan LE, Ratanatharathorn A, Aiello AE, et al. Largest GWAS of PTSD (N=20 070) yields genetic overlap with schizophrenia and sex differences in heritability. </w:t>
      </w:r>
      <w:r w:rsidRPr="000507BA">
        <w:rPr>
          <w:i/>
          <w:iCs/>
          <w:noProof/>
          <w:sz w:val="18"/>
          <w:lang w:val="en-US"/>
        </w:rPr>
        <w:t>Mol Psychiatry</w:t>
      </w:r>
      <w:r w:rsidRPr="000507BA">
        <w:rPr>
          <w:noProof/>
          <w:sz w:val="18"/>
          <w:lang w:val="en-US"/>
        </w:rPr>
        <w:t>. 2017;23(3):666. doi:10.1038/mp.2017.77</w:t>
      </w:r>
    </w:p>
    <w:p w14:paraId="7CC7E8D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 </w:t>
      </w:r>
      <w:r w:rsidRPr="000507BA">
        <w:rPr>
          <w:noProof/>
          <w:sz w:val="18"/>
          <w:lang w:val="en-US"/>
        </w:rPr>
        <w:tab/>
        <w:t xml:space="preserve">Hagenaars SP, Harris SE, Davies G, et al. Shared genetic aetiology between cognitive functions and physical and mental health in UK Biobank (N=112 151) and 24 GWAS consortia. </w:t>
      </w:r>
      <w:r w:rsidRPr="000507BA">
        <w:rPr>
          <w:i/>
          <w:iCs/>
          <w:noProof/>
          <w:sz w:val="18"/>
          <w:lang w:val="en-US"/>
        </w:rPr>
        <w:t>Mol Psychiatry</w:t>
      </w:r>
      <w:r w:rsidRPr="000507BA">
        <w:rPr>
          <w:noProof/>
          <w:sz w:val="18"/>
          <w:lang w:val="en-US"/>
        </w:rPr>
        <w:t>. 2016;21(11):1624-1632. doi:10.1038/mp.2015.225</w:t>
      </w:r>
    </w:p>
    <w:p w14:paraId="1C3D129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 </w:t>
      </w:r>
      <w:r w:rsidRPr="000507BA">
        <w:rPr>
          <w:noProof/>
          <w:sz w:val="18"/>
          <w:lang w:val="en-US"/>
        </w:rPr>
        <w:tab/>
        <w:t xml:space="preserve">Visscher PM, Wray NR, Zhang Q, et al. 10 Years of GWAS Discovery: Biology, Function, and Translation. </w:t>
      </w:r>
      <w:r w:rsidRPr="000507BA">
        <w:rPr>
          <w:i/>
          <w:iCs/>
          <w:noProof/>
          <w:sz w:val="18"/>
          <w:lang w:val="en-US"/>
        </w:rPr>
        <w:t>Am J Hum Genet</w:t>
      </w:r>
      <w:r w:rsidRPr="000507BA">
        <w:rPr>
          <w:noProof/>
          <w:sz w:val="18"/>
          <w:lang w:val="en-US"/>
        </w:rPr>
        <w:t>. 2017;101(1):5-22. doi:10.1016/J.AJHG.2017.06.005</w:t>
      </w:r>
    </w:p>
    <w:p w14:paraId="6DFE2C0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 </w:t>
      </w:r>
      <w:r w:rsidRPr="000507BA">
        <w:rPr>
          <w:noProof/>
          <w:sz w:val="18"/>
          <w:lang w:val="en-US"/>
        </w:rPr>
        <w:tab/>
        <w:t xml:space="preserve">Parker MM, Chase RP, Lamb A, et al. RNA sequencing identifies novel non-coding RNA and exon-specific effects associated with cigarette smoking. </w:t>
      </w:r>
      <w:r w:rsidRPr="000507BA">
        <w:rPr>
          <w:i/>
          <w:iCs/>
          <w:noProof/>
          <w:sz w:val="18"/>
          <w:lang w:val="en-US"/>
        </w:rPr>
        <w:t>BMC Med Genomics</w:t>
      </w:r>
      <w:r w:rsidRPr="000507BA">
        <w:rPr>
          <w:noProof/>
          <w:sz w:val="18"/>
          <w:lang w:val="en-US"/>
        </w:rPr>
        <w:t>. 2017;10(1):58. doi:10.1186/s12920-017-0295-9</w:t>
      </w:r>
    </w:p>
    <w:p w14:paraId="4AEAE85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 </w:t>
      </w:r>
      <w:r w:rsidRPr="000507BA">
        <w:rPr>
          <w:noProof/>
          <w:sz w:val="18"/>
          <w:lang w:val="en-US"/>
        </w:rPr>
        <w:tab/>
        <w:t xml:space="preserve">De Jager PL, Ma Y, McCabe C, et al. A multi-omic atlas of the human frontal cortex for aging and Alzheimer’s disease research. </w:t>
      </w:r>
      <w:r w:rsidRPr="000507BA">
        <w:rPr>
          <w:i/>
          <w:iCs/>
          <w:noProof/>
          <w:sz w:val="18"/>
          <w:lang w:val="en-US"/>
        </w:rPr>
        <w:t>Sci Data</w:t>
      </w:r>
      <w:r w:rsidRPr="000507BA">
        <w:rPr>
          <w:noProof/>
          <w:sz w:val="18"/>
          <w:lang w:val="en-US"/>
        </w:rPr>
        <w:t>. 2018;5:180142. doi:10.1038/sdata.2018.142</w:t>
      </w:r>
    </w:p>
    <w:p w14:paraId="30E06AF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 </w:t>
      </w:r>
      <w:r w:rsidRPr="000507BA">
        <w:rPr>
          <w:noProof/>
          <w:sz w:val="18"/>
          <w:lang w:val="en-US"/>
        </w:rPr>
        <w:tab/>
        <w:t xml:space="preserve">Brueffer C, Vallon-Christersson J, Grabau D, et al. </w:t>
      </w:r>
      <w:r w:rsidRPr="000507BA">
        <w:rPr>
          <w:i/>
          <w:iCs/>
          <w:noProof/>
          <w:sz w:val="18"/>
          <w:lang w:val="en-US"/>
        </w:rPr>
        <w:t>Clinical Value of RNA Sequencing-Based Classifiers for Prediction of the Five Conventional Breast Cancer Biomarkers: A Report From the Population-Based Multicenter Sweden Cancerome Analysis Network-Breast Initiative</w:t>
      </w:r>
      <w:r w:rsidRPr="000507BA">
        <w:rPr>
          <w:noProof/>
          <w:sz w:val="18"/>
          <w:lang w:val="en-US"/>
        </w:rPr>
        <w:t>. Vol 19.; 2018. http://ascopubs.org/doi/pdfdirect/10.1200/PO.17.00135. Accessed October 19, 2018.</w:t>
      </w:r>
    </w:p>
    <w:p w14:paraId="2C75186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 </w:t>
      </w:r>
      <w:r w:rsidRPr="000507BA">
        <w:rPr>
          <w:noProof/>
          <w:sz w:val="18"/>
          <w:lang w:val="en-US"/>
        </w:rPr>
        <w:tab/>
        <w:t xml:space="preserve">Zak DE, Penn-Nicholson A, Scriba TJ, et al. A blood RNA signature for tuberculosis disease risk: a </w:t>
      </w:r>
      <w:r w:rsidRPr="000507BA">
        <w:rPr>
          <w:noProof/>
          <w:sz w:val="18"/>
          <w:lang w:val="en-US"/>
        </w:rPr>
        <w:lastRenderedPageBreak/>
        <w:t xml:space="preserve">prospective cohort study. </w:t>
      </w:r>
      <w:r w:rsidRPr="000507BA">
        <w:rPr>
          <w:i/>
          <w:iCs/>
          <w:noProof/>
          <w:sz w:val="18"/>
          <w:lang w:val="en-US"/>
        </w:rPr>
        <w:t>Lancet</w:t>
      </w:r>
      <w:r w:rsidRPr="000507BA">
        <w:rPr>
          <w:noProof/>
          <w:sz w:val="18"/>
          <w:lang w:val="en-US"/>
        </w:rPr>
        <w:t>. 2016;387(10035):2312-2322. doi:10.1016/S0140-6736(15)01316-1</w:t>
      </w:r>
    </w:p>
    <w:p w14:paraId="233696A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 </w:t>
      </w:r>
      <w:r w:rsidRPr="000507BA">
        <w:rPr>
          <w:noProof/>
          <w:sz w:val="18"/>
          <w:lang w:val="en-US"/>
        </w:rPr>
        <w:tab/>
        <w:t xml:space="preserve">Barrett T, Wilhite SE, Ledoux P, et al. NCBI GEO: archive for functional genomics data sets--update. </w:t>
      </w:r>
      <w:r w:rsidRPr="000507BA">
        <w:rPr>
          <w:i/>
          <w:iCs/>
          <w:noProof/>
          <w:sz w:val="18"/>
          <w:lang w:val="en-US"/>
        </w:rPr>
        <w:t>Nucleic Acids Res</w:t>
      </w:r>
      <w:r w:rsidRPr="000507BA">
        <w:rPr>
          <w:noProof/>
          <w:sz w:val="18"/>
          <w:lang w:val="en-US"/>
        </w:rPr>
        <w:t>. 2013;41(Database issue):D991-5. doi:10.1093/nar/gks1193</w:t>
      </w:r>
    </w:p>
    <w:p w14:paraId="003ED0C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 </w:t>
      </w:r>
      <w:r w:rsidRPr="000507BA">
        <w:rPr>
          <w:noProof/>
          <w:sz w:val="18"/>
          <w:lang w:val="en-US"/>
        </w:rPr>
        <w:tab/>
        <w:t xml:space="preserve">Oskarsson B, Horton DK, Mitsumoto H. Potential Environmental Factors in Amyotrophic Lateral Sclerosis. </w:t>
      </w:r>
      <w:r w:rsidRPr="000507BA">
        <w:rPr>
          <w:i/>
          <w:iCs/>
          <w:noProof/>
          <w:sz w:val="18"/>
          <w:lang w:val="en-US"/>
        </w:rPr>
        <w:t>Neurol Clin</w:t>
      </w:r>
      <w:r w:rsidRPr="000507BA">
        <w:rPr>
          <w:noProof/>
          <w:sz w:val="18"/>
          <w:lang w:val="en-US"/>
        </w:rPr>
        <w:t>. 2015;33(4):877-888. doi:10.1016/j.ncl.2015.07.009</w:t>
      </w:r>
    </w:p>
    <w:p w14:paraId="04DC0DA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 </w:t>
      </w:r>
      <w:r w:rsidRPr="000507BA">
        <w:rPr>
          <w:noProof/>
          <w:sz w:val="18"/>
          <w:lang w:val="en-US"/>
        </w:rPr>
        <w:tab/>
        <w:t xml:space="preserve">Leucht S, Helfer B, Gartlehner G, Davis JM. How effective are common medications: a perspective based on meta-analyses of major drugs. </w:t>
      </w:r>
      <w:r w:rsidRPr="000507BA">
        <w:rPr>
          <w:i/>
          <w:iCs/>
          <w:noProof/>
          <w:sz w:val="18"/>
          <w:lang w:val="en-US"/>
        </w:rPr>
        <w:t>BMC Med</w:t>
      </w:r>
      <w:r w:rsidRPr="000507BA">
        <w:rPr>
          <w:noProof/>
          <w:sz w:val="18"/>
          <w:lang w:val="en-US"/>
        </w:rPr>
        <w:t>. 2015;13(1):253. doi:10.1186/s12916-015-0494-1</w:t>
      </w:r>
    </w:p>
    <w:p w14:paraId="0905863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 </w:t>
      </w:r>
      <w:r w:rsidRPr="000507BA">
        <w:rPr>
          <w:noProof/>
          <w:sz w:val="18"/>
          <w:lang w:val="en-US"/>
        </w:rPr>
        <w:tab/>
        <w:t xml:space="preserve">Embracing patient heterogeneity. </w:t>
      </w:r>
      <w:r w:rsidRPr="000507BA">
        <w:rPr>
          <w:i/>
          <w:iCs/>
          <w:noProof/>
          <w:sz w:val="18"/>
          <w:lang w:val="en-US"/>
        </w:rPr>
        <w:t>Nat Med</w:t>
      </w:r>
      <w:r w:rsidRPr="000507BA">
        <w:rPr>
          <w:noProof/>
          <w:sz w:val="18"/>
          <w:lang w:val="en-US"/>
        </w:rPr>
        <w:t>. 2014;20(7):689-689. doi:10.1038/nm.3632</w:t>
      </w:r>
    </w:p>
    <w:p w14:paraId="33FA77B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 </w:t>
      </w:r>
      <w:r w:rsidRPr="000507BA">
        <w:rPr>
          <w:noProof/>
          <w:sz w:val="18"/>
          <w:lang w:val="en-US"/>
        </w:rPr>
        <w:tab/>
        <w:t xml:space="preserve">Shang H, Liu G, Jiang Y, et al. Pathway Analysis of Two Amyotrophic Lateral Sclerosis GWAS Highlights Shared Genetic Signals with Alzheimer’s Disease and Parkinson’s Disease. </w:t>
      </w:r>
      <w:r w:rsidRPr="000507BA">
        <w:rPr>
          <w:i/>
          <w:iCs/>
          <w:noProof/>
          <w:sz w:val="18"/>
          <w:lang w:val="en-US"/>
        </w:rPr>
        <w:t>Mol Neurobiol</w:t>
      </w:r>
      <w:r w:rsidRPr="000507BA">
        <w:rPr>
          <w:noProof/>
          <w:sz w:val="18"/>
          <w:lang w:val="en-US"/>
        </w:rPr>
        <w:t>. 2015;51(1):361-369. doi:10.1007/s12035-014-8673-1</w:t>
      </w:r>
    </w:p>
    <w:p w14:paraId="2AD017B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 </w:t>
      </w:r>
      <w:r w:rsidRPr="000507BA">
        <w:rPr>
          <w:noProof/>
          <w:sz w:val="18"/>
          <w:lang w:val="en-US"/>
        </w:rPr>
        <w:tab/>
        <w:t xml:space="preserve">Glaab E, Schneider R. Comparative pathway and network analysis of brain transcriptome changes during adult aging and in Parkinson’s disease. </w:t>
      </w:r>
      <w:r w:rsidRPr="000507BA">
        <w:rPr>
          <w:i/>
          <w:iCs/>
          <w:noProof/>
          <w:sz w:val="18"/>
          <w:lang w:val="en-US"/>
        </w:rPr>
        <w:t>Neurobiol Dis</w:t>
      </w:r>
      <w:r w:rsidRPr="000507BA">
        <w:rPr>
          <w:noProof/>
          <w:sz w:val="18"/>
          <w:lang w:val="en-US"/>
        </w:rPr>
        <w:t>. 2015;74:1-13. doi:10.1016/J.NBD.2014.11.002</w:t>
      </w:r>
    </w:p>
    <w:p w14:paraId="0C2B84D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 </w:t>
      </w:r>
      <w:r w:rsidRPr="000507BA">
        <w:rPr>
          <w:noProof/>
          <w:sz w:val="18"/>
          <w:lang w:val="en-US"/>
        </w:rPr>
        <w:tab/>
        <w:t xml:space="preserve">Gandal MJ, Haney JR, Parikshak NN, et al. Shared molecular neuropathology across major psychiatric disorders parallels polygenic overlap. </w:t>
      </w:r>
      <w:r w:rsidRPr="000507BA">
        <w:rPr>
          <w:i/>
          <w:iCs/>
          <w:noProof/>
          <w:sz w:val="18"/>
          <w:lang w:val="en-US"/>
        </w:rPr>
        <w:t>Science</w:t>
      </w:r>
      <w:r w:rsidRPr="000507BA">
        <w:rPr>
          <w:noProof/>
          <w:sz w:val="18"/>
          <w:lang w:val="en-US"/>
        </w:rPr>
        <w:t>. 2018;359(6376):693-697. doi:10.1126/science.aad6469</w:t>
      </w:r>
    </w:p>
    <w:p w14:paraId="7C93FFC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 </w:t>
      </w:r>
      <w:r w:rsidRPr="000507BA">
        <w:rPr>
          <w:noProof/>
          <w:sz w:val="18"/>
          <w:lang w:val="en-US"/>
        </w:rPr>
        <w:tab/>
        <w:t xml:space="preserve">Jha PK, Vijay A, Sahu A, Ashraf MZ. Comprehensive Gene expression meta-analysis and integrated bioinformatic approaches reveal shared signatures between thrombosis and myeloproliferative disorders. </w:t>
      </w:r>
      <w:r w:rsidRPr="000507BA">
        <w:rPr>
          <w:i/>
          <w:iCs/>
          <w:noProof/>
          <w:sz w:val="18"/>
          <w:lang w:val="en-US"/>
        </w:rPr>
        <w:t>Sci Rep</w:t>
      </w:r>
      <w:r w:rsidRPr="000507BA">
        <w:rPr>
          <w:noProof/>
          <w:sz w:val="18"/>
          <w:lang w:val="en-US"/>
        </w:rPr>
        <w:t>. 2016;6:37099. doi:10.1038/srep37099</w:t>
      </w:r>
    </w:p>
    <w:p w14:paraId="54C7C14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 </w:t>
      </w:r>
      <w:r w:rsidRPr="000507BA">
        <w:rPr>
          <w:noProof/>
          <w:sz w:val="18"/>
          <w:lang w:val="en-US"/>
        </w:rPr>
        <w:tab/>
        <w:t xml:space="preserve">Parkes M, Cortes A, van Heel DA, Brown MA. Genetic insights into common pathways and complex relationships among immune-mediated diseases. </w:t>
      </w:r>
      <w:r w:rsidRPr="000507BA">
        <w:rPr>
          <w:i/>
          <w:iCs/>
          <w:noProof/>
          <w:sz w:val="18"/>
          <w:lang w:val="en-US"/>
        </w:rPr>
        <w:t>Nat Rev Genet</w:t>
      </w:r>
      <w:r w:rsidRPr="000507BA">
        <w:rPr>
          <w:noProof/>
          <w:sz w:val="18"/>
          <w:lang w:val="en-US"/>
        </w:rPr>
        <w:t>. 2013;14(9):661-673. doi:10.1038/nrg3502</w:t>
      </w:r>
    </w:p>
    <w:p w14:paraId="0E4DC1F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 </w:t>
      </w:r>
      <w:r w:rsidRPr="000507BA">
        <w:rPr>
          <w:noProof/>
          <w:sz w:val="18"/>
          <w:lang w:val="en-US"/>
        </w:rPr>
        <w:tab/>
        <w:t xml:space="preserve">Tuller T, Atar S, Ruppin E, Gurevich M, Achiron A. Common and specific signatures of gene expression and protein–protein interactions in autoimmune diseases. </w:t>
      </w:r>
      <w:r w:rsidRPr="000507BA">
        <w:rPr>
          <w:i/>
          <w:iCs/>
          <w:noProof/>
          <w:sz w:val="18"/>
          <w:lang w:val="en-US"/>
        </w:rPr>
        <w:t>Genes Immun</w:t>
      </w:r>
      <w:r w:rsidRPr="000507BA">
        <w:rPr>
          <w:noProof/>
          <w:sz w:val="18"/>
          <w:lang w:val="en-US"/>
        </w:rPr>
        <w:t>. 2013;14(2):67-82. doi:10.1038/gene.2012.55</w:t>
      </w:r>
    </w:p>
    <w:p w14:paraId="5816008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 </w:t>
      </w:r>
      <w:r w:rsidRPr="000507BA">
        <w:rPr>
          <w:noProof/>
          <w:sz w:val="18"/>
          <w:lang w:val="en-US"/>
        </w:rPr>
        <w:tab/>
        <w:t xml:space="preserve">de Magalhães JP, Curado J, Church GM. Meta-analysis of age-related gene expression profiles identifies common signatures of aging. </w:t>
      </w:r>
      <w:r w:rsidRPr="000507BA">
        <w:rPr>
          <w:i/>
          <w:iCs/>
          <w:noProof/>
          <w:sz w:val="18"/>
          <w:lang w:val="en-US"/>
        </w:rPr>
        <w:t>Bioinformatics</w:t>
      </w:r>
      <w:r w:rsidRPr="000507BA">
        <w:rPr>
          <w:noProof/>
          <w:sz w:val="18"/>
          <w:lang w:val="en-US"/>
        </w:rPr>
        <w:t>. 2009;25(7):875-881. doi:10.1093/bioinformatics/btp073</w:t>
      </w:r>
    </w:p>
    <w:p w14:paraId="5F1F544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 </w:t>
      </w:r>
      <w:r w:rsidRPr="000507BA">
        <w:rPr>
          <w:noProof/>
          <w:sz w:val="18"/>
          <w:lang w:val="en-US"/>
        </w:rPr>
        <w:tab/>
        <w:t xml:space="preserve">Johnson SC, Dong X, Vijg J, Suh Y. Genetic evidence for common pathways in human age-related diseases. </w:t>
      </w:r>
      <w:r w:rsidRPr="000507BA">
        <w:rPr>
          <w:i/>
          <w:iCs/>
          <w:noProof/>
          <w:sz w:val="18"/>
          <w:lang w:val="en-US"/>
        </w:rPr>
        <w:t>Aging Cell</w:t>
      </w:r>
      <w:r w:rsidRPr="000507BA">
        <w:rPr>
          <w:noProof/>
          <w:sz w:val="18"/>
          <w:lang w:val="en-US"/>
        </w:rPr>
        <w:t>. 2015;14(5):809-817. doi:10.1111/acel.12362</w:t>
      </w:r>
    </w:p>
    <w:p w14:paraId="4FF0C65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 </w:t>
      </w:r>
      <w:r w:rsidRPr="000507BA">
        <w:rPr>
          <w:noProof/>
          <w:sz w:val="18"/>
          <w:lang w:val="en-US"/>
        </w:rPr>
        <w:tab/>
        <w:t xml:space="preserve">Moccia F, Fotia V, Tancredi R, et al. Breast and renal cancer—Derived endothelial colony forming cells share a common gene signature. </w:t>
      </w:r>
      <w:r w:rsidRPr="000507BA">
        <w:rPr>
          <w:i/>
          <w:iCs/>
          <w:noProof/>
          <w:sz w:val="18"/>
          <w:lang w:val="en-US"/>
        </w:rPr>
        <w:t>Eur J Cancer</w:t>
      </w:r>
      <w:r w:rsidRPr="000507BA">
        <w:rPr>
          <w:noProof/>
          <w:sz w:val="18"/>
          <w:lang w:val="en-US"/>
        </w:rPr>
        <w:t>. 2017;77:155-164. doi:10.1016/J.EJCA.2017.01.025</w:t>
      </w:r>
    </w:p>
    <w:p w14:paraId="62F6BBD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 </w:t>
      </w:r>
      <w:r w:rsidRPr="000507BA">
        <w:rPr>
          <w:noProof/>
          <w:sz w:val="18"/>
          <w:lang w:val="en-US"/>
        </w:rPr>
        <w:tab/>
        <w:t xml:space="preserve">Larkin JE, Frank BC, Gavras H, Sultana R, Quackenbush J. Independence and reproducibility across microarray platforms. </w:t>
      </w:r>
      <w:r w:rsidRPr="000507BA">
        <w:rPr>
          <w:i/>
          <w:iCs/>
          <w:noProof/>
          <w:sz w:val="18"/>
          <w:lang w:val="en-US"/>
        </w:rPr>
        <w:t>Nat Methods</w:t>
      </w:r>
      <w:r w:rsidRPr="000507BA">
        <w:rPr>
          <w:noProof/>
          <w:sz w:val="18"/>
          <w:lang w:val="en-US"/>
        </w:rPr>
        <w:t>. 2005;2(5):337-344. doi:10.1038/nmeth757</w:t>
      </w:r>
    </w:p>
    <w:p w14:paraId="2E903F8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 </w:t>
      </w:r>
      <w:r w:rsidRPr="000507BA">
        <w:rPr>
          <w:noProof/>
          <w:sz w:val="18"/>
          <w:lang w:val="en-US"/>
        </w:rPr>
        <w:tab/>
        <w:t xml:space="preserve">Irizarry RA, Warren D, Spencer F, et al. Multiple-laboratory comparison of microarray platforms. </w:t>
      </w:r>
      <w:r w:rsidRPr="000507BA">
        <w:rPr>
          <w:i/>
          <w:iCs/>
          <w:noProof/>
          <w:sz w:val="18"/>
          <w:lang w:val="en-US"/>
        </w:rPr>
        <w:t>Nat Methods</w:t>
      </w:r>
      <w:r w:rsidRPr="000507BA">
        <w:rPr>
          <w:noProof/>
          <w:sz w:val="18"/>
          <w:lang w:val="en-US"/>
        </w:rPr>
        <w:t>. 2005;2(5):345-350. doi:10.1038/nmeth756</w:t>
      </w:r>
    </w:p>
    <w:p w14:paraId="6EE3036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 </w:t>
      </w:r>
      <w:r w:rsidRPr="000507BA">
        <w:rPr>
          <w:noProof/>
          <w:sz w:val="18"/>
          <w:lang w:val="en-US"/>
        </w:rPr>
        <w:tab/>
        <w:t xml:space="preserve">Haibe-Kains B, El-Hachem N, Birkbak NJ, et al. Inconsistency in large pharmacogenomic studies. </w:t>
      </w:r>
      <w:r w:rsidRPr="000507BA">
        <w:rPr>
          <w:i/>
          <w:iCs/>
          <w:noProof/>
          <w:sz w:val="18"/>
          <w:lang w:val="en-US"/>
        </w:rPr>
        <w:t>Nature</w:t>
      </w:r>
      <w:r w:rsidRPr="000507BA">
        <w:rPr>
          <w:noProof/>
          <w:sz w:val="18"/>
          <w:lang w:val="en-US"/>
        </w:rPr>
        <w:t>. 2013;504(7480):389-393. doi:10.1038/nature12831</w:t>
      </w:r>
    </w:p>
    <w:p w14:paraId="16055D1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 </w:t>
      </w:r>
      <w:r w:rsidRPr="000507BA">
        <w:rPr>
          <w:noProof/>
          <w:sz w:val="18"/>
          <w:lang w:val="en-US"/>
        </w:rPr>
        <w:tab/>
        <w:t xml:space="preserve">Koscielny S. Why Most Gene Expression Signatures of Tumors Have Not Been Useful in the Clinic. </w:t>
      </w:r>
      <w:r w:rsidRPr="000507BA">
        <w:rPr>
          <w:i/>
          <w:iCs/>
          <w:noProof/>
          <w:sz w:val="18"/>
          <w:lang w:val="en-US"/>
        </w:rPr>
        <w:t>Sci Transl Med</w:t>
      </w:r>
      <w:r w:rsidRPr="000507BA">
        <w:rPr>
          <w:noProof/>
          <w:sz w:val="18"/>
          <w:lang w:val="en-US"/>
        </w:rPr>
        <w:t>. 2010;2(14):14ps2-14ps2. doi:10.1126/scitranslmed.3000313</w:t>
      </w:r>
    </w:p>
    <w:p w14:paraId="66D0B4F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 </w:t>
      </w:r>
      <w:r w:rsidRPr="000507BA">
        <w:rPr>
          <w:noProof/>
          <w:sz w:val="18"/>
          <w:lang w:val="en-US"/>
        </w:rPr>
        <w:tab/>
        <w:t xml:space="preserve">Patil P, Bachant-Winner P-O, Haibe-Kains B, Leek JT. Test set bias affects reproducibility of gene signatures. </w:t>
      </w:r>
      <w:r w:rsidRPr="000507BA">
        <w:rPr>
          <w:i/>
          <w:iCs/>
          <w:noProof/>
          <w:sz w:val="18"/>
          <w:lang w:val="en-US"/>
        </w:rPr>
        <w:t>Bioinformatics</w:t>
      </w:r>
      <w:r w:rsidRPr="000507BA">
        <w:rPr>
          <w:noProof/>
          <w:sz w:val="18"/>
          <w:lang w:val="en-US"/>
        </w:rPr>
        <w:t>. 2015;31(14):2318-2323. doi:10.1093/bioinformatics/btv157</w:t>
      </w:r>
    </w:p>
    <w:p w14:paraId="6FBC16E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 </w:t>
      </w:r>
      <w:r w:rsidRPr="000507BA">
        <w:rPr>
          <w:noProof/>
          <w:sz w:val="18"/>
          <w:lang w:val="en-US"/>
        </w:rPr>
        <w:tab/>
        <w:t xml:space="preserve">Marshall E. Getting the Noise Out of Gene Arrays. </w:t>
      </w:r>
      <w:r w:rsidRPr="000507BA">
        <w:rPr>
          <w:i/>
          <w:iCs/>
          <w:noProof/>
          <w:sz w:val="18"/>
          <w:lang w:val="en-US"/>
        </w:rPr>
        <w:t>Science (80- )</w:t>
      </w:r>
      <w:r w:rsidRPr="000507BA">
        <w:rPr>
          <w:noProof/>
          <w:sz w:val="18"/>
          <w:lang w:val="en-US"/>
        </w:rPr>
        <w:t>. 2004;306(5696).</w:t>
      </w:r>
    </w:p>
    <w:p w14:paraId="1DC6FF8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 </w:t>
      </w:r>
      <w:r w:rsidRPr="000507BA">
        <w:rPr>
          <w:noProof/>
          <w:sz w:val="18"/>
          <w:lang w:val="en-US"/>
        </w:rPr>
        <w:tab/>
        <w:t xml:space="preserve">Leek JT, Scharpf RB, Bravo HC, et al. Tackling the widespread and critical impact of batch effects </w:t>
      </w:r>
      <w:r w:rsidRPr="000507BA">
        <w:rPr>
          <w:noProof/>
          <w:sz w:val="18"/>
          <w:lang w:val="en-US"/>
        </w:rPr>
        <w:lastRenderedPageBreak/>
        <w:t xml:space="preserve">in high-throughput data. </w:t>
      </w:r>
      <w:r w:rsidRPr="000507BA">
        <w:rPr>
          <w:i/>
          <w:iCs/>
          <w:noProof/>
          <w:sz w:val="18"/>
          <w:lang w:val="en-US"/>
        </w:rPr>
        <w:t>Nat Rev Genet</w:t>
      </w:r>
      <w:r w:rsidRPr="000507BA">
        <w:rPr>
          <w:noProof/>
          <w:sz w:val="18"/>
          <w:lang w:val="en-US"/>
        </w:rPr>
        <w:t>. 2010;11(10):733-739. doi:10.1038/nrg2825</w:t>
      </w:r>
    </w:p>
    <w:p w14:paraId="7645714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 </w:t>
      </w:r>
      <w:r w:rsidRPr="000507BA">
        <w:rPr>
          <w:noProof/>
          <w:sz w:val="18"/>
          <w:lang w:val="en-US"/>
        </w:rPr>
        <w:tab/>
        <w:t xml:space="preserve">Lever J, Krzywinski M, Altman N. </w:t>
      </w:r>
      <w:r w:rsidRPr="000507BA">
        <w:rPr>
          <w:i/>
          <w:iCs/>
          <w:noProof/>
          <w:sz w:val="18"/>
          <w:lang w:val="en-US"/>
        </w:rPr>
        <w:t>Model Selection and Overfitting</w:t>
      </w:r>
      <w:r w:rsidRPr="000507BA">
        <w:rPr>
          <w:noProof/>
          <w:sz w:val="18"/>
          <w:lang w:val="en-US"/>
        </w:rPr>
        <w:t>. Vol 13.; 2016. doi:10.1038/nmeth.3968</w:t>
      </w:r>
    </w:p>
    <w:p w14:paraId="6118649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 </w:t>
      </w:r>
      <w:r w:rsidRPr="000507BA">
        <w:rPr>
          <w:noProof/>
          <w:sz w:val="18"/>
          <w:lang w:val="en-US"/>
        </w:rPr>
        <w:tab/>
        <w:t xml:space="preserve">Bolstad BM, Irizarry RA, Astrand M, Speed TP. A comparison of normalization methods for high density oligonucleotide array data based on variance and bias. </w:t>
      </w:r>
      <w:r w:rsidRPr="000507BA">
        <w:rPr>
          <w:i/>
          <w:iCs/>
          <w:noProof/>
          <w:sz w:val="18"/>
          <w:lang w:val="en-US"/>
        </w:rPr>
        <w:t>Bioinformatics</w:t>
      </w:r>
      <w:r w:rsidRPr="000507BA">
        <w:rPr>
          <w:noProof/>
          <w:sz w:val="18"/>
          <w:lang w:val="en-US"/>
        </w:rPr>
        <w:t>. 2003;19(2):185-193. http://www.ncbi.nlm.nih.gov/pubmed/12538238. Accessed October 19, 2018.</w:t>
      </w:r>
    </w:p>
    <w:p w14:paraId="7FD8225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 </w:t>
      </w:r>
      <w:r w:rsidRPr="000507BA">
        <w:rPr>
          <w:noProof/>
          <w:sz w:val="18"/>
          <w:lang w:val="en-US"/>
        </w:rPr>
        <w:tab/>
        <w:t xml:space="preserve">Qi L, Chen L, Li Y, et al. Critical limitations of prognostic signatures based on risk scores summarized from gene expression levels: a case study for resected stage I non-small-cell lung cancer. </w:t>
      </w:r>
      <w:r w:rsidRPr="000507BA">
        <w:rPr>
          <w:i/>
          <w:iCs/>
          <w:noProof/>
          <w:sz w:val="18"/>
          <w:lang w:val="en-US"/>
        </w:rPr>
        <w:t>Brief Bioinform</w:t>
      </w:r>
      <w:r w:rsidRPr="000507BA">
        <w:rPr>
          <w:noProof/>
          <w:sz w:val="18"/>
          <w:lang w:val="en-US"/>
        </w:rPr>
        <w:t>. 2016;17(2):233-242. doi:10.1093/bib/bbv064</w:t>
      </w:r>
    </w:p>
    <w:p w14:paraId="21A9440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 </w:t>
      </w:r>
      <w:r w:rsidRPr="000507BA">
        <w:rPr>
          <w:noProof/>
          <w:sz w:val="18"/>
          <w:lang w:val="en-US"/>
        </w:rPr>
        <w:tab/>
        <w:t xml:space="preserve">Reimers M. Making Informed Choices about Microarray Data Analysis. Lewitter F, ed. </w:t>
      </w:r>
      <w:r w:rsidRPr="000507BA">
        <w:rPr>
          <w:i/>
          <w:iCs/>
          <w:noProof/>
          <w:sz w:val="18"/>
          <w:lang w:val="en-US"/>
        </w:rPr>
        <w:t>PLoS Comput Biol</w:t>
      </w:r>
      <w:r w:rsidRPr="000507BA">
        <w:rPr>
          <w:noProof/>
          <w:sz w:val="18"/>
          <w:lang w:val="en-US"/>
        </w:rPr>
        <w:t>. 2010;6(5):e1000786. doi:10.1371/journal.pcbi.1000786</w:t>
      </w:r>
    </w:p>
    <w:p w14:paraId="75A2DEC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 </w:t>
      </w:r>
      <w:r w:rsidRPr="000507BA">
        <w:rPr>
          <w:noProof/>
          <w:sz w:val="18"/>
          <w:lang w:val="en-US"/>
        </w:rPr>
        <w:tab/>
        <w:t xml:space="preserve">Tatonetti NP, Ye PP, Daneshjou R, Altman RB. Data-driven prediction of drug effects and interactions. </w:t>
      </w:r>
      <w:r w:rsidRPr="000507BA">
        <w:rPr>
          <w:i/>
          <w:iCs/>
          <w:noProof/>
          <w:sz w:val="18"/>
          <w:lang w:val="en-US"/>
        </w:rPr>
        <w:t>Sci Transl Med</w:t>
      </w:r>
      <w:r w:rsidRPr="000507BA">
        <w:rPr>
          <w:noProof/>
          <w:sz w:val="18"/>
          <w:lang w:val="en-US"/>
        </w:rPr>
        <w:t>. 2012;4(125):125ra31. doi:10.1126/scitranslmed.3003377</w:t>
      </w:r>
    </w:p>
    <w:p w14:paraId="0448B71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 </w:t>
      </w:r>
      <w:r w:rsidRPr="000507BA">
        <w:rPr>
          <w:noProof/>
          <w:sz w:val="18"/>
          <w:lang w:val="en-US"/>
        </w:rPr>
        <w:tab/>
        <w:t xml:space="preserve">Provost F, Fawcett T. Data Science and its Relationship to Big Data and Data-Driven Decision Making. </w:t>
      </w:r>
      <w:r w:rsidRPr="000507BA">
        <w:rPr>
          <w:i/>
          <w:iCs/>
          <w:noProof/>
          <w:sz w:val="18"/>
          <w:lang w:val="en-US"/>
        </w:rPr>
        <w:t>Big Data</w:t>
      </w:r>
      <w:r w:rsidRPr="000507BA">
        <w:rPr>
          <w:noProof/>
          <w:sz w:val="18"/>
          <w:lang w:val="en-US"/>
        </w:rPr>
        <w:t>. 2013;1(1):51-59. doi:10.1089/big.2013.1508</w:t>
      </w:r>
    </w:p>
    <w:p w14:paraId="74A55FB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46. </w:t>
      </w:r>
      <w:r w:rsidRPr="000507BA">
        <w:rPr>
          <w:noProof/>
          <w:sz w:val="18"/>
          <w:lang w:val="en-US"/>
        </w:rPr>
        <w:tab/>
        <w:t xml:space="preserve">Leonelli S. Introduction: Making sense of data-driven research in the biological and biomedical sciences. </w:t>
      </w:r>
      <w:r w:rsidRPr="000507BA">
        <w:rPr>
          <w:i/>
          <w:iCs/>
          <w:noProof/>
          <w:sz w:val="18"/>
          <w:lang w:val="en-US"/>
        </w:rPr>
        <w:t>Stud Hist Philos Sci Part C Stud Hist Philos Biol Biomed Sci</w:t>
      </w:r>
      <w:r w:rsidRPr="000507BA">
        <w:rPr>
          <w:noProof/>
          <w:sz w:val="18"/>
          <w:lang w:val="en-US"/>
        </w:rPr>
        <w:t>. 2012;43(1):1-3. doi:10.1016/J.SHPSC.2011.10.001</w:t>
      </w:r>
    </w:p>
    <w:p w14:paraId="0757138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47. </w:t>
      </w:r>
      <w:r w:rsidRPr="000507BA">
        <w:rPr>
          <w:noProof/>
          <w:sz w:val="18"/>
          <w:lang w:val="en-US"/>
        </w:rPr>
        <w:tab/>
        <w:t xml:space="preserve">Krumholz HM. Big Data And New Knowledge In Medicine: The Thinking, Training, And Tools Needed For A Learning Health System. </w:t>
      </w:r>
      <w:r w:rsidRPr="000507BA">
        <w:rPr>
          <w:i/>
          <w:iCs/>
          <w:noProof/>
          <w:sz w:val="18"/>
          <w:lang w:val="en-US"/>
        </w:rPr>
        <w:t>Health Aff</w:t>
      </w:r>
      <w:r w:rsidRPr="000507BA">
        <w:rPr>
          <w:noProof/>
          <w:sz w:val="18"/>
          <w:lang w:val="en-US"/>
        </w:rPr>
        <w:t>. 2014;33(7):1163-1170. doi:10.1377/hlthaff.2014.0053</w:t>
      </w:r>
    </w:p>
    <w:p w14:paraId="329506A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48. </w:t>
      </w:r>
      <w:r w:rsidRPr="000507BA">
        <w:rPr>
          <w:noProof/>
          <w:sz w:val="18"/>
          <w:lang w:val="en-US"/>
        </w:rPr>
        <w:tab/>
        <w:t xml:space="preserve">Martin-Sanchez F, Verspoor K. Big data in medicine is driving big changes. </w:t>
      </w:r>
      <w:r w:rsidRPr="000507BA">
        <w:rPr>
          <w:i/>
          <w:iCs/>
          <w:noProof/>
          <w:sz w:val="18"/>
          <w:lang w:val="en-US"/>
        </w:rPr>
        <w:t>Yearb Med Inform</w:t>
      </w:r>
      <w:r w:rsidRPr="000507BA">
        <w:rPr>
          <w:noProof/>
          <w:sz w:val="18"/>
          <w:lang w:val="en-US"/>
        </w:rPr>
        <w:t>. 2014;9(1):14-20. doi:10.15265/IY-2014-0020</w:t>
      </w:r>
    </w:p>
    <w:p w14:paraId="1A2DCC2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49. </w:t>
      </w:r>
      <w:r w:rsidRPr="000507BA">
        <w:rPr>
          <w:noProof/>
          <w:sz w:val="18"/>
          <w:lang w:val="en-US"/>
        </w:rPr>
        <w:tab/>
        <w:t xml:space="preserve">Baranzini SE, Galwey NW, Wang J, et al. Pathway and network-based analysis of genome-wide association studies in multiple sclerosis. </w:t>
      </w:r>
      <w:r w:rsidRPr="000507BA">
        <w:rPr>
          <w:i/>
          <w:iCs/>
          <w:noProof/>
          <w:sz w:val="18"/>
          <w:lang w:val="en-US"/>
        </w:rPr>
        <w:t>Hum Mol Genet</w:t>
      </w:r>
      <w:r w:rsidRPr="000507BA">
        <w:rPr>
          <w:noProof/>
          <w:sz w:val="18"/>
          <w:lang w:val="en-US"/>
        </w:rPr>
        <w:t>. 2009;18(11):2078-2090. doi:10.1093/hmg/ddp120</w:t>
      </w:r>
    </w:p>
    <w:p w14:paraId="69FDBB9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50. </w:t>
      </w:r>
      <w:r w:rsidRPr="000507BA">
        <w:rPr>
          <w:noProof/>
          <w:sz w:val="18"/>
          <w:lang w:val="en-US"/>
        </w:rPr>
        <w:tab/>
        <w:t xml:space="preserve">Wang L, Wu L-F, Lu X, et al. Integrated Analyses of Gene Expression Profiles Digs out Common Markers for Rheumatic Diseases. Booth DR, ed. </w:t>
      </w:r>
      <w:r w:rsidRPr="000507BA">
        <w:rPr>
          <w:i/>
          <w:iCs/>
          <w:noProof/>
          <w:sz w:val="18"/>
          <w:lang w:val="en-US"/>
        </w:rPr>
        <w:t>PLoS One</w:t>
      </w:r>
      <w:r w:rsidRPr="000507BA">
        <w:rPr>
          <w:noProof/>
          <w:sz w:val="18"/>
          <w:lang w:val="en-US"/>
        </w:rPr>
        <w:t>. 2015;10(9):e0137522. doi:10.1371/journal.pone.0137522</w:t>
      </w:r>
    </w:p>
    <w:p w14:paraId="4611D43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51. </w:t>
      </w:r>
      <w:r w:rsidRPr="000507BA">
        <w:rPr>
          <w:noProof/>
          <w:sz w:val="18"/>
          <w:lang w:val="en-US"/>
        </w:rPr>
        <w:tab/>
        <w:t xml:space="preserve">Heard NA. </w:t>
      </w:r>
      <w:r w:rsidRPr="000507BA">
        <w:rPr>
          <w:i/>
          <w:iCs/>
          <w:noProof/>
          <w:sz w:val="18"/>
          <w:lang w:val="en-US"/>
        </w:rPr>
        <w:t>Choosing Between Methods of Combining P-Values</w:t>
      </w:r>
      <w:r w:rsidRPr="000507BA">
        <w:rPr>
          <w:noProof/>
          <w:sz w:val="18"/>
          <w:lang w:val="en-US"/>
        </w:rPr>
        <w:t>.; 2017. https://arxiv.org/pdf/1707.06897.pdf. Accessed October 19, 2018.</w:t>
      </w:r>
    </w:p>
    <w:p w14:paraId="3507055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52. </w:t>
      </w:r>
      <w:r w:rsidRPr="000507BA">
        <w:rPr>
          <w:noProof/>
          <w:sz w:val="18"/>
          <w:lang w:val="en-US"/>
        </w:rPr>
        <w:tab/>
        <w:t xml:space="preserve">IntHout J, Ioannidis JP, Borm GF. Obtaining evidence by a single well-powered trial or several modestly powered trials. </w:t>
      </w:r>
      <w:r w:rsidRPr="000507BA">
        <w:rPr>
          <w:i/>
          <w:iCs/>
          <w:noProof/>
          <w:sz w:val="18"/>
          <w:lang w:val="en-US"/>
        </w:rPr>
        <w:t>Stat Methods Med Res</w:t>
      </w:r>
      <w:r w:rsidRPr="000507BA">
        <w:rPr>
          <w:noProof/>
          <w:sz w:val="18"/>
          <w:lang w:val="en-US"/>
        </w:rPr>
        <w:t>. 2016;25(2):538-552. doi:10.1177/0962280212461098</w:t>
      </w:r>
    </w:p>
    <w:p w14:paraId="6964BFC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53. </w:t>
      </w:r>
      <w:r w:rsidRPr="000507BA">
        <w:rPr>
          <w:noProof/>
          <w:sz w:val="18"/>
          <w:lang w:val="en-US"/>
        </w:rPr>
        <w:tab/>
        <w:t xml:space="preserve">Borm GF, Lemmers O, Fransen J, Donders R. The evidence provided by a single trial is less reliable than its statistical analysis suggests. </w:t>
      </w:r>
      <w:r w:rsidRPr="000507BA">
        <w:rPr>
          <w:i/>
          <w:iCs/>
          <w:noProof/>
          <w:sz w:val="18"/>
          <w:lang w:val="en-US"/>
        </w:rPr>
        <w:t>J Clin Epidemiol</w:t>
      </w:r>
      <w:r w:rsidRPr="000507BA">
        <w:rPr>
          <w:noProof/>
          <w:sz w:val="18"/>
          <w:lang w:val="en-US"/>
        </w:rPr>
        <w:t>. 2009;62(7):711-715.e1. doi:10.1016/J.JCLINEPI.2008.09.013</w:t>
      </w:r>
    </w:p>
    <w:p w14:paraId="591D578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54. </w:t>
      </w:r>
      <w:r w:rsidRPr="000507BA">
        <w:rPr>
          <w:noProof/>
          <w:sz w:val="18"/>
          <w:lang w:val="en-US"/>
        </w:rPr>
        <w:tab/>
        <w:t xml:space="preserve">Venet D, Dumont JE, Detours V. Most Random Gene Expression Signatures Are Significantly Associated with Breast Cancer Outcome. Rigoutsos I, ed. </w:t>
      </w:r>
      <w:r w:rsidRPr="000507BA">
        <w:rPr>
          <w:i/>
          <w:iCs/>
          <w:noProof/>
          <w:sz w:val="18"/>
          <w:lang w:val="en-US"/>
        </w:rPr>
        <w:t>PLoS Comput Biol</w:t>
      </w:r>
      <w:r w:rsidRPr="000507BA">
        <w:rPr>
          <w:noProof/>
          <w:sz w:val="18"/>
          <w:lang w:val="en-US"/>
        </w:rPr>
        <w:t>. 2011;7(10):e1002240. doi:10.1371/journal.pcbi.1002240</w:t>
      </w:r>
    </w:p>
    <w:p w14:paraId="55B4D9D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55. </w:t>
      </w:r>
      <w:r w:rsidRPr="000507BA">
        <w:rPr>
          <w:noProof/>
          <w:sz w:val="18"/>
          <w:lang w:val="en-US"/>
        </w:rPr>
        <w:tab/>
        <w:t xml:space="preserve">Beck AH, Knoblauch NW, Hefti MM, et al. Significance Analysis of Prognostic Signatures. Tucker-Kellogg G, ed. </w:t>
      </w:r>
      <w:r w:rsidRPr="000507BA">
        <w:rPr>
          <w:i/>
          <w:iCs/>
          <w:noProof/>
          <w:sz w:val="18"/>
          <w:lang w:val="en-US"/>
        </w:rPr>
        <w:t>PLoS Comput Biol</w:t>
      </w:r>
      <w:r w:rsidRPr="000507BA">
        <w:rPr>
          <w:noProof/>
          <w:sz w:val="18"/>
          <w:lang w:val="en-US"/>
        </w:rPr>
        <w:t>. 2013;9(1):e1002875. doi:10.1371/journal.pcbi.1002875</w:t>
      </w:r>
    </w:p>
    <w:p w14:paraId="1617207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56. </w:t>
      </w:r>
      <w:r w:rsidRPr="000507BA">
        <w:rPr>
          <w:noProof/>
          <w:sz w:val="18"/>
          <w:lang w:val="en-US"/>
        </w:rPr>
        <w:tab/>
        <w:t xml:space="preserve">Baines KJ, Simpson JL, Wood LG, et al. Sputum gene expression signature of 6 biomarkers discriminates asthma inflammatory phenotypes. </w:t>
      </w:r>
      <w:r w:rsidRPr="000507BA">
        <w:rPr>
          <w:i/>
          <w:iCs/>
          <w:noProof/>
          <w:sz w:val="18"/>
          <w:lang w:val="en-US"/>
        </w:rPr>
        <w:t>J Allergy Clin Immunol</w:t>
      </w:r>
      <w:r w:rsidRPr="000507BA">
        <w:rPr>
          <w:noProof/>
          <w:sz w:val="18"/>
          <w:lang w:val="en-US"/>
        </w:rPr>
        <w:t>. 2014;133(4):997-1007. doi:10.1016/J.JACI.2013.12.1091</w:t>
      </w:r>
    </w:p>
    <w:p w14:paraId="1044867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57. </w:t>
      </w:r>
      <w:r w:rsidRPr="000507BA">
        <w:rPr>
          <w:noProof/>
          <w:sz w:val="18"/>
          <w:lang w:val="en-US"/>
        </w:rPr>
        <w:tab/>
        <w:t xml:space="preserve">Andorfer CA, Necela BM, Thompson EA, Perez EA. MicroRNA signatures: clinical biomarkers for the diagnosis and treatment of breast cancer. </w:t>
      </w:r>
      <w:r w:rsidRPr="000507BA">
        <w:rPr>
          <w:i/>
          <w:iCs/>
          <w:noProof/>
          <w:sz w:val="18"/>
          <w:lang w:val="en-US"/>
        </w:rPr>
        <w:t>Trends Mol Med</w:t>
      </w:r>
      <w:r w:rsidRPr="000507BA">
        <w:rPr>
          <w:noProof/>
          <w:sz w:val="18"/>
          <w:lang w:val="en-US"/>
        </w:rPr>
        <w:t xml:space="preserve">. 2011;17(6):313-319. </w:t>
      </w:r>
      <w:r w:rsidRPr="000507BA">
        <w:rPr>
          <w:noProof/>
          <w:sz w:val="18"/>
          <w:lang w:val="en-US"/>
        </w:rPr>
        <w:lastRenderedPageBreak/>
        <w:t>doi:10.1016/J.MOLMED.2011.01.006</w:t>
      </w:r>
    </w:p>
    <w:p w14:paraId="2FE8316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58. </w:t>
      </w:r>
      <w:r w:rsidRPr="000507BA">
        <w:rPr>
          <w:noProof/>
          <w:sz w:val="18"/>
          <w:lang w:val="en-US"/>
        </w:rPr>
        <w:tab/>
        <w:t xml:space="preserve">Nagaraja GM, Othman M, Fox BP, et al. Gene expression signatures and biomarkers of noninvasive and invasive breast cancer cells: comprehensive profiles by representational difference analysis, microarrays and proteomics. </w:t>
      </w:r>
      <w:r w:rsidRPr="000507BA">
        <w:rPr>
          <w:i/>
          <w:iCs/>
          <w:noProof/>
          <w:sz w:val="18"/>
          <w:lang w:val="en-US"/>
        </w:rPr>
        <w:t>Oncogene</w:t>
      </w:r>
      <w:r w:rsidRPr="000507BA">
        <w:rPr>
          <w:noProof/>
          <w:sz w:val="18"/>
          <w:lang w:val="en-US"/>
        </w:rPr>
        <w:t>. 2006;25(16):2328-2338. doi:10.1038/sj.onc.1209265</w:t>
      </w:r>
    </w:p>
    <w:p w14:paraId="79BC9EB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59. </w:t>
      </w:r>
      <w:r w:rsidRPr="000507BA">
        <w:rPr>
          <w:noProof/>
          <w:sz w:val="18"/>
          <w:lang w:val="en-US"/>
        </w:rPr>
        <w:tab/>
        <w:t xml:space="preserve">Volinia S, Calin GA, Liu C-G, et al. A microRNA expression signature of human solid tumors defines cancer gene targets. </w:t>
      </w:r>
      <w:r w:rsidRPr="000507BA">
        <w:rPr>
          <w:i/>
          <w:iCs/>
          <w:noProof/>
          <w:sz w:val="18"/>
          <w:lang w:val="en-US"/>
        </w:rPr>
        <w:t>Proc Natl Acad Sci U S A</w:t>
      </w:r>
      <w:r w:rsidRPr="000507BA">
        <w:rPr>
          <w:noProof/>
          <w:sz w:val="18"/>
          <w:lang w:val="en-US"/>
        </w:rPr>
        <w:t>. 2006;103(7):2257-2261. doi:10.1073/pnas.0510565103</w:t>
      </w:r>
    </w:p>
    <w:p w14:paraId="5421282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60. </w:t>
      </w:r>
      <w:r w:rsidRPr="000507BA">
        <w:rPr>
          <w:noProof/>
          <w:sz w:val="18"/>
          <w:lang w:val="en-US"/>
        </w:rPr>
        <w:tab/>
        <w:t>Philippidou D, Schmitt M, Moser D, et al. Tumor and Stem Cell Biology Signatures of MicroRNAs and Selected MicroRNA Target Genes in Human Melanoma. 2010. doi:10.1158/0008-5472.CAN-09-4512</w:t>
      </w:r>
    </w:p>
    <w:p w14:paraId="170DFBA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61. </w:t>
      </w:r>
      <w:r w:rsidRPr="000507BA">
        <w:rPr>
          <w:noProof/>
          <w:sz w:val="18"/>
          <w:lang w:val="en-US"/>
        </w:rPr>
        <w:tab/>
        <w:t xml:space="preserve">Jackson MA, Jeffery IB, Beaumont M, et al. Signatures of early frailty in the gut microbiota. </w:t>
      </w:r>
      <w:r w:rsidRPr="000507BA">
        <w:rPr>
          <w:i/>
          <w:iCs/>
          <w:noProof/>
          <w:sz w:val="18"/>
          <w:lang w:val="en-US"/>
        </w:rPr>
        <w:t>Genome Med</w:t>
      </w:r>
      <w:r w:rsidRPr="000507BA">
        <w:rPr>
          <w:noProof/>
          <w:sz w:val="18"/>
          <w:lang w:val="en-US"/>
        </w:rPr>
        <w:t>. 2016;8(1):8. doi:10.1186/s13073-016-0262-7</w:t>
      </w:r>
    </w:p>
    <w:p w14:paraId="0E7C9C0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62. </w:t>
      </w:r>
      <w:r w:rsidRPr="000507BA">
        <w:rPr>
          <w:noProof/>
          <w:sz w:val="18"/>
          <w:lang w:val="en-US"/>
        </w:rPr>
        <w:tab/>
        <w:t xml:space="preserve">Xie Y, Ahn C. Statistical methods for integrating multiple types of high-throughput data. </w:t>
      </w:r>
      <w:r w:rsidRPr="000507BA">
        <w:rPr>
          <w:i/>
          <w:iCs/>
          <w:noProof/>
          <w:sz w:val="18"/>
          <w:lang w:val="en-US"/>
        </w:rPr>
        <w:t>Methods Mol Biol</w:t>
      </w:r>
      <w:r w:rsidRPr="000507BA">
        <w:rPr>
          <w:noProof/>
          <w:sz w:val="18"/>
          <w:lang w:val="en-US"/>
        </w:rPr>
        <w:t>. 2010;620:511-529. doi:10.1007/978-1-60761-580-4_19</w:t>
      </w:r>
    </w:p>
    <w:p w14:paraId="5D796D6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63. </w:t>
      </w:r>
      <w:r w:rsidRPr="000507BA">
        <w:rPr>
          <w:noProof/>
          <w:sz w:val="18"/>
          <w:lang w:val="en-US"/>
        </w:rPr>
        <w:tab/>
        <w:t xml:space="preserve">Suravajhala P, Kogelman LJA, Kadarmideen HN. Multi-omic data integration and analysis using systems genomics approaches: methods and applications in animal production, health and welfare. </w:t>
      </w:r>
      <w:r w:rsidRPr="000507BA">
        <w:rPr>
          <w:i/>
          <w:iCs/>
          <w:noProof/>
          <w:sz w:val="18"/>
          <w:lang w:val="en-US"/>
        </w:rPr>
        <w:t>Genet Sel Evol</w:t>
      </w:r>
      <w:r w:rsidRPr="000507BA">
        <w:rPr>
          <w:noProof/>
          <w:sz w:val="18"/>
          <w:lang w:val="en-US"/>
        </w:rPr>
        <w:t>. 2016;48(1):38. doi:10.1186/s12711-016-0217-x</w:t>
      </w:r>
    </w:p>
    <w:p w14:paraId="166744F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64. </w:t>
      </w:r>
      <w:r w:rsidRPr="000507BA">
        <w:rPr>
          <w:noProof/>
          <w:sz w:val="18"/>
          <w:lang w:val="en-US"/>
        </w:rPr>
        <w:tab/>
        <w:t xml:space="preserve">Gibbs DL, Gralinski L, Baric RS, McWeeney SK. Multi-omic network signatures of disease. </w:t>
      </w:r>
      <w:r w:rsidRPr="000507BA">
        <w:rPr>
          <w:i/>
          <w:iCs/>
          <w:noProof/>
          <w:sz w:val="18"/>
          <w:lang w:val="en-US"/>
        </w:rPr>
        <w:t>Front Genet</w:t>
      </w:r>
      <w:r w:rsidRPr="000507BA">
        <w:rPr>
          <w:noProof/>
          <w:sz w:val="18"/>
          <w:lang w:val="en-US"/>
        </w:rPr>
        <w:t>. 2014;4:309. doi:10.3389/fgene.2013.00309</w:t>
      </w:r>
    </w:p>
    <w:p w14:paraId="12CC855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65. </w:t>
      </w:r>
      <w:r w:rsidRPr="000507BA">
        <w:rPr>
          <w:noProof/>
          <w:sz w:val="18"/>
          <w:lang w:val="en-US"/>
        </w:rPr>
        <w:tab/>
        <w:t xml:space="preserve">Smyth GK. limma: Linear Models for Microarray Data. In: </w:t>
      </w:r>
      <w:r w:rsidRPr="000507BA">
        <w:rPr>
          <w:i/>
          <w:iCs/>
          <w:noProof/>
          <w:sz w:val="18"/>
          <w:lang w:val="en-US"/>
        </w:rPr>
        <w:t>Bioinformatics and Computational Biology Solutions Using R and Bioconductor</w:t>
      </w:r>
      <w:r w:rsidRPr="000507BA">
        <w:rPr>
          <w:noProof/>
          <w:sz w:val="18"/>
          <w:lang w:val="en-US"/>
        </w:rPr>
        <w:t>. New York: Springer-Verlag; 2005:397-420. doi:10.1007/0-387-29362-0_23</w:t>
      </w:r>
    </w:p>
    <w:p w14:paraId="4B23AEB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66. </w:t>
      </w:r>
      <w:r w:rsidRPr="000507BA">
        <w:rPr>
          <w:noProof/>
          <w:sz w:val="18"/>
          <w:lang w:val="en-US"/>
        </w:rPr>
        <w:tab/>
        <w:t xml:space="preserve">Love MI, Huber W, Anders S. Moderated estimation of fold change and dispersion for RNA-seq data with DESeq2. </w:t>
      </w:r>
      <w:r w:rsidRPr="000507BA">
        <w:rPr>
          <w:i/>
          <w:iCs/>
          <w:noProof/>
          <w:sz w:val="18"/>
          <w:lang w:val="en-US"/>
        </w:rPr>
        <w:t>Genome Biol</w:t>
      </w:r>
      <w:r w:rsidRPr="000507BA">
        <w:rPr>
          <w:noProof/>
          <w:sz w:val="18"/>
          <w:lang w:val="en-US"/>
        </w:rPr>
        <w:t>. 2014;15(12):550. doi:10.1186/s13059-014-0550-8</w:t>
      </w:r>
    </w:p>
    <w:p w14:paraId="32F1D1E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67. </w:t>
      </w:r>
      <w:r w:rsidRPr="000507BA">
        <w:rPr>
          <w:noProof/>
          <w:sz w:val="18"/>
          <w:lang w:val="en-US"/>
        </w:rPr>
        <w:tab/>
        <w:t xml:space="preserve">Robinson MD, McCarthy DJ, Smyth GK. edgeR: a Bioconductor package for differential expression analysis of digital gene expression data. </w:t>
      </w:r>
      <w:r w:rsidRPr="000507BA">
        <w:rPr>
          <w:i/>
          <w:iCs/>
          <w:noProof/>
          <w:sz w:val="18"/>
          <w:lang w:val="en-US"/>
        </w:rPr>
        <w:t>Bioinformatics</w:t>
      </w:r>
      <w:r w:rsidRPr="000507BA">
        <w:rPr>
          <w:noProof/>
          <w:sz w:val="18"/>
          <w:lang w:val="en-US"/>
        </w:rPr>
        <w:t>. 2010;26(1):139-140. doi:10.1093/bioinformatics/btp616</w:t>
      </w:r>
    </w:p>
    <w:p w14:paraId="020F8D8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68. </w:t>
      </w:r>
      <w:r w:rsidRPr="000507BA">
        <w:rPr>
          <w:noProof/>
          <w:sz w:val="18"/>
          <w:lang w:val="en-US"/>
        </w:rPr>
        <w:tab/>
        <w:t xml:space="preserve">Subramanian A, Tamayo P, Mootha VK, et al. Gene set enrichment analysis: a knowledge-based approach for interpreting genome-wide expression profiles. </w:t>
      </w:r>
      <w:r w:rsidRPr="000507BA">
        <w:rPr>
          <w:i/>
          <w:iCs/>
          <w:noProof/>
          <w:sz w:val="18"/>
          <w:lang w:val="en-US"/>
        </w:rPr>
        <w:t>Proc Natl Acad Sci U S A</w:t>
      </w:r>
      <w:r w:rsidRPr="000507BA">
        <w:rPr>
          <w:noProof/>
          <w:sz w:val="18"/>
          <w:lang w:val="en-US"/>
        </w:rPr>
        <w:t>. 2005;102(43):15545-15550. doi:10.1073/pnas.0506580102</w:t>
      </w:r>
    </w:p>
    <w:p w14:paraId="29B617E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69. </w:t>
      </w:r>
      <w:r w:rsidRPr="000507BA">
        <w:rPr>
          <w:noProof/>
          <w:sz w:val="18"/>
          <w:lang w:val="en-US"/>
        </w:rPr>
        <w:tab/>
        <w:t xml:space="preserve">Huang DW, Sherman BT, Lempicki RA. Systematic and integrative analysis of large gene lists using DAVID bioinformatics resources. </w:t>
      </w:r>
      <w:r w:rsidRPr="000507BA">
        <w:rPr>
          <w:i/>
          <w:iCs/>
          <w:noProof/>
          <w:sz w:val="18"/>
          <w:lang w:val="en-US"/>
        </w:rPr>
        <w:t>Nat Protoc</w:t>
      </w:r>
      <w:r w:rsidRPr="000507BA">
        <w:rPr>
          <w:noProof/>
          <w:sz w:val="18"/>
          <w:lang w:val="en-US"/>
        </w:rPr>
        <w:t>. 2009;4(1):44-57. doi:10.1038/nprot.2008.211</w:t>
      </w:r>
    </w:p>
    <w:p w14:paraId="49BF4C1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70. </w:t>
      </w:r>
      <w:r w:rsidRPr="000507BA">
        <w:rPr>
          <w:noProof/>
          <w:sz w:val="18"/>
          <w:lang w:val="en-US"/>
        </w:rPr>
        <w:tab/>
        <w:t xml:space="preserve">Wang J, Vasaikar S, Shi Z, Greer M, Zhang B. WebGestalt 2017: a more comprehensive, powerful, flexible and interactive gene set enrichment analysis toolkit. </w:t>
      </w:r>
      <w:r w:rsidRPr="000507BA">
        <w:rPr>
          <w:i/>
          <w:iCs/>
          <w:noProof/>
          <w:sz w:val="18"/>
          <w:lang w:val="en-US"/>
        </w:rPr>
        <w:t>Nucleic Acids Res</w:t>
      </w:r>
      <w:r w:rsidRPr="000507BA">
        <w:rPr>
          <w:noProof/>
          <w:sz w:val="18"/>
          <w:lang w:val="en-US"/>
        </w:rPr>
        <w:t>. 2017;45(W1):W130-W137. doi:10.1093/nar/gkx356</w:t>
      </w:r>
    </w:p>
    <w:p w14:paraId="4AD7CD8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71. </w:t>
      </w:r>
      <w:r w:rsidRPr="000507BA">
        <w:rPr>
          <w:noProof/>
          <w:sz w:val="18"/>
          <w:lang w:val="en-US"/>
        </w:rPr>
        <w:tab/>
        <w:t xml:space="preserve">Kuleshov M V., Jones MR, Rouillard AD, et al. Enrichr: a comprehensive gene set enrichment analysis web server 2016 update. </w:t>
      </w:r>
      <w:r w:rsidRPr="000507BA">
        <w:rPr>
          <w:i/>
          <w:iCs/>
          <w:noProof/>
          <w:sz w:val="18"/>
          <w:lang w:val="en-US"/>
        </w:rPr>
        <w:t>Nucleic Acids Res</w:t>
      </w:r>
      <w:r w:rsidRPr="000507BA">
        <w:rPr>
          <w:noProof/>
          <w:sz w:val="18"/>
          <w:lang w:val="en-US"/>
        </w:rPr>
        <w:t>. 2016;44(W1):W90-W97. doi:10.1093/nar/gkw377</w:t>
      </w:r>
    </w:p>
    <w:p w14:paraId="53F56BF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72. </w:t>
      </w:r>
      <w:r w:rsidRPr="000507BA">
        <w:rPr>
          <w:noProof/>
          <w:sz w:val="18"/>
          <w:lang w:val="en-US"/>
        </w:rPr>
        <w:tab/>
        <w:t xml:space="preserve">Kanehisa M, Furumichi M, Tanabe M, Sato Y, Morishima K. KEGG: new perspectives on genomes, pathways, diseases and drugs. </w:t>
      </w:r>
      <w:r w:rsidRPr="000507BA">
        <w:rPr>
          <w:i/>
          <w:iCs/>
          <w:noProof/>
          <w:sz w:val="18"/>
          <w:lang w:val="en-US"/>
        </w:rPr>
        <w:t>Nucleic Acids Res</w:t>
      </w:r>
      <w:r w:rsidRPr="000507BA">
        <w:rPr>
          <w:noProof/>
          <w:sz w:val="18"/>
          <w:lang w:val="en-US"/>
        </w:rPr>
        <w:t>. 2017;45(D1):D353-D361. doi:10.1093/nar/gkw1092</w:t>
      </w:r>
    </w:p>
    <w:p w14:paraId="093BE97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73. </w:t>
      </w:r>
      <w:r w:rsidRPr="000507BA">
        <w:rPr>
          <w:noProof/>
          <w:sz w:val="18"/>
          <w:lang w:val="en-US"/>
        </w:rPr>
        <w:tab/>
        <w:t xml:space="preserve">Slenter DN, Kutmon M, Hanspers K, et al. WikiPathways: a multifaceted pathway database bridging metabolomics to other omics research. </w:t>
      </w:r>
      <w:r w:rsidRPr="000507BA">
        <w:rPr>
          <w:i/>
          <w:iCs/>
          <w:noProof/>
          <w:sz w:val="18"/>
          <w:lang w:val="en-US"/>
        </w:rPr>
        <w:t>Nucleic Acids Res</w:t>
      </w:r>
      <w:r w:rsidRPr="000507BA">
        <w:rPr>
          <w:noProof/>
          <w:sz w:val="18"/>
          <w:lang w:val="en-US"/>
        </w:rPr>
        <w:t>. 2018;46(D1):D661-D667. doi:10.1093/nar/gkx1064</w:t>
      </w:r>
    </w:p>
    <w:p w14:paraId="5A77D13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74. </w:t>
      </w:r>
      <w:r w:rsidRPr="000507BA">
        <w:rPr>
          <w:noProof/>
          <w:sz w:val="18"/>
          <w:lang w:val="en-US"/>
        </w:rPr>
        <w:tab/>
        <w:t xml:space="preserve">Fabregat A, Jupe S, Matthews L, et al. The Reactome Pathway Knowledgebase. </w:t>
      </w:r>
      <w:r w:rsidRPr="000507BA">
        <w:rPr>
          <w:i/>
          <w:iCs/>
          <w:noProof/>
          <w:sz w:val="18"/>
          <w:lang w:val="en-US"/>
        </w:rPr>
        <w:t>Nucleic Acids Res</w:t>
      </w:r>
      <w:r w:rsidRPr="000507BA">
        <w:rPr>
          <w:noProof/>
          <w:sz w:val="18"/>
          <w:lang w:val="en-US"/>
        </w:rPr>
        <w:t>. 2018;46(D1):D649-D655. doi:10.1093/nar/gkx1132</w:t>
      </w:r>
    </w:p>
    <w:p w14:paraId="41A32A0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75. </w:t>
      </w:r>
      <w:r w:rsidRPr="000507BA">
        <w:rPr>
          <w:noProof/>
          <w:sz w:val="18"/>
          <w:lang w:val="en-US"/>
        </w:rPr>
        <w:tab/>
        <w:t xml:space="preserve">Ashburner M, Ball CA, Blake JA, et al. Gene Ontology: tool for the unification of biology. </w:t>
      </w:r>
      <w:r w:rsidRPr="000507BA">
        <w:rPr>
          <w:i/>
          <w:iCs/>
          <w:noProof/>
          <w:sz w:val="18"/>
          <w:lang w:val="en-US"/>
        </w:rPr>
        <w:t xml:space="preserve">Nat </w:t>
      </w:r>
      <w:r w:rsidRPr="000507BA">
        <w:rPr>
          <w:i/>
          <w:iCs/>
          <w:noProof/>
          <w:sz w:val="18"/>
          <w:lang w:val="en-US"/>
        </w:rPr>
        <w:lastRenderedPageBreak/>
        <w:t>Genet</w:t>
      </w:r>
      <w:r w:rsidRPr="000507BA">
        <w:rPr>
          <w:noProof/>
          <w:sz w:val="18"/>
          <w:lang w:val="en-US"/>
        </w:rPr>
        <w:t>. 2000;25(1):25-29. doi:10.1038/75556</w:t>
      </w:r>
    </w:p>
    <w:p w14:paraId="2B8FA3E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76. </w:t>
      </w:r>
      <w:r w:rsidRPr="000507BA">
        <w:rPr>
          <w:noProof/>
          <w:sz w:val="18"/>
          <w:lang w:val="en-US"/>
        </w:rPr>
        <w:tab/>
        <w:t xml:space="preserve">The Gene Ontology Consortium. Expansion of the Gene Ontology knowledgebase and resources. </w:t>
      </w:r>
      <w:r w:rsidRPr="000507BA">
        <w:rPr>
          <w:i/>
          <w:iCs/>
          <w:noProof/>
          <w:sz w:val="18"/>
          <w:lang w:val="en-US"/>
        </w:rPr>
        <w:t>Nucleic Acids Res</w:t>
      </w:r>
      <w:r w:rsidRPr="000507BA">
        <w:rPr>
          <w:noProof/>
          <w:sz w:val="18"/>
          <w:lang w:val="en-US"/>
        </w:rPr>
        <w:t>. 2017;45(D1):D331-D338. doi:10.1093/nar/gkw1108</w:t>
      </w:r>
    </w:p>
    <w:p w14:paraId="408FEDE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77. </w:t>
      </w:r>
      <w:r w:rsidRPr="000507BA">
        <w:rPr>
          <w:noProof/>
          <w:sz w:val="18"/>
          <w:lang w:val="en-US"/>
        </w:rPr>
        <w:tab/>
        <w:t xml:space="preserve">Yon Rhee S, Wood V, Dolinski K, Draghici S. Use and misuse of the gene ontology annotations. </w:t>
      </w:r>
      <w:r w:rsidRPr="000507BA">
        <w:rPr>
          <w:i/>
          <w:iCs/>
          <w:noProof/>
          <w:sz w:val="18"/>
          <w:lang w:val="en-US"/>
        </w:rPr>
        <w:t>Nat Rev Genet</w:t>
      </w:r>
      <w:r w:rsidRPr="000507BA">
        <w:rPr>
          <w:noProof/>
          <w:sz w:val="18"/>
          <w:lang w:val="en-US"/>
        </w:rPr>
        <w:t>. 2008. doi:10.1038/nrg2363</w:t>
      </w:r>
    </w:p>
    <w:p w14:paraId="6CA74D2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78. </w:t>
      </w:r>
      <w:r w:rsidRPr="000507BA">
        <w:rPr>
          <w:noProof/>
          <w:sz w:val="18"/>
          <w:lang w:val="en-US"/>
        </w:rPr>
        <w:tab/>
        <w:t xml:space="preserve">Altschuler GM, Hofmann O, Kalatskaya I, et al. Pathprinting: An integrative approach to understand the functional basis of disease. </w:t>
      </w:r>
      <w:r w:rsidRPr="000507BA">
        <w:rPr>
          <w:i/>
          <w:iCs/>
          <w:noProof/>
          <w:sz w:val="18"/>
          <w:lang w:val="en-US"/>
        </w:rPr>
        <w:t>Genome Med</w:t>
      </w:r>
      <w:r w:rsidRPr="000507BA">
        <w:rPr>
          <w:noProof/>
          <w:sz w:val="18"/>
          <w:lang w:val="en-US"/>
        </w:rPr>
        <w:t>. 2013;5(7):68. doi:10.1186/gm472</w:t>
      </w:r>
    </w:p>
    <w:p w14:paraId="6946AF0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79. </w:t>
      </w:r>
      <w:r w:rsidRPr="000507BA">
        <w:rPr>
          <w:noProof/>
          <w:sz w:val="18"/>
          <w:lang w:val="en-US"/>
        </w:rPr>
        <w:tab/>
        <w:t xml:space="preserve">Barter RL, Schramm S-J, Mann GJ, Yang YH. Network-based biomarkers enhance classical approaches to prognostic gene expression signatures. </w:t>
      </w:r>
      <w:r w:rsidRPr="000507BA">
        <w:rPr>
          <w:i/>
          <w:iCs/>
          <w:noProof/>
          <w:sz w:val="18"/>
          <w:lang w:val="en-US"/>
        </w:rPr>
        <w:t>BMC Syst Biol</w:t>
      </w:r>
      <w:r w:rsidRPr="000507BA">
        <w:rPr>
          <w:noProof/>
          <w:sz w:val="18"/>
          <w:lang w:val="en-US"/>
        </w:rPr>
        <w:t>. 2014;8(Suppl 4):S5. doi:10.1186/1752-0509-8-S4-S5</w:t>
      </w:r>
    </w:p>
    <w:p w14:paraId="57B5505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80. </w:t>
      </w:r>
      <w:r w:rsidRPr="000507BA">
        <w:rPr>
          <w:noProof/>
          <w:sz w:val="18"/>
          <w:lang w:val="en-US"/>
        </w:rPr>
        <w:tab/>
        <w:t xml:space="preserve">Roy J, Winter C, Isik Z, Schroeder M. Network information improves cancer outcome prediction. </w:t>
      </w:r>
      <w:r w:rsidRPr="000507BA">
        <w:rPr>
          <w:i/>
          <w:iCs/>
          <w:noProof/>
          <w:sz w:val="18"/>
          <w:lang w:val="en-US"/>
        </w:rPr>
        <w:t>Brief Bioinform</w:t>
      </w:r>
      <w:r w:rsidRPr="000507BA">
        <w:rPr>
          <w:noProof/>
          <w:sz w:val="18"/>
          <w:lang w:val="en-US"/>
        </w:rPr>
        <w:t>. 2014;15(4):612-625. doi:10.1093/bib/bbs083</w:t>
      </w:r>
    </w:p>
    <w:p w14:paraId="61D73D2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81. </w:t>
      </w:r>
      <w:r w:rsidRPr="000507BA">
        <w:rPr>
          <w:noProof/>
          <w:sz w:val="18"/>
          <w:lang w:val="en-US"/>
        </w:rPr>
        <w:tab/>
        <w:t xml:space="preserve">Winter C, Kristiansen G, Kersting S, et al. Google goes cancer: improving outcome prediction for cancer patients by network-based ranking of marker genes. </w:t>
      </w:r>
      <w:r w:rsidRPr="000507BA">
        <w:rPr>
          <w:i/>
          <w:iCs/>
          <w:noProof/>
          <w:sz w:val="18"/>
          <w:lang w:val="en-US"/>
        </w:rPr>
        <w:t>PLoS Comput Biol</w:t>
      </w:r>
      <w:r w:rsidRPr="000507BA">
        <w:rPr>
          <w:noProof/>
          <w:sz w:val="18"/>
          <w:lang w:val="en-US"/>
        </w:rPr>
        <w:t>. 2012;8(5):e1002511. doi:10.1371/journal.pcbi.1002511</w:t>
      </w:r>
    </w:p>
    <w:p w14:paraId="195188B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82. </w:t>
      </w:r>
      <w:r w:rsidRPr="000507BA">
        <w:rPr>
          <w:noProof/>
          <w:sz w:val="18"/>
          <w:lang w:val="en-US"/>
        </w:rPr>
        <w:tab/>
        <w:t xml:space="preserve">Chuang H-Y, Lee E, Liu Y-T, Lee D, Ideker T. Network-based classification of breast cancer metastasis. </w:t>
      </w:r>
      <w:r w:rsidRPr="000507BA">
        <w:rPr>
          <w:i/>
          <w:iCs/>
          <w:noProof/>
          <w:sz w:val="18"/>
          <w:lang w:val="en-US"/>
        </w:rPr>
        <w:t>Mol Syst Biol</w:t>
      </w:r>
      <w:r w:rsidRPr="000507BA">
        <w:rPr>
          <w:noProof/>
          <w:sz w:val="18"/>
          <w:lang w:val="en-US"/>
        </w:rPr>
        <w:t>. 2007;3:140. doi:10.1038/msb4100180</w:t>
      </w:r>
    </w:p>
    <w:p w14:paraId="67F77B6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83. </w:t>
      </w:r>
      <w:r w:rsidRPr="000507BA">
        <w:rPr>
          <w:noProof/>
          <w:sz w:val="18"/>
          <w:lang w:val="en-US"/>
        </w:rPr>
        <w:tab/>
        <w:t xml:space="preserve">Warde-Farley D, Donaldson SL, Comes O, et al. The GeneMANIA prediction server: biological network integration for gene prioritization and predicting gene function. </w:t>
      </w:r>
      <w:r w:rsidRPr="000507BA">
        <w:rPr>
          <w:i/>
          <w:iCs/>
          <w:noProof/>
          <w:sz w:val="18"/>
          <w:lang w:val="en-US"/>
        </w:rPr>
        <w:t>Nucleic Acids Res</w:t>
      </w:r>
      <w:r w:rsidRPr="000507BA">
        <w:rPr>
          <w:noProof/>
          <w:sz w:val="18"/>
          <w:lang w:val="en-US"/>
        </w:rPr>
        <w:t>. 2010;38(suppl_2):W214-W220. doi:10.1093/nar/gkq537</w:t>
      </w:r>
    </w:p>
    <w:p w14:paraId="1C45CF8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84. </w:t>
      </w:r>
      <w:r w:rsidRPr="000507BA">
        <w:rPr>
          <w:noProof/>
          <w:sz w:val="18"/>
          <w:lang w:val="en-US"/>
        </w:rPr>
        <w:tab/>
        <w:t>Okamura Y, Aoki Y, Obayashi T, et al. COXPRESdb in 2015 : coexpression database for animal species by DNA-microarray and RNAseq-based expression data with multiple quality assessment systems. 2015;43(November 2014):82-86. doi:10.1093/nar/gku1163</w:t>
      </w:r>
    </w:p>
    <w:p w14:paraId="3D36140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85. </w:t>
      </w:r>
      <w:r w:rsidRPr="000507BA">
        <w:rPr>
          <w:noProof/>
          <w:sz w:val="18"/>
          <w:lang w:val="en-US"/>
        </w:rPr>
        <w:tab/>
        <w:t xml:space="preserve">Xia J, Gill EE, Hancock REW. NetworkAnalyst for statistical, visual and network-based meta-analysis of gene expression data. </w:t>
      </w:r>
      <w:r w:rsidRPr="000507BA">
        <w:rPr>
          <w:i/>
          <w:iCs/>
          <w:noProof/>
          <w:sz w:val="18"/>
          <w:lang w:val="en-US"/>
        </w:rPr>
        <w:t>Nat Protoc</w:t>
      </w:r>
      <w:r w:rsidRPr="000507BA">
        <w:rPr>
          <w:noProof/>
          <w:sz w:val="18"/>
          <w:lang w:val="en-US"/>
        </w:rPr>
        <w:t>. 2015;10(6):823-844. doi:10.1038/nprot.2015.052</w:t>
      </w:r>
    </w:p>
    <w:p w14:paraId="5EAA2E2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86. </w:t>
      </w:r>
      <w:r w:rsidRPr="000507BA">
        <w:rPr>
          <w:noProof/>
          <w:sz w:val="18"/>
          <w:lang w:val="en-US"/>
        </w:rPr>
        <w:tab/>
        <w:t xml:space="preserve">Saelens W, Cannoodt R, Saeys Y. A comprehensive evaluation of module detection methods for gene expression data. </w:t>
      </w:r>
      <w:r w:rsidRPr="000507BA">
        <w:rPr>
          <w:i/>
          <w:iCs/>
          <w:noProof/>
          <w:sz w:val="18"/>
          <w:lang w:val="en-US"/>
        </w:rPr>
        <w:t>Nat Commun</w:t>
      </w:r>
      <w:r w:rsidRPr="000507BA">
        <w:rPr>
          <w:noProof/>
          <w:sz w:val="18"/>
          <w:lang w:val="en-US"/>
        </w:rPr>
        <w:t>. 2018;9(1):1090. doi:10.1038/s41467-018-03424-4</w:t>
      </w:r>
    </w:p>
    <w:p w14:paraId="41BA369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87. </w:t>
      </w:r>
      <w:r w:rsidRPr="000507BA">
        <w:rPr>
          <w:noProof/>
          <w:sz w:val="18"/>
          <w:lang w:val="en-US"/>
        </w:rPr>
        <w:tab/>
        <w:t xml:space="preserve">Langfelder P, Horvath S, Zhou X, et al. WGCNA: an R package for weighted correlation network analysis. </w:t>
      </w:r>
      <w:r w:rsidRPr="000507BA">
        <w:rPr>
          <w:i/>
          <w:iCs/>
          <w:noProof/>
          <w:sz w:val="18"/>
          <w:lang w:val="en-US"/>
        </w:rPr>
        <w:t>BMC Bioinformatics</w:t>
      </w:r>
      <w:r w:rsidRPr="000507BA">
        <w:rPr>
          <w:noProof/>
          <w:sz w:val="18"/>
          <w:lang w:val="en-US"/>
        </w:rPr>
        <w:t>. 2008;9(1):559. doi:10.1186/1471-2105-9-559</w:t>
      </w:r>
    </w:p>
    <w:p w14:paraId="1FCCE1D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88. </w:t>
      </w:r>
      <w:r w:rsidRPr="000507BA">
        <w:rPr>
          <w:noProof/>
          <w:sz w:val="18"/>
          <w:lang w:val="en-US"/>
        </w:rPr>
        <w:tab/>
        <w:t xml:space="preserve">Mullard A. New drugs cost US$2.6 billion to develop. </w:t>
      </w:r>
      <w:r w:rsidRPr="000507BA">
        <w:rPr>
          <w:i/>
          <w:iCs/>
          <w:noProof/>
          <w:sz w:val="18"/>
          <w:lang w:val="en-US"/>
        </w:rPr>
        <w:t>Nat Rev Drug Discov</w:t>
      </w:r>
      <w:r w:rsidRPr="000507BA">
        <w:rPr>
          <w:noProof/>
          <w:sz w:val="18"/>
          <w:lang w:val="en-US"/>
        </w:rPr>
        <w:t>. 2014;13(12):877-877. doi:10.1038/nrd4507</w:t>
      </w:r>
    </w:p>
    <w:p w14:paraId="1201150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89. </w:t>
      </w:r>
      <w:r w:rsidRPr="000507BA">
        <w:rPr>
          <w:noProof/>
          <w:sz w:val="18"/>
          <w:lang w:val="en-US"/>
        </w:rPr>
        <w:tab/>
        <w:t xml:space="preserve">Tiffin N, Adie E, Turner F, et al. Computational disease gene identification: a concert of methods prioritizes type 2 diabetes and obesity candidate genes. </w:t>
      </w:r>
      <w:r w:rsidRPr="000507BA">
        <w:rPr>
          <w:i/>
          <w:iCs/>
          <w:noProof/>
          <w:sz w:val="18"/>
          <w:lang w:val="en-US"/>
        </w:rPr>
        <w:t>Nucleic Acids Res</w:t>
      </w:r>
      <w:r w:rsidRPr="000507BA">
        <w:rPr>
          <w:noProof/>
          <w:sz w:val="18"/>
          <w:lang w:val="en-US"/>
        </w:rPr>
        <w:t>. 2006;34(10):3067-3081. doi:10.1093/nar/gkl381</w:t>
      </w:r>
    </w:p>
    <w:p w14:paraId="4E8F92A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90. </w:t>
      </w:r>
      <w:r w:rsidRPr="000507BA">
        <w:rPr>
          <w:noProof/>
          <w:sz w:val="18"/>
          <w:lang w:val="en-US"/>
        </w:rPr>
        <w:tab/>
        <w:t xml:space="preserve">Marot G, Foulley J-L, Mayer C-D, Jaffrezic F. Moderated effect size and P-value combinations for microarray meta-analyses. </w:t>
      </w:r>
      <w:r w:rsidRPr="000507BA">
        <w:rPr>
          <w:i/>
          <w:iCs/>
          <w:noProof/>
          <w:sz w:val="18"/>
          <w:lang w:val="en-US"/>
        </w:rPr>
        <w:t>Bioinformatics</w:t>
      </w:r>
      <w:r w:rsidRPr="000507BA">
        <w:rPr>
          <w:noProof/>
          <w:sz w:val="18"/>
          <w:lang w:val="en-US"/>
        </w:rPr>
        <w:t>. 2009;25(20):2692-2699. doi:10.1093/bioinformatics/btp444</w:t>
      </w:r>
    </w:p>
    <w:p w14:paraId="74FA72A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91. </w:t>
      </w:r>
      <w:r w:rsidRPr="000507BA">
        <w:rPr>
          <w:noProof/>
          <w:sz w:val="18"/>
          <w:lang w:val="en-US"/>
        </w:rPr>
        <w:tab/>
        <w:t xml:space="preserve">Brown LA, Williams J, Taylor L, et al. Meta-analysis of transcriptomic datasets identifies genes enriched in the mammalian circadian pacemaker. </w:t>
      </w:r>
      <w:r w:rsidRPr="000507BA">
        <w:rPr>
          <w:i/>
          <w:iCs/>
          <w:noProof/>
          <w:sz w:val="18"/>
          <w:lang w:val="en-US"/>
        </w:rPr>
        <w:t>Nucleic Acids Res</w:t>
      </w:r>
      <w:r w:rsidRPr="000507BA">
        <w:rPr>
          <w:noProof/>
          <w:sz w:val="18"/>
          <w:lang w:val="en-US"/>
        </w:rPr>
        <w:t>. 2017;45(17):9860-9873. doi:10.1093/nar/gkx714</w:t>
      </w:r>
    </w:p>
    <w:p w14:paraId="470D43E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92. </w:t>
      </w:r>
      <w:r w:rsidRPr="000507BA">
        <w:rPr>
          <w:noProof/>
          <w:sz w:val="18"/>
          <w:lang w:val="en-US"/>
        </w:rPr>
        <w:tab/>
        <w:t xml:space="preserve">Zhao S, Fung-Leung W-P, Bittner A, Ngo K, Liu X. Comparison of RNA-Seq and Microarray in Transcriptome Profiling of Activated T Cells. Zhang S-D, ed. </w:t>
      </w:r>
      <w:r w:rsidRPr="000507BA">
        <w:rPr>
          <w:i/>
          <w:iCs/>
          <w:noProof/>
          <w:sz w:val="18"/>
          <w:lang w:val="en-US"/>
        </w:rPr>
        <w:t>PLoS One</w:t>
      </w:r>
      <w:r w:rsidRPr="000507BA">
        <w:rPr>
          <w:noProof/>
          <w:sz w:val="18"/>
          <w:lang w:val="en-US"/>
        </w:rPr>
        <w:t>. 2014;9(1):e78644. doi:10.1371/journal.pone.0078644</w:t>
      </w:r>
    </w:p>
    <w:p w14:paraId="62F33A5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93. </w:t>
      </w:r>
      <w:r w:rsidRPr="000507BA">
        <w:rPr>
          <w:noProof/>
          <w:sz w:val="18"/>
          <w:lang w:val="en-US"/>
        </w:rPr>
        <w:tab/>
        <w:t xml:space="preserve">Fröhlich H. Network Based Consensus Gene Signatures for Biomarker Discovery in Breast Cancer. Hong W, ed. </w:t>
      </w:r>
      <w:r w:rsidRPr="000507BA">
        <w:rPr>
          <w:i/>
          <w:iCs/>
          <w:noProof/>
          <w:sz w:val="18"/>
          <w:lang w:val="en-US"/>
        </w:rPr>
        <w:t>PLoS One</w:t>
      </w:r>
      <w:r w:rsidRPr="000507BA">
        <w:rPr>
          <w:noProof/>
          <w:sz w:val="18"/>
          <w:lang w:val="en-US"/>
        </w:rPr>
        <w:t>. 2011;6(10):e25364. doi:10.1371/journal.pone.0025364</w:t>
      </w:r>
    </w:p>
    <w:p w14:paraId="2812807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94. </w:t>
      </w:r>
      <w:r w:rsidRPr="000507BA">
        <w:rPr>
          <w:noProof/>
          <w:sz w:val="18"/>
          <w:lang w:val="en-US"/>
        </w:rPr>
        <w:tab/>
        <w:t xml:space="preserve">Tong P, Diao L, Shen L, et al. Selecting Reliable mRNA Expression Measurements Across Platforms Improves Downstream Analysis. </w:t>
      </w:r>
      <w:r w:rsidRPr="000507BA">
        <w:rPr>
          <w:i/>
          <w:iCs/>
          <w:noProof/>
          <w:sz w:val="18"/>
          <w:lang w:val="en-US"/>
        </w:rPr>
        <w:t>Cancer Inform</w:t>
      </w:r>
      <w:r w:rsidRPr="000507BA">
        <w:rPr>
          <w:noProof/>
          <w:sz w:val="18"/>
          <w:lang w:val="en-US"/>
        </w:rPr>
        <w:t>. 2016;15:81-89. doi:10.4137/CIN.S38590</w:t>
      </w:r>
    </w:p>
    <w:p w14:paraId="68D6182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lastRenderedPageBreak/>
        <w:t xml:space="preserve">95. </w:t>
      </w:r>
      <w:r w:rsidRPr="000507BA">
        <w:rPr>
          <w:noProof/>
          <w:sz w:val="18"/>
          <w:lang w:val="en-US"/>
        </w:rPr>
        <w:tab/>
        <w:t xml:space="preserve">Wang H-Y, Wang I-F, Bose J, Shen C-KJ. Structural diversity and functional implications of the eukaryotic TDP gene family. </w:t>
      </w:r>
      <w:r w:rsidRPr="000507BA">
        <w:rPr>
          <w:i/>
          <w:iCs/>
          <w:noProof/>
          <w:sz w:val="18"/>
          <w:lang w:val="en-US"/>
        </w:rPr>
        <w:t>Genomics</w:t>
      </w:r>
      <w:r w:rsidRPr="000507BA">
        <w:rPr>
          <w:noProof/>
          <w:sz w:val="18"/>
          <w:lang w:val="en-US"/>
        </w:rPr>
        <w:t>. 2004;83(1):130-139. doi:10.1016/S0888-7543(03)00214-3</w:t>
      </w:r>
    </w:p>
    <w:p w14:paraId="786AB88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96. </w:t>
      </w:r>
      <w:r w:rsidRPr="000507BA">
        <w:rPr>
          <w:noProof/>
          <w:sz w:val="18"/>
          <w:lang w:val="en-US"/>
        </w:rPr>
        <w:tab/>
        <w:t xml:space="preserve">Strong MJ, Volkening K, Hammond R, et al. TDP43 is a human low molecular weight neurofilament (hNFL) mRNA-binding protein. </w:t>
      </w:r>
      <w:r w:rsidRPr="000507BA">
        <w:rPr>
          <w:i/>
          <w:iCs/>
          <w:noProof/>
          <w:sz w:val="18"/>
          <w:lang w:val="en-US"/>
        </w:rPr>
        <w:t>Mol Cell Neurosci</w:t>
      </w:r>
      <w:r w:rsidRPr="000507BA">
        <w:rPr>
          <w:noProof/>
          <w:sz w:val="18"/>
          <w:lang w:val="en-US"/>
        </w:rPr>
        <w:t>. 2007;35(2):320-327. doi:10.1016/j.mcn.2007.03.007</w:t>
      </w:r>
    </w:p>
    <w:p w14:paraId="31373EF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97. </w:t>
      </w:r>
      <w:r w:rsidRPr="000507BA">
        <w:rPr>
          <w:noProof/>
          <w:sz w:val="18"/>
          <w:lang w:val="en-US"/>
        </w:rPr>
        <w:tab/>
        <w:t xml:space="preserve">Chaudhury A, Chander P, Howe PH. Heterogeneous nuclear ribonucleoproteins (hnRNPs) in cellular processes: Focus on hnRNP E1’s multifunctional regulatory roles. </w:t>
      </w:r>
      <w:r w:rsidRPr="000507BA">
        <w:rPr>
          <w:i/>
          <w:iCs/>
          <w:noProof/>
          <w:sz w:val="18"/>
          <w:lang w:val="en-US"/>
        </w:rPr>
        <w:t>RNA</w:t>
      </w:r>
      <w:r w:rsidRPr="000507BA">
        <w:rPr>
          <w:noProof/>
          <w:sz w:val="18"/>
          <w:lang w:val="en-US"/>
        </w:rPr>
        <w:t>. 2010;16(8):1449-1462. doi:10.1261/rna.2254110</w:t>
      </w:r>
    </w:p>
    <w:p w14:paraId="2F77245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98. </w:t>
      </w:r>
      <w:r w:rsidRPr="000507BA">
        <w:rPr>
          <w:noProof/>
          <w:sz w:val="18"/>
          <w:lang w:val="en-US"/>
        </w:rPr>
        <w:tab/>
        <w:t xml:space="preserve">Buratti E, Baralle FE. Characterization and functional implications of the RNA binding properties of nuclear factor TDP-43, a novel splicing regulator of CFTR exon 9. </w:t>
      </w:r>
      <w:r w:rsidRPr="000507BA">
        <w:rPr>
          <w:i/>
          <w:iCs/>
          <w:noProof/>
          <w:sz w:val="18"/>
          <w:lang w:val="en-US"/>
        </w:rPr>
        <w:t>J Biol Chem</w:t>
      </w:r>
      <w:r w:rsidRPr="000507BA">
        <w:rPr>
          <w:noProof/>
          <w:sz w:val="18"/>
          <w:lang w:val="en-US"/>
        </w:rPr>
        <w:t>. 2001;276(39):36337-36343. doi:10.1074/jbc.M104236200</w:t>
      </w:r>
    </w:p>
    <w:p w14:paraId="08B996D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99. </w:t>
      </w:r>
      <w:r w:rsidRPr="000507BA">
        <w:rPr>
          <w:noProof/>
          <w:sz w:val="18"/>
          <w:lang w:val="en-US"/>
        </w:rPr>
        <w:tab/>
        <w:t xml:space="preserve">Zhang Y-J, Caulfield T, Xu Y-F, et al. The dual functions of the extreme N-terminus of TDP-43 in regulating its biological activity and inclusion formation. </w:t>
      </w:r>
      <w:r w:rsidRPr="000507BA">
        <w:rPr>
          <w:i/>
          <w:iCs/>
          <w:noProof/>
          <w:sz w:val="18"/>
          <w:lang w:val="en-US"/>
        </w:rPr>
        <w:t>Hum Mol Genet</w:t>
      </w:r>
      <w:r w:rsidRPr="000507BA">
        <w:rPr>
          <w:noProof/>
          <w:sz w:val="18"/>
          <w:lang w:val="en-US"/>
        </w:rPr>
        <w:t>. 2013;22(15):3112-3122. doi:10.1093/hmg/ddt166</w:t>
      </w:r>
    </w:p>
    <w:p w14:paraId="52DD68C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100. </w:t>
      </w:r>
      <w:r w:rsidRPr="000507BA">
        <w:rPr>
          <w:noProof/>
          <w:sz w:val="18"/>
          <w:lang w:val="en-US"/>
        </w:rPr>
        <w:tab/>
        <w:t xml:space="preserve">Buratti E, Brindisi A, Giombi M, Tisminetzky S, Ayala YM, Baralle FE. TDP-43 binds heterogeneous nuclear ribonucleoprotein A/B through its C-terminal tail: an important region for the inhibition of cystic fibrosis transmembrane conductance regulator exon 9 splicing. </w:t>
      </w:r>
      <w:r w:rsidRPr="000507BA">
        <w:rPr>
          <w:i/>
          <w:iCs/>
          <w:noProof/>
          <w:sz w:val="18"/>
          <w:lang w:val="en-US"/>
        </w:rPr>
        <w:t>J Biol Chem</w:t>
      </w:r>
      <w:r w:rsidRPr="000507BA">
        <w:rPr>
          <w:noProof/>
          <w:sz w:val="18"/>
          <w:lang w:val="en-US"/>
        </w:rPr>
        <w:t>. 2005;280(45):37572-37584. doi:10.1074/jbc.M505557200</w:t>
      </w:r>
    </w:p>
    <w:p w14:paraId="1309D25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101. </w:t>
      </w:r>
      <w:r w:rsidRPr="000507BA">
        <w:rPr>
          <w:noProof/>
          <w:sz w:val="18"/>
          <w:lang w:val="en-US"/>
        </w:rPr>
        <w:tab/>
        <w:t xml:space="preserve">Ayala YM, De Conti L, Avendaño-Vázquez SE, et al. TDP-43 regulates its mRNA levels through a negative feedback loop. </w:t>
      </w:r>
      <w:r w:rsidRPr="000507BA">
        <w:rPr>
          <w:i/>
          <w:iCs/>
          <w:noProof/>
          <w:sz w:val="18"/>
          <w:lang w:val="en-US"/>
        </w:rPr>
        <w:t>EMBO J</w:t>
      </w:r>
      <w:r w:rsidRPr="000507BA">
        <w:rPr>
          <w:noProof/>
          <w:sz w:val="18"/>
          <w:lang w:val="en-US"/>
        </w:rPr>
        <w:t>. 2011;30(2):277-288. doi:10.1038/emboj.2010.310</w:t>
      </w:r>
    </w:p>
    <w:p w14:paraId="7AD64B7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102. </w:t>
      </w:r>
      <w:r w:rsidRPr="000507BA">
        <w:rPr>
          <w:noProof/>
          <w:sz w:val="18"/>
          <w:lang w:val="en-US"/>
        </w:rPr>
        <w:tab/>
        <w:t xml:space="preserve">Ou SH, Wu F, Harrich D, García-Martínez LF, Gaynor RB. Cloning and characterization of a novel cellular protein, TDP-43, that binds to human immunodeficiency virus type 1 TAR DNA sequence motifs. </w:t>
      </w:r>
      <w:r w:rsidRPr="000507BA">
        <w:rPr>
          <w:i/>
          <w:iCs/>
          <w:noProof/>
          <w:sz w:val="18"/>
          <w:lang w:val="en-US"/>
        </w:rPr>
        <w:t>J Virol</w:t>
      </w:r>
      <w:r w:rsidRPr="000507BA">
        <w:rPr>
          <w:noProof/>
          <w:sz w:val="18"/>
          <w:lang w:val="en-US"/>
        </w:rPr>
        <w:t>. 1995;69(6):3584-3596. http://www.pubmedcentral.nih.gov/articlerender.fcgi?artid=189073&amp;tool=pmcentrez&amp;rendertype=abstract. Accessed December 17, 2015.</w:t>
      </w:r>
    </w:p>
    <w:p w14:paraId="0A19C62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103. </w:t>
      </w:r>
      <w:r w:rsidRPr="000507BA">
        <w:rPr>
          <w:noProof/>
          <w:sz w:val="18"/>
          <w:lang w:val="en-US"/>
        </w:rPr>
        <w:tab/>
        <w:t xml:space="preserve">Abhyankar MM, Urekar C, Reddi PP. A novel CpG-free vertebrate insulator silences the testis-specific SP-10 gene in somatic tissues: role for TDP-43 in insulator function. </w:t>
      </w:r>
      <w:r w:rsidRPr="000507BA">
        <w:rPr>
          <w:i/>
          <w:iCs/>
          <w:noProof/>
          <w:sz w:val="18"/>
          <w:lang w:val="en-US"/>
        </w:rPr>
        <w:t>J Biol Chem</w:t>
      </w:r>
      <w:r w:rsidRPr="000507BA">
        <w:rPr>
          <w:noProof/>
          <w:sz w:val="18"/>
          <w:lang w:val="en-US"/>
        </w:rPr>
        <w:t>. 2007;282(50):36143-36154. doi:10.1074/jbc.M705811200</w:t>
      </w:r>
    </w:p>
    <w:p w14:paraId="19D2DF4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104. </w:t>
      </w:r>
      <w:r w:rsidRPr="000507BA">
        <w:rPr>
          <w:noProof/>
          <w:sz w:val="18"/>
          <w:lang w:val="en-US"/>
        </w:rPr>
        <w:tab/>
        <w:t xml:space="preserve">Tollervey JR, Curk T, Rogelj B, et al. Characterizing the RNA targets and position-dependent splicing regulation by TDP-43. </w:t>
      </w:r>
      <w:r w:rsidRPr="000507BA">
        <w:rPr>
          <w:i/>
          <w:iCs/>
          <w:noProof/>
          <w:sz w:val="18"/>
          <w:lang w:val="en-US"/>
        </w:rPr>
        <w:t>Nat Neurosci</w:t>
      </w:r>
      <w:r w:rsidRPr="000507BA">
        <w:rPr>
          <w:noProof/>
          <w:sz w:val="18"/>
          <w:lang w:val="en-US"/>
        </w:rPr>
        <w:t>. 2011;14(4):452-458. doi:10.1038/nn.2778</w:t>
      </w:r>
    </w:p>
    <w:p w14:paraId="49CD0B0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105. </w:t>
      </w:r>
      <w:r w:rsidRPr="000507BA">
        <w:rPr>
          <w:noProof/>
          <w:sz w:val="18"/>
          <w:lang w:val="en-US"/>
        </w:rPr>
        <w:tab/>
        <w:t xml:space="preserve">Ayala YM, Zago P, D’Ambrogio A, et al. Structural determinants of the cellular localization and shuttling of TDP-43. </w:t>
      </w:r>
      <w:r w:rsidRPr="000507BA">
        <w:rPr>
          <w:i/>
          <w:iCs/>
          <w:noProof/>
          <w:sz w:val="18"/>
          <w:lang w:val="en-US"/>
        </w:rPr>
        <w:t>J Cell Sci</w:t>
      </w:r>
      <w:r w:rsidRPr="000507BA">
        <w:rPr>
          <w:noProof/>
          <w:sz w:val="18"/>
          <w:lang w:val="en-US"/>
        </w:rPr>
        <w:t>. 2008;121(Pt 22):3778-3785. doi:10.1242/jcs.038950</w:t>
      </w:r>
    </w:p>
    <w:p w14:paraId="5A2CC9A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106. </w:t>
      </w:r>
      <w:r w:rsidRPr="000507BA">
        <w:rPr>
          <w:noProof/>
          <w:sz w:val="18"/>
          <w:lang w:val="en-US"/>
        </w:rPr>
        <w:tab/>
        <w:t xml:space="preserve">Buratti E, De Conti L, Stuani C, Romano M, Baralle M, Baralle F. Nuclear factor TDP-43 can affect selected microRNA levels. </w:t>
      </w:r>
      <w:r w:rsidRPr="000507BA">
        <w:rPr>
          <w:i/>
          <w:iCs/>
          <w:noProof/>
          <w:sz w:val="18"/>
          <w:lang w:val="en-US"/>
        </w:rPr>
        <w:t>FEBS J</w:t>
      </w:r>
      <w:r w:rsidRPr="000507BA">
        <w:rPr>
          <w:noProof/>
          <w:sz w:val="18"/>
          <w:lang w:val="en-US"/>
        </w:rPr>
        <w:t>. 2010;277(10):2268-2281. doi:10.1111/j.1742-4658.2010.07643.x</w:t>
      </w:r>
    </w:p>
    <w:p w14:paraId="0341222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107. </w:t>
      </w:r>
      <w:r w:rsidRPr="000507BA">
        <w:rPr>
          <w:noProof/>
          <w:sz w:val="18"/>
          <w:lang w:val="en-US"/>
        </w:rPr>
        <w:tab/>
        <w:t xml:space="preserve">Kawahara Y, Mieda-Sato A. TDP-43 promotes microRNA biogenesis as a component of the Drosha and Dicer complexes. </w:t>
      </w:r>
      <w:r w:rsidRPr="000507BA">
        <w:rPr>
          <w:i/>
          <w:iCs/>
          <w:noProof/>
          <w:sz w:val="18"/>
          <w:lang w:val="en-US"/>
        </w:rPr>
        <w:t>Proc Natl Acad Sci U S A</w:t>
      </w:r>
      <w:r w:rsidRPr="000507BA">
        <w:rPr>
          <w:noProof/>
          <w:sz w:val="18"/>
          <w:lang w:val="en-US"/>
        </w:rPr>
        <w:t>. 2012;109(9):3347-3352. doi:10.1073/pnas.1112427109</w:t>
      </w:r>
    </w:p>
    <w:p w14:paraId="74C6F54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108. </w:t>
      </w:r>
      <w:r w:rsidRPr="000507BA">
        <w:rPr>
          <w:noProof/>
          <w:sz w:val="18"/>
          <w:lang w:val="en-US"/>
        </w:rPr>
        <w:tab/>
        <w:t xml:space="preserve">Zhang T, Baldie G, Periz G, Wang J. RNA-processing protein TDP-43 regulates FOXO-dependent protein quality control in stress response. </w:t>
      </w:r>
      <w:r w:rsidRPr="000507BA">
        <w:rPr>
          <w:i/>
          <w:iCs/>
          <w:noProof/>
          <w:sz w:val="18"/>
          <w:lang w:val="en-US"/>
        </w:rPr>
        <w:t>PLoS Genet</w:t>
      </w:r>
      <w:r w:rsidRPr="000507BA">
        <w:rPr>
          <w:noProof/>
          <w:sz w:val="18"/>
          <w:lang w:val="en-US"/>
        </w:rPr>
        <w:t>. 2014;10(10):e1004693. doi:10.1371/journal.pgen.1004693</w:t>
      </w:r>
    </w:p>
    <w:p w14:paraId="0FBC5B7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109. </w:t>
      </w:r>
      <w:r w:rsidRPr="000507BA">
        <w:rPr>
          <w:noProof/>
          <w:sz w:val="18"/>
          <w:lang w:val="en-US"/>
        </w:rPr>
        <w:tab/>
        <w:t xml:space="preserve">Tripathi VB, Baskaran P, Shaw CE, Guthrie S. Tar DNA-binding protein-43 (TDP-43) regulates axon growth in vitro and in vivo. </w:t>
      </w:r>
      <w:r w:rsidRPr="000507BA">
        <w:rPr>
          <w:i/>
          <w:iCs/>
          <w:noProof/>
          <w:sz w:val="18"/>
          <w:lang w:val="en-US"/>
        </w:rPr>
        <w:t>Neurobiol Dis</w:t>
      </w:r>
      <w:r w:rsidRPr="000507BA">
        <w:rPr>
          <w:noProof/>
          <w:sz w:val="18"/>
          <w:lang w:val="en-US"/>
        </w:rPr>
        <w:t>. 2014;65:25-34. doi:10.1016/j.nbd.2014.01.004</w:t>
      </w:r>
    </w:p>
    <w:p w14:paraId="480ED24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110. </w:t>
      </w:r>
      <w:r w:rsidRPr="000507BA">
        <w:rPr>
          <w:noProof/>
          <w:sz w:val="18"/>
          <w:lang w:val="en-US"/>
        </w:rPr>
        <w:tab/>
        <w:t xml:space="preserve">Wang I-F, Wu L-S, Chang H-Y, Shen C-KJ. TDP-43, the signature protein of FTLD-U, is a neuronal activity-responsive factor. </w:t>
      </w:r>
      <w:r w:rsidRPr="000507BA">
        <w:rPr>
          <w:i/>
          <w:iCs/>
          <w:noProof/>
          <w:sz w:val="18"/>
          <w:lang w:val="en-US"/>
        </w:rPr>
        <w:t>J Neurochem</w:t>
      </w:r>
      <w:r w:rsidRPr="000507BA">
        <w:rPr>
          <w:noProof/>
          <w:sz w:val="18"/>
          <w:lang w:val="en-US"/>
        </w:rPr>
        <w:t>. 2008;105(3):797-806. doi:10.1111/j.1471-4159.2007.05190.x</w:t>
      </w:r>
    </w:p>
    <w:p w14:paraId="7BA4ED8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111. </w:t>
      </w:r>
      <w:r w:rsidRPr="000507BA">
        <w:rPr>
          <w:noProof/>
          <w:sz w:val="18"/>
          <w:lang w:val="en-US"/>
        </w:rPr>
        <w:tab/>
        <w:t xml:space="preserve">Neumann M, Sampathu DM, Kwong LK, et al. Ubiquitinated TDP-43 in frontotemporal lobar </w:t>
      </w:r>
      <w:r w:rsidRPr="000507BA">
        <w:rPr>
          <w:noProof/>
          <w:sz w:val="18"/>
          <w:lang w:val="en-US"/>
        </w:rPr>
        <w:lastRenderedPageBreak/>
        <w:t xml:space="preserve">degeneration and amyotrophic lateral sclerosis. </w:t>
      </w:r>
      <w:r w:rsidRPr="000507BA">
        <w:rPr>
          <w:i/>
          <w:iCs/>
          <w:noProof/>
          <w:sz w:val="18"/>
          <w:lang w:val="en-US"/>
        </w:rPr>
        <w:t>Science</w:t>
      </w:r>
      <w:r w:rsidRPr="000507BA">
        <w:rPr>
          <w:noProof/>
          <w:sz w:val="18"/>
          <w:lang w:val="en-US"/>
        </w:rPr>
        <w:t>. 2006;314(5796):130-133. doi:10.1126/science.1134108</w:t>
      </w:r>
    </w:p>
    <w:p w14:paraId="0138BBF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112. </w:t>
      </w:r>
      <w:r w:rsidRPr="000507BA">
        <w:rPr>
          <w:noProof/>
          <w:sz w:val="18"/>
          <w:lang w:val="en-US"/>
        </w:rPr>
        <w:tab/>
        <w:t xml:space="preserve">Miller R, Mitchell R, Lyon M, Moore D. Riluzole for amyotrophic lateral sclerosis (ALS)/motor neuron disease (MND). </w:t>
      </w:r>
      <w:r w:rsidRPr="000507BA">
        <w:rPr>
          <w:i/>
          <w:iCs/>
          <w:noProof/>
          <w:sz w:val="18"/>
          <w:lang w:val="en-US"/>
        </w:rPr>
        <w:t>Amyotroph Lateral Scler Other Mot Neuron Disord</w:t>
      </w:r>
      <w:r w:rsidRPr="000507BA">
        <w:rPr>
          <w:noProof/>
          <w:sz w:val="18"/>
          <w:lang w:val="en-US"/>
        </w:rPr>
        <w:t>. July 2009. http://www.tandfonline.com/doi/abs/10.1080/14660820310002601. Accessed December 16, 2015.</w:t>
      </w:r>
    </w:p>
    <w:p w14:paraId="7890CD6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113. </w:t>
      </w:r>
      <w:r w:rsidRPr="000507BA">
        <w:rPr>
          <w:noProof/>
          <w:sz w:val="18"/>
          <w:lang w:val="en-US"/>
        </w:rPr>
        <w:tab/>
        <w:t xml:space="preserve">Byrne S, Walsh C, Lynch C, et al. Rate of familial amyotrophic lateral sclerosis: a systematic review and meta-analysis. </w:t>
      </w:r>
      <w:r w:rsidRPr="000507BA">
        <w:rPr>
          <w:i/>
          <w:iCs/>
          <w:noProof/>
          <w:sz w:val="18"/>
          <w:lang w:val="en-US"/>
        </w:rPr>
        <w:t>J Neurol Neurosurg Psychiatry</w:t>
      </w:r>
      <w:r w:rsidRPr="000507BA">
        <w:rPr>
          <w:noProof/>
          <w:sz w:val="18"/>
          <w:lang w:val="en-US"/>
        </w:rPr>
        <w:t>. 2011;82(6):623-627. doi:10.1136/jnnp.2010.224501</w:t>
      </w:r>
    </w:p>
    <w:p w14:paraId="6625936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114. </w:t>
      </w:r>
      <w:r w:rsidRPr="000507BA">
        <w:rPr>
          <w:noProof/>
          <w:sz w:val="18"/>
          <w:lang w:val="en-US"/>
        </w:rPr>
        <w:tab/>
        <w:t xml:space="preserve">Mackenzie IRA, Bigio EH, Ince PG, et al. Pathological TDP-43 distinguishes sporadic amyotrophic lateral sclerosis from amyotrophic lateral sclerosis with SOD1 mutations. </w:t>
      </w:r>
      <w:r w:rsidRPr="000507BA">
        <w:rPr>
          <w:i/>
          <w:iCs/>
          <w:noProof/>
          <w:sz w:val="18"/>
          <w:lang w:val="en-US"/>
        </w:rPr>
        <w:t>Ann Neurol</w:t>
      </w:r>
      <w:r w:rsidRPr="000507BA">
        <w:rPr>
          <w:noProof/>
          <w:sz w:val="18"/>
          <w:lang w:val="en-US"/>
        </w:rPr>
        <w:t>. 2007;61(5):427-434. doi:10.1002/ana.21147</w:t>
      </w:r>
    </w:p>
    <w:p w14:paraId="4A93F23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115. </w:t>
      </w:r>
      <w:r w:rsidRPr="000507BA">
        <w:rPr>
          <w:noProof/>
          <w:sz w:val="18"/>
          <w:lang w:val="en-US"/>
        </w:rPr>
        <w:tab/>
        <w:t xml:space="preserve">Vance C, Rogelj B, Hortobagyi T, et al. Mutations in FUS, an RNA Processing Protein, Cause Familial Amyotrophic Lateral Sclerosis Type 6. </w:t>
      </w:r>
      <w:r w:rsidRPr="000507BA">
        <w:rPr>
          <w:i/>
          <w:iCs/>
          <w:noProof/>
          <w:sz w:val="18"/>
          <w:lang w:val="en-US"/>
        </w:rPr>
        <w:t>Science (80- )</w:t>
      </w:r>
      <w:r w:rsidRPr="000507BA">
        <w:rPr>
          <w:noProof/>
          <w:sz w:val="18"/>
          <w:lang w:val="en-US"/>
        </w:rPr>
        <w:t>. 2009;323(5918):1208-1211. doi:10.1126/science.1165942</w:t>
      </w:r>
    </w:p>
    <w:p w14:paraId="28C0ED9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116. </w:t>
      </w:r>
      <w:r w:rsidRPr="000507BA">
        <w:rPr>
          <w:noProof/>
          <w:sz w:val="18"/>
          <w:lang w:val="en-US"/>
        </w:rPr>
        <w:tab/>
        <w:t xml:space="preserve">Cairns NJ, Neumann M, Bigio EH, et al. TDP-43 in familial and sporadic frontotemporal lobar degeneration with ubiquitin inclusions. </w:t>
      </w:r>
      <w:r w:rsidRPr="000507BA">
        <w:rPr>
          <w:i/>
          <w:iCs/>
          <w:noProof/>
          <w:sz w:val="18"/>
          <w:lang w:val="en-US"/>
        </w:rPr>
        <w:t>Am J Pathol</w:t>
      </w:r>
      <w:r w:rsidRPr="000507BA">
        <w:rPr>
          <w:noProof/>
          <w:sz w:val="18"/>
          <w:lang w:val="en-US"/>
        </w:rPr>
        <w:t>. 2007;171(1):227-240. doi:10.2353/ajpath.2007.070182</w:t>
      </w:r>
    </w:p>
    <w:p w14:paraId="0C68AFF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117. </w:t>
      </w:r>
      <w:r w:rsidRPr="000507BA">
        <w:rPr>
          <w:noProof/>
          <w:sz w:val="18"/>
          <w:lang w:val="en-US"/>
        </w:rPr>
        <w:tab/>
        <w:t xml:space="preserve">Watts GDJ, Wymer J, Kovach MJ, et al. Inclusion body myopathy associated with Paget disease of bone and frontotemporal dementia is caused by mutant valosin-containing protein. </w:t>
      </w:r>
      <w:r w:rsidRPr="000507BA">
        <w:rPr>
          <w:i/>
          <w:iCs/>
          <w:noProof/>
          <w:sz w:val="18"/>
          <w:lang w:val="en-US"/>
        </w:rPr>
        <w:t>Nat Genet</w:t>
      </w:r>
      <w:r w:rsidRPr="000507BA">
        <w:rPr>
          <w:noProof/>
          <w:sz w:val="18"/>
          <w:lang w:val="en-US"/>
        </w:rPr>
        <w:t>. 2004;36(4):377-381. doi:10.1038/ng1332</w:t>
      </w:r>
    </w:p>
    <w:p w14:paraId="2733BAA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118. </w:t>
      </w:r>
      <w:r w:rsidRPr="000507BA">
        <w:rPr>
          <w:noProof/>
          <w:sz w:val="18"/>
          <w:lang w:val="en-US"/>
        </w:rPr>
        <w:tab/>
        <w:t xml:space="preserve">Le Ber I, Van Bortel I, Nicolas G, et al. hnRNPA2B1 and hnRNPA1 mutations are rare in patients with ‘multisystem proteinopathy’ and frontotemporal lobar degeneration phenotypes. </w:t>
      </w:r>
      <w:r w:rsidRPr="000507BA">
        <w:rPr>
          <w:i/>
          <w:iCs/>
          <w:noProof/>
          <w:sz w:val="18"/>
          <w:lang w:val="en-US"/>
        </w:rPr>
        <w:t>Neurobiol Aging</w:t>
      </w:r>
      <w:r w:rsidRPr="000507BA">
        <w:rPr>
          <w:noProof/>
          <w:sz w:val="18"/>
          <w:lang w:val="en-US"/>
        </w:rPr>
        <w:t>. 2014;35(4):934.e5-6. doi:10.1016/j.neurobiolaging.2013.09.016</w:t>
      </w:r>
    </w:p>
    <w:p w14:paraId="068D42D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119. </w:t>
      </w:r>
      <w:r w:rsidRPr="000507BA">
        <w:rPr>
          <w:noProof/>
          <w:sz w:val="18"/>
          <w:lang w:val="en-US"/>
        </w:rPr>
        <w:tab/>
        <w:t xml:space="preserve">Weihl CC, Temiz P, Miller SE, et al. TDP-43 accumulation in inclusion body myopathy muscle suggests a common pathogenic mechanism with frontotemporal dementia. </w:t>
      </w:r>
      <w:r w:rsidRPr="000507BA">
        <w:rPr>
          <w:i/>
          <w:iCs/>
          <w:noProof/>
          <w:sz w:val="18"/>
          <w:lang w:val="en-US"/>
        </w:rPr>
        <w:t>J Neurol Neurosurg Psychiatry</w:t>
      </w:r>
      <w:r w:rsidRPr="000507BA">
        <w:rPr>
          <w:noProof/>
          <w:sz w:val="18"/>
          <w:lang w:val="en-US"/>
        </w:rPr>
        <w:t>. 2008;79(10):1186-1189. doi:10.1136/jnnp.2007.131334</w:t>
      </w:r>
    </w:p>
    <w:p w14:paraId="7448CF5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120. </w:t>
      </w:r>
      <w:r w:rsidRPr="000507BA">
        <w:rPr>
          <w:noProof/>
          <w:sz w:val="18"/>
          <w:lang w:val="en-US"/>
        </w:rPr>
        <w:tab/>
        <w:t xml:space="preserve">Brenner M, Johnson AB, Boespflug-Tanguy O, Rodriguez D, Goldman JE, Messing A. Mutations in GFAP, encoding glial fibrillary acidic protein, are associated with Alexander disease. </w:t>
      </w:r>
      <w:r w:rsidRPr="000507BA">
        <w:rPr>
          <w:i/>
          <w:iCs/>
          <w:noProof/>
          <w:sz w:val="18"/>
          <w:lang w:val="en-US"/>
        </w:rPr>
        <w:t>Nat Genet</w:t>
      </w:r>
      <w:r w:rsidRPr="000507BA">
        <w:rPr>
          <w:noProof/>
          <w:sz w:val="18"/>
          <w:lang w:val="en-US"/>
        </w:rPr>
        <w:t>. 2001;27(1):117-120. doi:10.1038/83679</w:t>
      </w:r>
    </w:p>
    <w:p w14:paraId="284856F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121. </w:t>
      </w:r>
      <w:r w:rsidRPr="000507BA">
        <w:rPr>
          <w:noProof/>
          <w:sz w:val="18"/>
          <w:lang w:val="en-US"/>
        </w:rPr>
        <w:tab/>
        <w:t xml:space="preserve">Walker AK, Daniels CML, Goldman JE, Trojanowski JQ, Lee VM-Y, Messing A. Astrocytic TDP-43 pathology in Alexander disease. </w:t>
      </w:r>
      <w:r w:rsidRPr="000507BA">
        <w:rPr>
          <w:i/>
          <w:iCs/>
          <w:noProof/>
          <w:sz w:val="18"/>
          <w:lang w:val="en-US"/>
        </w:rPr>
        <w:t>J Neurosci</w:t>
      </w:r>
      <w:r w:rsidRPr="000507BA">
        <w:rPr>
          <w:noProof/>
          <w:sz w:val="18"/>
          <w:lang w:val="en-US"/>
        </w:rPr>
        <w:t>. 2014;34(19):6448-6458. doi:10.1523/JNEUROSCI.0248-14.2014</w:t>
      </w:r>
    </w:p>
    <w:p w14:paraId="7A3DFBE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122. </w:t>
      </w:r>
      <w:r w:rsidRPr="000507BA">
        <w:rPr>
          <w:noProof/>
          <w:sz w:val="18"/>
          <w:lang w:val="en-US"/>
        </w:rPr>
        <w:tab/>
        <w:t xml:space="preserve">Lambert JC, Ibrahim-Verbaas CA, Harold D, et al. Meta-analysis of 74,046 individuals identifies 11 new susceptibility loci for Alzheimer’s disease. </w:t>
      </w:r>
      <w:r w:rsidRPr="000507BA">
        <w:rPr>
          <w:i/>
          <w:iCs/>
          <w:noProof/>
          <w:sz w:val="18"/>
          <w:lang w:val="en-US"/>
        </w:rPr>
        <w:t>Nat Genet</w:t>
      </w:r>
      <w:r w:rsidRPr="000507BA">
        <w:rPr>
          <w:noProof/>
          <w:sz w:val="18"/>
          <w:lang w:val="en-US"/>
        </w:rPr>
        <w:t>. 2013;45(12):1452-1458. doi:10.1038/ng.2802</w:t>
      </w:r>
    </w:p>
    <w:p w14:paraId="36F5BE8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123. </w:t>
      </w:r>
      <w:r w:rsidRPr="000507BA">
        <w:rPr>
          <w:noProof/>
          <w:sz w:val="18"/>
          <w:lang w:val="en-US"/>
        </w:rPr>
        <w:tab/>
        <w:t xml:space="preserve">Higashi S, Iseki E, Yamamoto R, et al. Concurrence of TDP-43, tau and alpha-synuclein pathology in brains of Alzheimer’s disease and dementia with Lewy bodies. </w:t>
      </w:r>
      <w:r w:rsidRPr="000507BA">
        <w:rPr>
          <w:i/>
          <w:iCs/>
          <w:noProof/>
          <w:sz w:val="18"/>
          <w:lang w:val="en-US"/>
        </w:rPr>
        <w:t>Brain Res</w:t>
      </w:r>
      <w:r w:rsidRPr="000507BA">
        <w:rPr>
          <w:noProof/>
          <w:sz w:val="18"/>
          <w:lang w:val="en-US"/>
        </w:rPr>
        <w:t>. 2007;1184:284-294. doi:10.1016/j.brainres.2007.09.048</w:t>
      </w:r>
    </w:p>
    <w:p w14:paraId="0C9A692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124. </w:t>
      </w:r>
      <w:r w:rsidRPr="000507BA">
        <w:rPr>
          <w:noProof/>
          <w:sz w:val="18"/>
          <w:lang w:val="en-US"/>
        </w:rPr>
        <w:tab/>
        <w:t xml:space="preserve">Nakashima-Yasuda H, Uryu K, Robinson J, et al. Co-morbidity of TDP-43 proteinopathy in Lewy body related diseases. </w:t>
      </w:r>
      <w:r w:rsidRPr="000507BA">
        <w:rPr>
          <w:i/>
          <w:iCs/>
          <w:noProof/>
          <w:sz w:val="18"/>
          <w:lang w:val="en-US"/>
        </w:rPr>
        <w:t>Acta Neuropathol</w:t>
      </w:r>
      <w:r w:rsidRPr="000507BA">
        <w:rPr>
          <w:noProof/>
          <w:sz w:val="18"/>
          <w:lang w:val="en-US"/>
        </w:rPr>
        <w:t>. 2007;114(3):221-229. doi:10.1007/s00401-007-0261-2</w:t>
      </w:r>
    </w:p>
    <w:p w14:paraId="1AC0D48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125. </w:t>
      </w:r>
      <w:r w:rsidRPr="000507BA">
        <w:rPr>
          <w:noProof/>
          <w:sz w:val="18"/>
          <w:lang w:val="en-US"/>
        </w:rPr>
        <w:tab/>
        <w:t xml:space="preserve">Mulder DW, Kurland LT, Iriarte LL. Neurologic diseases on the island of Guam. </w:t>
      </w:r>
      <w:r w:rsidRPr="000507BA">
        <w:rPr>
          <w:i/>
          <w:iCs/>
          <w:noProof/>
          <w:sz w:val="18"/>
          <w:lang w:val="en-US"/>
        </w:rPr>
        <w:t>U S Armed Forces Med J</w:t>
      </w:r>
      <w:r w:rsidRPr="000507BA">
        <w:rPr>
          <w:noProof/>
          <w:sz w:val="18"/>
          <w:lang w:val="en-US"/>
        </w:rPr>
        <w:t>. 1954;5(12):1724-1739. http://www.ncbi.nlm.nih.gov/pubmed/13217119. Accessed October 23, 2018.</w:t>
      </w:r>
    </w:p>
    <w:p w14:paraId="72A65DA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126. </w:t>
      </w:r>
      <w:r w:rsidRPr="000507BA">
        <w:rPr>
          <w:noProof/>
          <w:sz w:val="18"/>
          <w:lang w:val="en-US"/>
        </w:rPr>
        <w:tab/>
        <w:t xml:space="preserve">Hasegawa M, Arai T, Akiyama H, et al. TDP-43 is deposited in the Guam parkinsonism-dementia complex brains. </w:t>
      </w:r>
      <w:r w:rsidRPr="000507BA">
        <w:rPr>
          <w:i/>
          <w:iCs/>
          <w:noProof/>
          <w:sz w:val="18"/>
          <w:lang w:val="en-US"/>
        </w:rPr>
        <w:t>Brain</w:t>
      </w:r>
      <w:r w:rsidRPr="000507BA">
        <w:rPr>
          <w:noProof/>
          <w:sz w:val="18"/>
          <w:lang w:val="en-US"/>
        </w:rPr>
        <w:t>. 2007;130(5):1386-1394. doi:10.1093/brain/awm065</w:t>
      </w:r>
    </w:p>
    <w:p w14:paraId="7364310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127. </w:t>
      </w:r>
      <w:r w:rsidRPr="000507BA">
        <w:rPr>
          <w:noProof/>
          <w:sz w:val="18"/>
          <w:lang w:val="en-US"/>
        </w:rPr>
        <w:tab/>
        <w:t xml:space="preserve">Geser F, Winton MJ, Kwong LK, et al. Pathological TDP-43 in parkinsonism–dementia complex and amyotrophic lateral sclerosis of Guam. </w:t>
      </w:r>
      <w:r w:rsidRPr="000507BA">
        <w:rPr>
          <w:i/>
          <w:iCs/>
          <w:noProof/>
          <w:sz w:val="18"/>
          <w:lang w:val="en-US"/>
        </w:rPr>
        <w:t>Acta Neuropathol</w:t>
      </w:r>
      <w:r w:rsidRPr="000507BA">
        <w:rPr>
          <w:noProof/>
          <w:sz w:val="18"/>
          <w:lang w:val="en-US"/>
        </w:rPr>
        <w:t xml:space="preserve">. 2007;115(1):133-145. </w:t>
      </w:r>
      <w:r w:rsidRPr="000507BA">
        <w:rPr>
          <w:noProof/>
          <w:sz w:val="18"/>
          <w:lang w:val="en-US"/>
        </w:rPr>
        <w:lastRenderedPageBreak/>
        <w:t>doi:10.1007/s00401-007-0257-y</w:t>
      </w:r>
    </w:p>
    <w:p w14:paraId="65BAA7F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128. </w:t>
      </w:r>
      <w:r w:rsidRPr="000507BA">
        <w:rPr>
          <w:noProof/>
          <w:sz w:val="18"/>
          <w:lang w:val="en-US"/>
        </w:rPr>
        <w:tab/>
        <w:t xml:space="preserve">Miklossy J, Steele JC, Yu S, et al. Enduring involvement of tau, β-amyloid, α-synuclein, ubiquitin and TDP-43 pathology in the amyotrophic lateral sclerosis/parkinsonism–dementia complex of Guam (ALS/PDC). </w:t>
      </w:r>
      <w:r w:rsidRPr="000507BA">
        <w:rPr>
          <w:i/>
          <w:iCs/>
          <w:noProof/>
          <w:sz w:val="18"/>
          <w:lang w:val="en-US"/>
        </w:rPr>
        <w:t>Acta Neuropathol</w:t>
      </w:r>
      <w:r w:rsidRPr="000507BA">
        <w:rPr>
          <w:noProof/>
          <w:sz w:val="18"/>
          <w:lang w:val="en-US"/>
        </w:rPr>
        <w:t>. 2008;116(6):625-637. doi:10.1007/s00401-008-0439-2</w:t>
      </w:r>
    </w:p>
    <w:p w14:paraId="44C9E23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129. </w:t>
      </w:r>
      <w:r w:rsidRPr="000507BA">
        <w:rPr>
          <w:noProof/>
          <w:sz w:val="18"/>
          <w:lang w:val="en-US"/>
        </w:rPr>
        <w:tab/>
        <w:t xml:space="preserve">Cudkowicz M, Kowall NW. </w:t>
      </w:r>
      <w:r w:rsidRPr="000507BA">
        <w:rPr>
          <w:i/>
          <w:iCs/>
          <w:noProof/>
          <w:sz w:val="18"/>
          <w:lang w:val="en-US"/>
        </w:rPr>
        <w:t>Degeneration of Pyramidal Projection Neurons in Huntington’s Disease Cortex</w:t>
      </w:r>
      <w:r w:rsidRPr="000507BA">
        <w:rPr>
          <w:noProof/>
          <w:sz w:val="18"/>
          <w:lang w:val="en-US"/>
        </w:rPr>
        <w:t>.; 1990. https://s3.amazonaws.com/academia.edu.documents/46726793/ana.41027021720160623-23855-hrht04.pdf?AWSAccessKeyId=AKIAIWOWYYGZ2Y53UL3A&amp;Expires=1540286261&amp;Signature=MZsVcTBLx5aT4ixzP60rswgZFNc%3D&amp;response-content-disposition=inline%3B filename%3DDegeneration_of_pyramidal_projection_neu.pdf. Accessed October 23, 2018.</w:t>
      </w:r>
    </w:p>
    <w:p w14:paraId="0FF8B9D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130. </w:t>
      </w:r>
      <w:r w:rsidRPr="000507BA">
        <w:rPr>
          <w:noProof/>
          <w:sz w:val="18"/>
          <w:lang w:val="en-US"/>
        </w:rPr>
        <w:tab/>
        <w:t xml:space="preserve">Hedreen JC, Peyser CE, Folstein SE, Ross CA. Neuronal loss in layers V and VI of cerebral cortex in Huntington’s disease. </w:t>
      </w:r>
      <w:r w:rsidRPr="000507BA">
        <w:rPr>
          <w:i/>
          <w:iCs/>
          <w:noProof/>
          <w:sz w:val="18"/>
          <w:lang w:val="en-US"/>
        </w:rPr>
        <w:t>Neurosci Lett</w:t>
      </w:r>
      <w:r w:rsidRPr="000507BA">
        <w:rPr>
          <w:noProof/>
          <w:sz w:val="18"/>
          <w:lang w:val="en-US"/>
        </w:rPr>
        <w:t>. 1991;133(2):257-261. doi:10.1016/0304-3940(91)90583-F</w:t>
      </w:r>
    </w:p>
    <w:p w14:paraId="53FD4C3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131. </w:t>
      </w:r>
      <w:r w:rsidRPr="000507BA">
        <w:rPr>
          <w:noProof/>
          <w:sz w:val="18"/>
          <w:lang w:val="en-US"/>
        </w:rPr>
        <w:tab/>
        <w:t xml:space="preserve">Spargo E, Everall IP, Lantos PL, Everall P L Lantos IP, Spargo E. Neuronal loss in the hippocampus in Huntington’s disease: a comparison with HIV infection. </w:t>
      </w:r>
      <w:r w:rsidRPr="000507BA">
        <w:rPr>
          <w:i/>
          <w:iCs/>
          <w:noProof/>
          <w:sz w:val="18"/>
          <w:lang w:val="en-US"/>
        </w:rPr>
        <w:t>Neurol Neurosurg Psychiatry</w:t>
      </w:r>
      <w:r w:rsidRPr="000507BA">
        <w:rPr>
          <w:noProof/>
          <w:sz w:val="18"/>
          <w:lang w:val="en-US"/>
        </w:rPr>
        <w:t>. 1993;56(3):487-491. doi:10.1136/jnnp.56.5.487</w:t>
      </w:r>
    </w:p>
    <w:p w14:paraId="3762745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132. </w:t>
      </w:r>
      <w:r w:rsidRPr="000507BA">
        <w:rPr>
          <w:noProof/>
          <w:sz w:val="18"/>
          <w:lang w:val="en-US"/>
        </w:rPr>
        <w:tab/>
        <w:t xml:space="preserve">Jeste D V., Barban L, Parisi J. Reduced Purkinje cell density in Huntington’s disease. </w:t>
      </w:r>
      <w:r w:rsidRPr="000507BA">
        <w:rPr>
          <w:i/>
          <w:iCs/>
          <w:noProof/>
          <w:sz w:val="18"/>
          <w:lang w:val="en-US"/>
        </w:rPr>
        <w:t>Exp Neurol</w:t>
      </w:r>
      <w:r w:rsidRPr="000507BA">
        <w:rPr>
          <w:noProof/>
          <w:sz w:val="18"/>
          <w:lang w:val="en-US"/>
        </w:rPr>
        <w:t>. 1984;85(1):78-86. doi:10.1016/0014-4886(84)90162-6</w:t>
      </w:r>
    </w:p>
    <w:p w14:paraId="5714E4B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133. </w:t>
      </w:r>
      <w:r w:rsidRPr="000507BA">
        <w:rPr>
          <w:noProof/>
          <w:sz w:val="18"/>
          <w:lang w:val="en-US"/>
        </w:rPr>
        <w:tab/>
        <w:t xml:space="preserve">Andrew SE, Paul Goldberg Y, Kremer B, et al. The relationship between trinucleotide (CAG) repeat length and clinical features of Huntington’s disease. </w:t>
      </w:r>
      <w:r w:rsidRPr="000507BA">
        <w:rPr>
          <w:i/>
          <w:iCs/>
          <w:noProof/>
          <w:sz w:val="18"/>
          <w:lang w:val="en-US"/>
        </w:rPr>
        <w:t>Nat Genet</w:t>
      </w:r>
      <w:r w:rsidRPr="000507BA">
        <w:rPr>
          <w:noProof/>
          <w:sz w:val="18"/>
          <w:lang w:val="en-US"/>
        </w:rPr>
        <w:t>. 1993;4(4):398-403. doi:10.1038/ng0893-398</w:t>
      </w:r>
    </w:p>
    <w:p w14:paraId="579767D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134. </w:t>
      </w:r>
      <w:r w:rsidRPr="000507BA">
        <w:rPr>
          <w:noProof/>
          <w:sz w:val="18"/>
          <w:lang w:val="en-US"/>
        </w:rPr>
        <w:tab/>
        <w:t xml:space="preserve">Duyao M, Ambrose C, Myers R, et al. Trinucleotide repeat length instability and age of onset in Huntington’s disease. </w:t>
      </w:r>
      <w:r w:rsidRPr="000507BA">
        <w:rPr>
          <w:i/>
          <w:iCs/>
          <w:noProof/>
          <w:sz w:val="18"/>
          <w:lang w:val="en-US"/>
        </w:rPr>
        <w:t>Nat Genet</w:t>
      </w:r>
      <w:r w:rsidRPr="000507BA">
        <w:rPr>
          <w:noProof/>
          <w:sz w:val="18"/>
          <w:lang w:val="en-US"/>
        </w:rPr>
        <w:t>. 1993;4(4):387-392. doi:10.1038/ng0893-387</w:t>
      </w:r>
    </w:p>
    <w:p w14:paraId="6678A79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135. </w:t>
      </w:r>
      <w:r w:rsidRPr="000507BA">
        <w:rPr>
          <w:noProof/>
          <w:sz w:val="18"/>
          <w:lang w:val="en-US"/>
        </w:rPr>
        <w:tab/>
        <w:t xml:space="preserve">Schwab C, Arai T, Hasegawa M, Yu S, McGeer PL. Colocalization of Transactivation-Responsive DNA-Binding Protein 43 and Huntingtin in Inclusions of Huntington Disease. </w:t>
      </w:r>
      <w:r w:rsidRPr="000507BA">
        <w:rPr>
          <w:i/>
          <w:iCs/>
          <w:noProof/>
          <w:sz w:val="18"/>
          <w:lang w:val="en-US"/>
        </w:rPr>
        <w:t>J Neuropathol Exp Neurol</w:t>
      </w:r>
      <w:r w:rsidRPr="000507BA">
        <w:rPr>
          <w:noProof/>
          <w:sz w:val="18"/>
          <w:lang w:val="en-US"/>
        </w:rPr>
        <w:t>. 2008;67(12):1159-1165. doi:10.1097/NEN.0b013e31818e8951</w:t>
      </w:r>
    </w:p>
    <w:p w14:paraId="3DC2DE1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136. </w:t>
      </w:r>
      <w:r w:rsidRPr="000507BA">
        <w:rPr>
          <w:noProof/>
          <w:sz w:val="18"/>
          <w:lang w:val="en-US"/>
        </w:rPr>
        <w:tab/>
        <w:t xml:space="preserve">Feany MB, Dickson DW. Widespread cytoskeletal pathology characterizes corticobasal degeneration. </w:t>
      </w:r>
      <w:r w:rsidRPr="000507BA">
        <w:rPr>
          <w:i/>
          <w:iCs/>
          <w:noProof/>
          <w:sz w:val="18"/>
          <w:lang w:val="en-US"/>
        </w:rPr>
        <w:t>Am J Pathol</w:t>
      </w:r>
      <w:r w:rsidRPr="000507BA">
        <w:rPr>
          <w:noProof/>
          <w:sz w:val="18"/>
          <w:lang w:val="en-US"/>
        </w:rPr>
        <w:t>. 1995;146(6):1388-1396. http://www.ncbi.nlm.nih.gov/pubmed/7778678. Accessed October 23, 2018.</w:t>
      </w:r>
    </w:p>
    <w:p w14:paraId="77CF111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137. </w:t>
      </w:r>
      <w:r w:rsidRPr="000507BA">
        <w:rPr>
          <w:noProof/>
          <w:sz w:val="18"/>
          <w:lang w:val="en-US"/>
        </w:rPr>
        <w:tab/>
        <w:t xml:space="preserve">Koga S, Kouri N, Walton RL, et al. Corticobasal degeneration with TDP-43 pathology presenting with progressive supranuclear palsy syndrome: a distinct clinicopathologic subtype. </w:t>
      </w:r>
      <w:r w:rsidRPr="000507BA">
        <w:rPr>
          <w:i/>
          <w:iCs/>
          <w:noProof/>
          <w:sz w:val="18"/>
          <w:lang w:val="en-US"/>
        </w:rPr>
        <w:t>Acta Neuropathol</w:t>
      </w:r>
      <w:r w:rsidRPr="000507BA">
        <w:rPr>
          <w:noProof/>
          <w:sz w:val="18"/>
          <w:lang w:val="en-US"/>
        </w:rPr>
        <w:t>. June 2018. doi:10.1007/s00401-018-1878-z</w:t>
      </w:r>
    </w:p>
    <w:p w14:paraId="5DCE848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138. </w:t>
      </w:r>
      <w:r w:rsidRPr="000507BA">
        <w:rPr>
          <w:noProof/>
          <w:sz w:val="18"/>
          <w:lang w:val="en-US"/>
        </w:rPr>
        <w:tab/>
        <w:t xml:space="preserve">Yokota O, Davidson Y, Bigio EH, et al. Phosphorylated TDP-43 pathology and hippocampal sclerosis in progressive supranuclear palsy. </w:t>
      </w:r>
      <w:r w:rsidRPr="000507BA">
        <w:rPr>
          <w:i/>
          <w:iCs/>
          <w:noProof/>
          <w:sz w:val="18"/>
          <w:lang w:val="en-US"/>
        </w:rPr>
        <w:t>Acta Neuropathol</w:t>
      </w:r>
      <w:r w:rsidRPr="000507BA">
        <w:rPr>
          <w:noProof/>
          <w:sz w:val="18"/>
          <w:lang w:val="en-US"/>
        </w:rPr>
        <w:t>. 2010;120(1):55-66. doi:10.1007/s00401-010-0702-1</w:t>
      </w:r>
    </w:p>
    <w:p w14:paraId="56C00B3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139. </w:t>
      </w:r>
      <w:r w:rsidRPr="000507BA">
        <w:rPr>
          <w:noProof/>
          <w:sz w:val="18"/>
          <w:lang w:val="en-US"/>
        </w:rPr>
        <w:tab/>
        <w:t xml:space="preserve">Jefferys JGR. Hippocampal sclerosis and temporal lobe epilepsy: cause or consequence? </w:t>
      </w:r>
      <w:r w:rsidRPr="000507BA">
        <w:rPr>
          <w:i/>
          <w:iCs/>
          <w:noProof/>
          <w:sz w:val="18"/>
          <w:lang w:val="en-US"/>
        </w:rPr>
        <w:t>Brain</w:t>
      </w:r>
      <w:r w:rsidRPr="000507BA">
        <w:rPr>
          <w:noProof/>
          <w:sz w:val="18"/>
          <w:lang w:val="en-US"/>
        </w:rPr>
        <w:t>. 1999;122(6):1007-1008. doi:10.1093/brain/122.6.1007</w:t>
      </w:r>
    </w:p>
    <w:p w14:paraId="207BD9D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140. </w:t>
      </w:r>
      <w:r w:rsidRPr="000507BA">
        <w:rPr>
          <w:noProof/>
          <w:sz w:val="18"/>
          <w:lang w:val="en-US"/>
        </w:rPr>
        <w:tab/>
        <w:t xml:space="preserve">Amador-Ortiz C, Lin W-L, Ahmed Z, et al. TDP-43 immunoreactivity in hippocampal sclerosis and Alzheimer’s disease. </w:t>
      </w:r>
      <w:r w:rsidRPr="000507BA">
        <w:rPr>
          <w:i/>
          <w:iCs/>
          <w:noProof/>
          <w:sz w:val="18"/>
          <w:lang w:val="en-US"/>
        </w:rPr>
        <w:t>Ann Neurol</w:t>
      </w:r>
      <w:r w:rsidRPr="000507BA">
        <w:rPr>
          <w:noProof/>
          <w:sz w:val="18"/>
          <w:lang w:val="en-US"/>
        </w:rPr>
        <w:t>. 2007;61(5):435-445. doi:10.1002/ana.21154</w:t>
      </w:r>
    </w:p>
    <w:p w14:paraId="4A61975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141. </w:t>
      </w:r>
      <w:r w:rsidRPr="000507BA">
        <w:rPr>
          <w:noProof/>
          <w:sz w:val="18"/>
          <w:lang w:val="en-US"/>
        </w:rPr>
        <w:tab/>
        <w:t xml:space="preserve">Figueroa KP, Coon H, Santos N, Velazquez L, Mederos LA, Pulst S-M. Genetic analysis of age at onset variation in spinocerebellar ataxia type 2. </w:t>
      </w:r>
      <w:r w:rsidRPr="000507BA">
        <w:rPr>
          <w:i/>
          <w:iCs/>
          <w:noProof/>
          <w:sz w:val="18"/>
          <w:lang w:val="en-US"/>
        </w:rPr>
        <w:t>Neurol Genet</w:t>
      </w:r>
      <w:r w:rsidRPr="000507BA">
        <w:rPr>
          <w:noProof/>
          <w:sz w:val="18"/>
          <w:lang w:val="en-US"/>
        </w:rPr>
        <w:t>. 2017;3(3):e155. doi:10.1212/NXG.0000000000000155</w:t>
      </w:r>
    </w:p>
    <w:p w14:paraId="1CF7332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142. </w:t>
      </w:r>
      <w:r w:rsidRPr="000507BA">
        <w:rPr>
          <w:noProof/>
          <w:sz w:val="18"/>
          <w:lang w:val="en-US"/>
        </w:rPr>
        <w:tab/>
        <w:t xml:space="preserve">Toyoshima Y, Tanaka H, Shimohata M, et al. Spinocerebellar ataxia type 2 (SCA2) is associated with TDP-43 pathology. </w:t>
      </w:r>
      <w:r w:rsidRPr="000507BA">
        <w:rPr>
          <w:i/>
          <w:iCs/>
          <w:noProof/>
          <w:sz w:val="18"/>
          <w:lang w:val="en-US"/>
        </w:rPr>
        <w:t>Acta Neuropathol</w:t>
      </w:r>
      <w:r w:rsidRPr="000507BA">
        <w:rPr>
          <w:noProof/>
          <w:sz w:val="18"/>
          <w:lang w:val="en-US"/>
        </w:rPr>
        <w:t>. 2011;122(3):375-378. doi:10.1007/s00401-011-0862-7</w:t>
      </w:r>
    </w:p>
    <w:p w14:paraId="52723D8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143. </w:t>
      </w:r>
      <w:r w:rsidRPr="000507BA">
        <w:rPr>
          <w:noProof/>
          <w:sz w:val="18"/>
          <w:lang w:val="en-US"/>
        </w:rPr>
        <w:tab/>
        <w:t xml:space="preserve">McKee AC, Stern RA, Nowinski CJ, et al. The spectrum of disease in chronic traumatic encephalopathy. </w:t>
      </w:r>
      <w:r w:rsidRPr="000507BA">
        <w:rPr>
          <w:i/>
          <w:iCs/>
          <w:noProof/>
          <w:sz w:val="18"/>
          <w:lang w:val="en-US"/>
        </w:rPr>
        <w:t>Brain</w:t>
      </w:r>
      <w:r w:rsidRPr="000507BA">
        <w:rPr>
          <w:noProof/>
          <w:sz w:val="18"/>
          <w:lang w:val="en-US"/>
        </w:rPr>
        <w:t>. 2013;136(Pt 1):43-64. doi:10.1093/brain/aws307</w:t>
      </w:r>
    </w:p>
    <w:p w14:paraId="03AE4BA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144. </w:t>
      </w:r>
      <w:r w:rsidRPr="000507BA">
        <w:rPr>
          <w:noProof/>
          <w:sz w:val="18"/>
          <w:lang w:val="en-US"/>
        </w:rPr>
        <w:tab/>
        <w:t>Barnes D. TDP-43 pathology in chronic traumatic encephalopathy. 2016. https://open.bu.edu/handle/2144/16788. Accessed October 23, 2018.</w:t>
      </w:r>
    </w:p>
    <w:p w14:paraId="50989AE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lastRenderedPageBreak/>
        <w:t xml:space="preserve">145. </w:t>
      </w:r>
      <w:r w:rsidRPr="000507BA">
        <w:rPr>
          <w:noProof/>
          <w:sz w:val="18"/>
          <w:lang w:val="en-US"/>
        </w:rPr>
        <w:tab/>
        <w:t xml:space="preserve">Zhang Y-J, Xu Y-F, Cook C, et al. Aberrant cleavage of TDP-43 enhances aggregation and cellular toxicity. </w:t>
      </w:r>
      <w:r w:rsidRPr="000507BA">
        <w:rPr>
          <w:i/>
          <w:iCs/>
          <w:noProof/>
          <w:sz w:val="18"/>
          <w:lang w:val="en-US"/>
        </w:rPr>
        <w:t>Proc Natl Acad Sci U S A</w:t>
      </w:r>
      <w:r w:rsidRPr="000507BA">
        <w:rPr>
          <w:noProof/>
          <w:sz w:val="18"/>
          <w:lang w:val="en-US"/>
        </w:rPr>
        <w:t>. 2009;106(18):7607-7612. doi:10.1073/pnas.0900688106</w:t>
      </w:r>
    </w:p>
    <w:p w14:paraId="097AB4C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146. </w:t>
      </w:r>
      <w:r w:rsidRPr="000507BA">
        <w:rPr>
          <w:noProof/>
          <w:sz w:val="18"/>
          <w:lang w:val="en-US"/>
        </w:rPr>
        <w:tab/>
        <w:t xml:space="preserve">McIlwain DR, Berger T, Mak TW. Caspase functions in cell death and disease. </w:t>
      </w:r>
      <w:r w:rsidRPr="000507BA">
        <w:rPr>
          <w:i/>
          <w:iCs/>
          <w:noProof/>
          <w:sz w:val="18"/>
          <w:lang w:val="en-US"/>
        </w:rPr>
        <w:t>Cold Spring Harb Perspect Biol</w:t>
      </w:r>
      <w:r w:rsidRPr="000507BA">
        <w:rPr>
          <w:noProof/>
          <w:sz w:val="18"/>
          <w:lang w:val="en-US"/>
        </w:rPr>
        <w:t>. 2013;5(4):a008656. doi:10.1101/cshperspect.a008656</w:t>
      </w:r>
    </w:p>
    <w:p w14:paraId="4377217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147. </w:t>
      </w:r>
      <w:r w:rsidRPr="000507BA">
        <w:rPr>
          <w:noProof/>
          <w:sz w:val="18"/>
          <w:lang w:val="en-US"/>
        </w:rPr>
        <w:tab/>
        <w:t xml:space="preserve">Liu Y-J, Ju T-C, Chen H-M, et al. Activation of AMP-activated protein kinase α1 mediates mislocalization of TDP-43 in amyotrophic lateral sclerosis. </w:t>
      </w:r>
      <w:r w:rsidRPr="000507BA">
        <w:rPr>
          <w:i/>
          <w:iCs/>
          <w:noProof/>
          <w:sz w:val="18"/>
          <w:lang w:val="en-US"/>
        </w:rPr>
        <w:t>Hum Mol Genet</w:t>
      </w:r>
      <w:r w:rsidRPr="000507BA">
        <w:rPr>
          <w:noProof/>
          <w:sz w:val="18"/>
          <w:lang w:val="en-US"/>
        </w:rPr>
        <w:t>. 2015;24(3):787-801. doi:10.1093/hmg/ddu497</w:t>
      </w:r>
    </w:p>
    <w:p w14:paraId="4C4BE23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148. </w:t>
      </w:r>
      <w:r w:rsidRPr="000507BA">
        <w:rPr>
          <w:noProof/>
          <w:sz w:val="18"/>
          <w:lang w:val="en-US"/>
        </w:rPr>
        <w:tab/>
        <w:t xml:space="preserve">Barmada SJ, Skibinski G, Korb E, Rao EJ, Wu JY, Finkbeiner S. Cytoplasmic mislocalization of TDP-43 is toxic to neurons and enhanced by a mutation associated with familial amyotrophic lateral sclerosis. </w:t>
      </w:r>
      <w:r w:rsidRPr="000507BA">
        <w:rPr>
          <w:i/>
          <w:iCs/>
          <w:noProof/>
          <w:sz w:val="18"/>
          <w:lang w:val="en-US"/>
        </w:rPr>
        <w:t>J Neurosci</w:t>
      </w:r>
      <w:r w:rsidRPr="000507BA">
        <w:rPr>
          <w:noProof/>
          <w:sz w:val="18"/>
          <w:lang w:val="en-US"/>
        </w:rPr>
        <w:t>. 2010;30(2):639-649. doi:10.1523/JNEUROSCI.4988-09.2010</w:t>
      </w:r>
    </w:p>
    <w:p w14:paraId="163342B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149. </w:t>
      </w:r>
      <w:r w:rsidRPr="000507BA">
        <w:rPr>
          <w:noProof/>
          <w:sz w:val="18"/>
          <w:lang w:val="en-US"/>
        </w:rPr>
        <w:tab/>
        <w:t xml:space="preserve">Colombrita C, Zennaro E, Fallini C, et al. TDP-43 is recruited to stress granules in conditions of oxidative insult. </w:t>
      </w:r>
      <w:r w:rsidRPr="000507BA">
        <w:rPr>
          <w:i/>
          <w:iCs/>
          <w:noProof/>
          <w:sz w:val="18"/>
          <w:lang w:val="en-US"/>
        </w:rPr>
        <w:t>J Neurochem</w:t>
      </w:r>
      <w:r w:rsidRPr="000507BA">
        <w:rPr>
          <w:noProof/>
          <w:sz w:val="18"/>
          <w:lang w:val="en-US"/>
        </w:rPr>
        <w:t>. 2009;111(4):1051-1061. doi:10.1111/j.1471-4159.2009.06383.x</w:t>
      </w:r>
    </w:p>
    <w:p w14:paraId="4792FFF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150. </w:t>
      </w:r>
      <w:r w:rsidRPr="000507BA">
        <w:rPr>
          <w:noProof/>
          <w:sz w:val="18"/>
          <w:lang w:val="en-US"/>
        </w:rPr>
        <w:tab/>
        <w:t xml:space="preserve">Yang C, Tan W, Whittle C, et al. The C-terminal TDP-43 fragments have a high aggregation propensity and harm neurons by a dominant-negative mechanism. </w:t>
      </w:r>
      <w:r w:rsidRPr="000507BA">
        <w:rPr>
          <w:i/>
          <w:iCs/>
          <w:noProof/>
          <w:sz w:val="18"/>
          <w:lang w:val="en-US"/>
        </w:rPr>
        <w:t>PLoS One</w:t>
      </w:r>
      <w:r w:rsidRPr="000507BA">
        <w:rPr>
          <w:noProof/>
          <w:sz w:val="18"/>
          <w:lang w:val="en-US"/>
        </w:rPr>
        <w:t>. 2010;5(12):e15878. doi:10.1371/journal.pone.0015878</w:t>
      </w:r>
    </w:p>
    <w:p w14:paraId="6D722A8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151. </w:t>
      </w:r>
      <w:r w:rsidRPr="000507BA">
        <w:rPr>
          <w:noProof/>
          <w:sz w:val="18"/>
          <w:lang w:val="en-US"/>
        </w:rPr>
        <w:tab/>
        <w:t xml:space="preserve">Murakami T, Qamar S, Lin JQ, et al. ALS/FTD Mutation-Induced Phase Transition of FUS Liquid Droplets and Reversible Hydrogels into Irreversible Hydrogels Impairs RNP Granule Function. </w:t>
      </w:r>
      <w:r w:rsidRPr="000507BA">
        <w:rPr>
          <w:i/>
          <w:iCs/>
          <w:noProof/>
          <w:sz w:val="18"/>
          <w:lang w:val="en-US"/>
        </w:rPr>
        <w:t>Neuron</w:t>
      </w:r>
      <w:r w:rsidRPr="000507BA">
        <w:rPr>
          <w:noProof/>
          <w:sz w:val="18"/>
          <w:lang w:val="en-US"/>
        </w:rPr>
        <w:t>. 2015;88(4):678-690. doi:10.1016/j.neuron.2015.10.030</w:t>
      </w:r>
    </w:p>
    <w:p w14:paraId="4FD7472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152. </w:t>
      </w:r>
      <w:r w:rsidRPr="000507BA">
        <w:rPr>
          <w:noProof/>
          <w:sz w:val="18"/>
          <w:lang w:val="en-US"/>
        </w:rPr>
        <w:tab/>
        <w:t xml:space="preserve">Lee EB, Lee VM-Y, Trojanowski JQ. Gains or losses: molecular mechanisms of TDP43-mediated neurodegeneration. </w:t>
      </w:r>
      <w:r w:rsidRPr="000507BA">
        <w:rPr>
          <w:i/>
          <w:iCs/>
          <w:noProof/>
          <w:sz w:val="18"/>
          <w:lang w:val="en-US"/>
        </w:rPr>
        <w:t>Nat Rev Neurosci</w:t>
      </w:r>
      <w:r w:rsidRPr="000507BA">
        <w:rPr>
          <w:noProof/>
          <w:sz w:val="18"/>
          <w:lang w:val="en-US"/>
        </w:rPr>
        <w:t>. 2012;13(1):38-50. doi:10.1038/nrn3121</w:t>
      </w:r>
    </w:p>
    <w:p w14:paraId="10D26F2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153. </w:t>
      </w:r>
      <w:r w:rsidRPr="000507BA">
        <w:rPr>
          <w:noProof/>
          <w:sz w:val="18"/>
          <w:lang w:val="en-US"/>
        </w:rPr>
        <w:tab/>
        <w:t>Clough E, Barrett T. The Gene Expression Omnibus Database. In: Humana Press, New York, NY; 2016:93-110. doi:10.1007/978-1-4939-3578-9_5</w:t>
      </w:r>
    </w:p>
    <w:p w14:paraId="73FFE56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154. </w:t>
      </w:r>
      <w:r w:rsidRPr="000507BA">
        <w:rPr>
          <w:noProof/>
          <w:sz w:val="18"/>
          <w:lang w:val="en-US"/>
        </w:rPr>
        <w:tab/>
        <w:t xml:space="preserve">Murie C, Woody O, Lee AY, Nadon R. Comparison of small n statistical tests of differential expression applied to microarrays. </w:t>
      </w:r>
      <w:r w:rsidRPr="000507BA">
        <w:rPr>
          <w:i/>
          <w:iCs/>
          <w:noProof/>
          <w:sz w:val="18"/>
          <w:lang w:val="en-US"/>
        </w:rPr>
        <w:t>BMC Bioinformatics</w:t>
      </w:r>
      <w:r w:rsidRPr="000507BA">
        <w:rPr>
          <w:noProof/>
          <w:sz w:val="18"/>
          <w:lang w:val="en-US"/>
        </w:rPr>
        <w:t>. 2009;10:45. doi:10.1186/1471-2105-10-45</w:t>
      </w:r>
    </w:p>
    <w:p w14:paraId="3B110C1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155. </w:t>
      </w:r>
      <w:r w:rsidRPr="000507BA">
        <w:rPr>
          <w:noProof/>
          <w:sz w:val="18"/>
          <w:lang w:val="en-US"/>
        </w:rPr>
        <w:tab/>
        <w:t xml:space="preserve">Seyednasrollah F, Laiho A, Elo LL. Comparison of software packages for detecting differential expression in RNA-seq studies. </w:t>
      </w:r>
      <w:r w:rsidRPr="000507BA">
        <w:rPr>
          <w:i/>
          <w:iCs/>
          <w:noProof/>
          <w:sz w:val="18"/>
          <w:lang w:val="en-US"/>
        </w:rPr>
        <w:t>Brief Bioinform</w:t>
      </w:r>
      <w:r w:rsidRPr="000507BA">
        <w:rPr>
          <w:noProof/>
          <w:sz w:val="18"/>
          <w:lang w:val="en-US"/>
        </w:rPr>
        <w:t>. 16(1):59-70. doi:10.1093/bib/bbt086</w:t>
      </w:r>
    </w:p>
    <w:p w14:paraId="1808CC0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156. </w:t>
      </w:r>
      <w:r w:rsidRPr="000507BA">
        <w:rPr>
          <w:noProof/>
          <w:sz w:val="18"/>
          <w:lang w:val="en-US"/>
        </w:rPr>
        <w:tab/>
        <w:t xml:space="preserve">St. Laurent G, Shtokalo D, Tackett MR, et al. On the importance of small changes in RNA expression. </w:t>
      </w:r>
      <w:r w:rsidRPr="000507BA">
        <w:rPr>
          <w:i/>
          <w:iCs/>
          <w:noProof/>
          <w:sz w:val="18"/>
          <w:lang w:val="en-US"/>
        </w:rPr>
        <w:t>Methods</w:t>
      </w:r>
      <w:r w:rsidRPr="000507BA">
        <w:rPr>
          <w:noProof/>
          <w:sz w:val="18"/>
          <w:lang w:val="en-US"/>
        </w:rPr>
        <w:t>. 2013;63(1):18-24. doi:10.1016/j.ymeth.2013.03.027</w:t>
      </w:r>
    </w:p>
    <w:p w14:paraId="248913C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157. </w:t>
      </w:r>
      <w:r w:rsidRPr="000507BA">
        <w:rPr>
          <w:noProof/>
          <w:sz w:val="18"/>
          <w:lang w:val="en-US"/>
        </w:rPr>
        <w:tab/>
        <w:t xml:space="preserve">Oleksiak MF, Churchill GA, Crawford DL. Variation in gene expression within and among natural populations. </w:t>
      </w:r>
      <w:r w:rsidRPr="000507BA">
        <w:rPr>
          <w:i/>
          <w:iCs/>
          <w:noProof/>
          <w:sz w:val="18"/>
          <w:lang w:val="en-US"/>
        </w:rPr>
        <w:t>Nat Genet</w:t>
      </w:r>
      <w:r w:rsidRPr="000507BA">
        <w:rPr>
          <w:noProof/>
          <w:sz w:val="18"/>
          <w:lang w:val="en-US"/>
        </w:rPr>
        <w:t>. 2002;32(2):261-266. doi:10.1038/ng983</w:t>
      </w:r>
    </w:p>
    <w:p w14:paraId="39C9435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158. </w:t>
      </w:r>
      <w:r w:rsidRPr="000507BA">
        <w:rPr>
          <w:noProof/>
          <w:sz w:val="18"/>
          <w:lang w:val="en-US"/>
        </w:rPr>
        <w:tab/>
        <w:t xml:space="preserve">Pedotti P, ’t Hoen PA, Vreugdenhil E, et al. Can subtle changes in gene expression be consistently detected with different microarray platforms? </w:t>
      </w:r>
      <w:r w:rsidRPr="000507BA">
        <w:rPr>
          <w:i/>
          <w:iCs/>
          <w:noProof/>
          <w:sz w:val="18"/>
          <w:lang w:val="en-US"/>
        </w:rPr>
        <w:t>BMC Genomics</w:t>
      </w:r>
      <w:r w:rsidRPr="000507BA">
        <w:rPr>
          <w:noProof/>
          <w:sz w:val="18"/>
          <w:lang w:val="en-US"/>
        </w:rPr>
        <w:t>. 2008;9(1):124. doi:10.1186/1471-2164-9-124</w:t>
      </w:r>
    </w:p>
    <w:p w14:paraId="792A20D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159. </w:t>
      </w:r>
      <w:r w:rsidRPr="000507BA">
        <w:rPr>
          <w:noProof/>
          <w:sz w:val="18"/>
          <w:lang w:val="en-US"/>
        </w:rPr>
        <w:tab/>
        <w:t xml:space="preserve">Cooper-Knock J, Green C, Altschuler G, et al. A data-driven approach links microglia to pathology and prognosis in amyotrophic lateral sclerosis. </w:t>
      </w:r>
      <w:r w:rsidRPr="000507BA">
        <w:rPr>
          <w:i/>
          <w:iCs/>
          <w:noProof/>
          <w:sz w:val="18"/>
          <w:lang w:val="en-US"/>
        </w:rPr>
        <w:t>Acta Neuropathol Commun</w:t>
      </w:r>
      <w:r w:rsidRPr="000507BA">
        <w:rPr>
          <w:noProof/>
          <w:sz w:val="18"/>
          <w:lang w:val="en-US"/>
        </w:rPr>
        <w:t>. 2017;5(1). doi:10.1186/s40478-017-0424-x</w:t>
      </w:r>
    </w:p>
    <w:p w14:paraId="603B0B6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160. </w:t>
      </w:r>
      <w:r w:rsidRPr="000507BA">
        <w:rPr>
          <w:noProof/>
          <w:sz w:val="18"/>
          <w:lang w:val="en-US"/>
        </w:rPr>
        <w:tab/>
        <w:t xml:space="preserve">Blokhuis AM, Koppers M, Groen EJN, et al. Comparative interactomics analysis of different ALS-associated proteins identifies converging molecular pathways. </w:t>
      </w:r>
      <w:r w:rsidRPr="000507BA">
        <w:rPr>
          <w:i/>
          <w:iCs/>
          <w:noProof/>
          <w:sz w:val="18"/>
          <w:lang w:val="en-US"/>
        </w:rPr>
        <w:t>Acta Neuropathol</w:t>
      </w:r>
      <w:r w:rsidRPr="000507BA">
        <w:rPr>
          <w:noProof/>
          <w:sz w:val="18"/>
          <w:lang w:val="en-US"/>
        </w:rPr>
        <w:t>. 2016;132(2):175-196. doi:10.1007/s00401-016-1575-8</w:t>
      </w:r>
    </w:p>
    <w:p w14:paraId="5431883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161. </w:t>
      </w:r>
      <w:r w:rsidRPr="000507BA">
        <w:rPr>
          <w:noProof/>
          <w:sz w:val="18"/>
          <w:lang w:val="en-US"/>
        </w:rPr>
        <w:tab/>
        <w:t xml:space="preserve">Freibaum BD, Chitta RK, High AA, Taylor JP. Global analysis of TDP-43 interacting proteins reveals strong association with RNA splicing and translation machinery. </w:t>
      </w:r>
      <w:r w:rsidRPr="000507BA">
        <w:rPr>
          <w:i/>
          <w:iCs/>
          <w:noProof/>
          <w:sz w:val="18"/>
          <w:lang w:val="en-US"/>
        </w:rPr>
        <w:t>J Proteome Res</w:t>
      </w:r>
      <w:r w:rsidRPr="000507BA">
        <w:rPr>
          <w:noProof/>
          <w:sz w:val="18"/>
          <w:lang w:val="en-US"/>
        </w:rPr>
        <w:t>. 2010;9(2):1104-1120. doi:10.1021/pr901076y</w:t>
      </w:r>
    </w:p>
    <w:p w14:paraId="0B44AF3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162. </w:t>
      </w:r>
      <w:r w:rsidRPr="000507BA">
        <w:rPr>
          <w:noProof/>
          <w:sz w:val="18"/>
          <w:lang w:val="en-US"/>
        </w:rPr>
        <w:tab/>
        <w:t xml:space="preserve">Calo E, Flynn RA, Martin L, Spitale RC, Chang HY, Wysocka J. RNA helicase DDX21 coordinates transcription and ribosomal RNA processing. </w:t>
      </w:r>
      <w:r w:rsidRPr="000507BA">
        <w:rPr>
          <w:i/>
          <w:iCs/>
          <w:noProof/>
          <w:sz w:val="18"/>
          <w:lang w:val="en-US"/>
        </w:rPr>
        <w:t>Nature</w:t>
      </w:r>
      <w:r w:rsidRPr="000507BA">
        <w:rPr>
          <w:noProof/>
          <w:sz w:val="18"/>
          <w:lang w:val="en-US"/>
        </w:rPr>
        <w:t>. 2015;518(7538):249-253. doi:10.1038/nature13923</w:t>
      </w:r>
    </w:p>
    <w:p w14:paraId="6502415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163. </w:t>
      </w:r>
      <w:r w:rsidRPr="000507BA">
        <w:rPr>
          <w:noProof/>
          <w:sz w:val="18"/>
          <w:lang w:val="en-US"/>
        </w:rPr>
        <w:tab/>
        <w:t xml:space="preserve">Behm-Ansmant I, Gatfield D, Rehwinkel J, Hilgers V, Izaurralde E. A conserved role for cytoplasmic poly(A)-binding protein 1 (PABPC1) in nonsense-mediated mRNA decay. </w:t>
      </w:r>
      <w:r w:rsidRPr="000507BA">
        <w:rPr>
          <w:i/>
          <w:iCs/>
          <w:noProof/>
          <w:sz w:val="18"/>
          <w:lang w:val="en-US"/>
        </w:rPr>
        <w:t>EMBO J</w:t>
      </w:r>
      <w:r w:rsidRPr="000507BA">
        <w:rPr>
          <w:noProof/>
          <w:sz w:val="18"/>
          <w:lang w:val="en-US"/>
        </w:rPr>
        <w:t xml:space="preserve">. </w:t>
      </w:r>
      <w:r w:rsidRPr="000507BA">
        <w:rPr>
          <w:noProof/>
          <w:sz w:val="18"/>
          <w:lang w:val="en-US"/>
        </w:rPr>
        <w:lastRenderedPageBreak/>
        <w:t>2007;26(6):1591-1601. doi:10.1038/sj.emboj.7601588</w:t>
      </w:r>
    </w:p>
    <w:p w14:paraId="2290C20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164. </w:t>
      </w:r>
      <w:r w:rsidRPr="000507BA">
        <w:rPr>
          <w:noProof/>
          <w:sz w:val="18"/>
          <w:lang w:val="en-US"/>
        </w:rPr>
        <w:tab/>
        <w:t xml:space="preserve">Zekri L, Huntzinger E, Heimstädt S, Izaurralde E. The Silencing Domain of GW182 Interacts with PABPC1 To Promote Translational Repression and Degradation of MicroRNA Targets and Is Required for Target Release. </w:t>
      </w:r>
      <w:r w:rsidRPr="000507BA">
        <w:rPr>
          <w:i/>
          <w:iCs/>
          <w:noProof/>
          <w:sz w:val="18"/>
          <w:lang w:val="en-US"/>
        </w:rPr>
        <w:t>Mol Cell Biol</w:t>
      </w:r>
      <w:r w:rsidRPr="000507BA">
        <w:rPr>
          <w:noProof/>
          <w:sz w:val="18"/>
          <w:lang w:val="en-US"/>
        </w:rPr>
        <w:t>. 2009;29(23):6220-6231. doi:10.1128/MCB.01081-09</w:t>
      </w:r>
    </w:p>
    <w:p w14:paraId="26714FB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165. </w:t>
      </w:r>
      <w:r w:rsidRPr="000507BA">
        <w:rPr>
          <w:noProof/>
          <w:sz w:val="18"/>
          <w:lang w:val="en-US"/>
        </w:rPr>
        <w:tab/>
        <w:t xml:space="preserve">Villarroya-Beltri C, Gutiérrez-Vázquez C, Sánchez-Cabo F, et al. Sumoylated hnRNPA2B1 controls the sorting of miRNAs into exosomes through binding to specific motifs. </w:t>
      </w:r>
      <w:r w:rsidRPr="000507BA">
        <w:rPr>
          <w:i/>
          <w:iCs/>
          <w:noProof/>
          <w:sz w:val="18"/>
          <w:lang w:val="en-US"/>
        </w:rPr>
        <w:t>Nat Commun</w:t>
      </w:r>
      <w:r w:rsidRPr="000507BA">
        <w:rPr>
          <w:noProof/>
          <w:sz w:val="18"/>
          <w:lang w:val="en-US"/>
        </w:rPr>
        <w:t>. 2013;4(1):2980. doi:10.1038/ncomms3980</w:t>
      </w:r>
    </w:p>
    <w:p w14:paraId="640B843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166. </w:t>
      </w:r>
      <w:r w:rsidRPr="000507BA">
        <w:rPr>
          <w:noProof/>
          <w:sz w:val="18"/>
          <w:lang w:val="en-US"/>
        </w:rPr>
        <w:tab/>
        <w:t xml:space="preserve">Razick S, Magklaras G, Donaldson IM. iRefIndex: A consolidated protein interaction database with provenance. </w:t>
      </w:r>
      <w:r w:rsidRPr="000507BA">
        <w:rPr>
          <w:i/>
          <w:iCs/>
          <w:noProof/>
          <w:sz w:val="18"/>
          <w:lang w:val="en-US"/>
        </w:rPr>
        <w:t>BMC Bioinformatics</w:t>
      </w:r>
      <w:r w:rsidRPr="000507BA">
        <w:rPr>
          <w:noProof/>
          <w:sz w:val="18"/>
          <w:lang w:val="en-US"/>
        </w:rPr>
        <w:t>. 2008;9(1):405. doi:10.1186/1471-2105-9-405</w:t>
      </w:r>
    </w:p>
    <w:p w14:paraId="28DBBA9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167. </w:t>
      </w:r>
      <w:r w:rsidRPr="000507BA">
        <w:rPr>
          <w:noProof/>
          <w:sz w:val="18"/>
          <w:lang w:val="en-US"/>
        </w:rPr>
        <w:tab/>
        <w:t xml:space="preserve">Bork P, Jensen LJ, Von Mering C, Ramani AK, Lee I, Marcotte EM. Protein interaction networks from yeast to human This review comes from a themed issue on Sequences and topology Edited by Peer Bork and Christine A Orengo. </w:t>
      </w:r>
      <w:r w:rsidRPr="000507BA">
        <w:rPr>
          <w:i/>
          <w:iCs/>
          <w:noProof/>
          <w:sz w:val="18"/>
          <w:lang w:val="en-US"/>
        </w:rPr>
        <w:t>Curr Opin Struct Biol</w:t>
      </w:r>
      <w:r w:rsidRPr="000507BA">
        <w:rPr>
          <w:noProof/>
          <w:sz w:val="18"/>
          <w:lang w:val="en-US"/>
        </w:rPr>
        <w:t>. 2004;14:292-299. doi:10.1016/j.sbi.2004.05.003</w:t>
      </w:r>
    </w:p>
    <w:p w14:paraId="1092552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168. </w:t>
      </w:r>
      <w:r w:rsidRPr="000507BA">
        <w:rPr>
          <w:noProof/>
          <w:sz w:val="18"/>
          <w:lang w:val="en-US"/>
        </w:rPr>
        <w:tab/>
        <w:t xml:space="preserve">Edwards AM, Kus B, Jansen R, Greenbaum D, Greenblatt J, Gerstein M. Bridging structural biology and genomics: assessing protein interaction data with known complexes. </w:t>
      </w:r>
      <w:r w:rsidRPr="000507BA">
        <w:rPr>
          <w:i/>
          <w:iCs/>
          <w:noProof/>
          <w:sz w:val="18"/>
          <w:lang w:val="en-US"/>
        </w:rPr>
        <w:t>Trends Genet</w:t>
      </w:r>
      <w:r w:rsidRPr="000507BA">
        <w:rPr>
          <w:noProof/>
          <w:sz w:val="18"/>
          <w:lang w:val="en-US"/>
        </w:rPr>
        <w:t>. 2002;18(10):529-536. http://www.ncbi.nlm.nih.gov/pubmed/12350343. Accessed October 23, 2018.</w:t>
      </w:r>
    </w:p>
    <w:p w14:paraId="58D97D4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169. </w:t>
      </w:r>
      <w:r w:rsidRPr="000507BA">
        <w:rPr>
          <w:noProof/>
          <w:sz w:val="18"/>
          <w:lang w:val="en-US"/>
        </w:rPr>
        <w:tab/>
        <w:t>Henao Sánchez JD. Modelado computacional de redes multinivel para la identificación del conjunto de factores, procesos y asociaciones moleculares comunes en diferentes redes biológicas. April 2017. http://bdigital.unal.edu.co/63232/. Accessed October 23, 2018.</w:t>
      </w:r>
    </w:p>
    <w:p w14:paraId="2AA7EAE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170. </w:t>
      </w:r>
      <w:r w:rsidRPr="000507BA">
        <w:rPr>
          <w:noProof/>
          <w:sz w:val="18"/>
          <w:lang w:val="en-US"/>
        </w:rPr>
        <w:tab/>
        <w:t xml:space="preserve">Kumari S, Nie J, Chen H-S, et al. Evaluation of gene association methods for coexpression network construction and biological knowledge discovery. </w:t>
      </w:r>
      <w:r w:rsidRPr="000507BA">
        <w:rPr>
          <w:i/>
          <w:iCs/>
          <w:noProof/>
          <w:sz w:val="18"/>
          <w:lang w:val="en-US"/>
        </w:rPr>
        <w:t>PLoS One</w:t>
      </w:r>
      <w:r w:rsidRPr="000507BA">
        <w:rPr>
          <w:noProof/>
          <w:sz w:val="18"/>
          <w:lang w:val="en-US"/>
        </w:rPr>
        <w:t>. 2012;7(11):e50411. doi:10.1371/journal.pone.0050411</w:t>
      </w:r>
    </w:p>
    <w:p w14:paraId="06EB7F2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171. </w:t>
      </w:r>
      <w:r w:rsidRPr="000507BA">
        <w:rPr>
          <w:noProof/>
          <w:sz w:val="18"/>
          <w:lang w:val="en-US"/>
        </w:rPr>
        <w:tab/>
        <w:t xml:space="preserve">Paila U, Chapman BA, Kirchner R, Quinlan AR. GEMINI: integrative exploration of genetic variation and genome annotations. </w:t>
      </w:r>
      <w:r w:rsidRPr="000507BA">
        <w:rPr>
          <w:i/>
          <w:iCs/>
          <w:noProof/>
          <w:sz w:val="18"/>
          <w:lang w:val="en-US"/>
        </w:rPr>
        <w:t>PLoS Comput Biol</w:t>
      </w:r>
      <w:r w:rsidRPr="000507BA">
        <w:rPr>
          <w:noProof/>
          <w:sz w:val="18"/>
          <w:lang w:val="en-US"/>
        </w:rPr>
        <w:t>. 2013;9(7):e1003153. doi:10.1371/journal.pcbi.1003153</w:t>
      </w:r>
    </w:p>
    <w:p w14:paraId="1379CFD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172. </w:t>
      </w:r>
      <w:r w:rsidRPr="000507BA">
        <w:rPr>
          <w:noProof/>
          <w:sz w:val="18"/>
          <w:lang w:val="en-US"/>
        </w:rPr>
        <w:tab/>
        <w:t xml:space="preserve">Cingolani P, Platts A, Wang LL, et al. A program for annotating and predicting the effects of single nucleotide polymorphisms, SnpEff: SNPs in the genome of Drosophila melanogaster strain w1118; iso-2; iso-3. </w:t>
      </w:r>
      <w:r w:rsidRPr="000507BA">
        <w:rPr>
          <w:i/>
          <w:iCs/>
          <w:noProof/>
          <w:sz w:val="18"/>
          <w:lang w:val="en-US"/>
        </w:rPr>
        <w:t>Fly (Austin)</w:t>
      </w:r>
      <w:r w:rsidRPr="000507BA">
        <w:rPr>
          <w:noProof/>
          <w:sz w:val="18"/>
          <w:lang w:val="en-US"/>
        </w:rPr>
        <w:t>. 2012;6(2):80-92. doi:10.4161/fly.19695</w:t>
      </w:r>
    </w:p>
    <w:p w14:paraId="4327285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173. </w:t>
      </w:r>
      <w:r w:rsidRPr="000507BA">
        <w:rPr>
          <w:noProof/>
          <w:sz w:val="18"/>
          <w:lang w:val="en-US"/>
        </w:rPr>
        <w:tab/>
        <w:t xml:space="preserve">Farh KK-H, Marson A, Zhu J, et al. Genetic and epigenetic fine mapping of causal autoimmune disease variants. </w:t>
      </w:r>
      <w:r w:rsidRPr="000507BA">
        <w:rPr>
          <w:i/>
          <w:iCs/>
          <w:noProof/>
          <w:sz w:val="18"/>
          <w:lang w:val="en-US"/>
        </w:rPr>
        <w:t>Nature</w:t>
      </w:r>
      <w:r w:rsidRPr="000507BA">
        <w:rPr>
          <w:noProof/>
          <w:sz w:val="18"/>
          <w:lang w:val="en-US"/>
        </w:rPr>
        <w:t>. 2015;518(7539):337-343. doi:10.1038/nature13835</w:t>
      </w:r>
    </w:p>
    <w:p w14:paraId="5042BAF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174. </w:t>
      </w:r>
      <w:r w:rsidRPr="000507BA">
        <w:rPr>
          <w:noProof/>
          <w:sz w:val="18"/>
          <w:lang w:val="en-US"/>
        </w:rPr>
        <w:tab/>
        <w:t xml:space="preserve">Khurana E, Fu Y, Chakravarty D, Demichelis F, Rubin MA, Gerstein M. Role of non-coding sequence variants in cancer. </w:t>
      </w:r>
      <w:r w:rsidRPr="000507BA">
        <w:rPr>
          <w:i/>
          <w:iCs/>
          <w:noProof/>
          <w:sz w:val="18"/>
          <w:lang w:val="en-US"/>
        </w:rPr>
        <w:t>Nat Rev Genet</w:t>
      </w:r>
      <w:r w:rsidRPr="000507BA">
        <w:rPr>
          <w:noProof/>
          <w:sz w:val="18"/>
          <w:lang w:val="en-US"/>
        </w:rPr>
        <w:t>. 2016;17(2):93-108. doi:10.1038/nrg.2015.17</w:t>
      </w:r>
    </w:p>
    <w:p w14:paraId="2B0C56A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175. </w:t>
      </w:r>
      <w:r w:rsidRPr="000507BA">
        <w:rPr>
          <w:noProof/>
          <w:sz w:val="18"/>
          <w:lang w:val="en-US"/>
        </w:rPr>
        <w:tab/>
        <w:t xml:space="preserve">Korn A, Schubert A, Telcs A. Lobby index in networks. </w:t>
      </w:r>
      <w:r w:rsidRPr="000507BA">
        <w:rPr>
          <w:i/>
          <w:iCs/>
          <w:noProof/>
          <w:sz w:val="18"/>
          <w:lang w:val="en-US"/>
        </w:rPr>
        <w:t>Phys A Stat Mech its Appl</w:t>
      </w:r>
      <w:r w:rsidRPr="000507BA">
        <w:rPr>
          <w:noProof/>
          <w:sz w:val="18"/>
          <w:lang w:val="en-US"/>
        </w:rPr>
        <w:t>. 2009;388(11):2221-2226. doi:10.1016/J.PHYSA.2009.02.013</w:t>
      </w:r>
    </w:p>
    <w:p w14:paraId="1364F6D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176. </w:t>
      </w:r>
      <w:r w:rsidRPr="000507BA">
        <w:rPr>
          <w:noProof/>
          <w:sz w:val="18"/>
          <w:lang w:val="en-US"/>
        </w:rPr>
        <w:tab/>
        <w:t xml:space="preserve">Jeong H, Mason SP, Barabási A-L, Oltvai ZN. Lethality and centrality in protein networks. </w:t>
      </w:r>
      <w:r w:rsidRPr="000507BA">
        <w:rPr>
          <w:i/>
          <w:iCs/>
          <w:noProof/>
          <w:sz w:val="18"/>
          <w:lang w:val="en-US"/>
        </w:rPr>
        <w:t>Nature</w:t>
      </w:r>
      <w:r w:rsidRPr="000507BA">
        <w:rPr>
          <w:noProof/>
          <w:sz w:val="18"/>
          <w:lang w:val="en-US"/>
        </w:rPr>
        <w:t>. 2001;411(6833):41-42. doi:10.1038/35075138</w:t>
      </w:r>
    </w:p>
    <w:p w14:paraId="235F975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177. </w:t>
      </w:r>
      <w:r w:rsidRPr="000507BA">
        <w:rPr>
          <w:noProof/>
          <w:sz w:val="18"/>
          <w:lang w:val="en-US"/>
        </w:rPr>
        <w:tab/>
        <w:t xml:space="preserve">Hahn MW, Kern AD. Comparative Genomics of Centrality and Essentiality in Three Eukaryotic Protein-Interaction Networks. </w:t>
      </w:r>
      <w:r w:rsidRPr="000507BA">
        <w:rPr>
          <w:i/>
          <w:iCs/>
          <w:noProof/>
          <w:sz w:val="18"/>
          <w:lang w:val="en-US"/>
        </w:rPr>
        <w:t>Mol Biol Evol</w:t>
      </w:r>
      <w:r w:rsidRPr="000507BA">
        <w:rPr>
          <w:noProof/>
          <w:sz w:val="18"/>
          <w:lang w:val="en-US"/>
        </w:rPr>
        <w:t>. 2005;22(4):803-806. doi:10.1093/molbev/msi072</w:t>
      </w:r>
    </w:p>
    <w:p w14:paraId="253CAAC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178. </w:t>
      </w:r>
      <w:r w:rsidRPr="000507BA">
        <w:rPr>
          <w:noProof/>
          <w:sz w:val="18"/>
          <w:lang w:val="en-US"/>
        </w:rPr>
        <w:tab/>
        <w:t xml:space="preserve">Campiteli MG, Holanda AJ, Soares LDH, Soles PRC, Kinouchi O. Lobby index as a network centrality measure. </w:t>
      </w:r>
      <w:r w:rsidRPr="000507BA">
        <w:rPr>
          <w:i/>
          <w:iCs/>
          <w:noProof/>
          <w:sz w:val="18"/>
          <w:lang w:val="en-US"/>
        </w:rPr>
        <w:t>Phys A Stat Mech its Appl</w:t>
      </w:r>
      <w:r w:rsidRPr="000507BA">
        <w:rPr>
          <w:noProof/>
          <w:sz w:val="18"/>
          <w:lang w:val="en-US"/>
        </w:rPr>
        <w:t>. 2013;392(21):5511-5515. doi:10.1016/J.PHYSA.2013.06.065</w:t>
      </w:r>
    </w:p>
    <w:p w14:paraId="2370A8E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179. </w:t>
      </w:r>
      <w:r w:rsidRPr="000507BA">
        <w:rPr>
          <w:noProof/>
          <w:sz w:val="18"/>
          <w:lang w:val="en-US"/>
        </w:rPr>
        <w:tab/>
        <w:t xml:space="preserve">Liang F, Shi L, Zheng J, Chen S, Wang Y, Zhang J. Neuroprotective Effects of CGP3466B on Apoptosis Are Modulated by Protein-L-isoaspartate (D-aspartate) O-methyltransferase/Mst1 Pathways after Traumatic Brain Injury in Rats. </w:t>
      </w:r>
      <w:r w:rsidRPr="000507BA">
        <w:rPr>
          <w:i/>
          <w:iCs/>
          <w:noProof/>
          <w:sz w:val="18"/>
          <w:lang w:val="en-US"/>
        </w:rPr>
        <w:t>Sci Rep</w:t>
      </w:r>
      <w:r w:rsidRPr="000507BA">
        <w:rPr>
          <w:noProof/>
          <w:sz w:val="18"/>
          <w:lang w:val="en-US"/>
        </w:rPr>
        <w:t>. 2017;7(1):9201. doi:10.1038/s41598-017-08196-3</w:t>
      </w:r>
    </w:p>
    <w:p w14:paraId="340B7AA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180. </w:t>
      </w:r>
      <w:r w:rsidRPr="000507BA">
        <w:rPr>
          <w:noProof/>
          <w:sz w:val="18"/>
          <w:lang w:val="en-US"/>
        </w:rPr>
        <w:tab/>
        <w:t xml:space="preserve">Kolpakov F, Poroikov V, Selivanova G, Kel A. GeneXplain — Identification of Causal Biomarkers and Drug Targets in Personalized Cancer Pathways. </w:t>
      </w:r>
      <w:r w:rsidRPr="000507BA">
        <w:rPr>
          <w:i/>
          <w:iCs/>
          <w:noProof/>
          <w:sz w:val="18"/>
          <w:lang w:val="en-US"/>
        </w:rPr>
        <w:t>J Biomol Tech</w:t>
      </w:r>
      <w:r w:rsidRPr="000507BA">
        <w:rPr>
          <w:noProof/>
          <w:sz w:val="18"/>
          <w:lang w:val="en-US"/>
        </w:rPr>
        <w:t xml:space="preserve">. 2011;22(Suppl):S16. </w:t>
      </w:r>
      <w:r w:rsidRPr="000507BA">
        <w:rPr>
          <w:noProof/>
          <w:sz w:val="18"/>
          <w:lang w:val="en-US"/>
        </w:rPr>
        <w:lastRenderedPageBreak/>
        <w:t>https://www.ncbi.nlm.nih.gov/pmc/articles/PMC3186619/. Accessed October 23, 2018.</w:t>
      </w:r>
    </w:p>
    <w:p w14:paraId="376C69D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181. </w:t>
      </w:r>
      <w:r w:rsidRPr="000507BA">
        <w:rPr>
          <w:noProof/>
          <w:sz w:val="18"/>
          <w:lang w:val="en-US"/>
        </w:rPr>
        <w:tab/>
        <w:t xml:space="preserve">Rzhetsky A, Iossifov I, Koike T, et al. GeneWays: a system for extracting, analyzing, visualizing, and integrating molecular pathway data. </w:t>
      </w:r>
      <w:r w:rsidRPr="000507BA">
        <w:rPr>
          <w:i/>
          <w:iCs/>
          <w:noProof/>
          <w:sz w:val="18"/>
          <w:lang w:val="en-US"/>
        </w:rPr>
        <w:t>J Biomed Inform</w:t>
      </w:r>
      <w:r w:rsidRPr="000507BA">
        <w:rPr>
          <w:noProof/>
          <w:sz w:val="18"/>
          <w:lang w:val="en-US"/>
        </w:rPr>
        <w:t>. 2004;37(1):43-53. doi:10.1016/j.jbi.2003.10.001</w:t>
      </w:r>
    </w:p>
    <w:p w14:paraId="5525913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182. </w:t>
      </w:r>
      <w:r w:rsidRPr="000507BA">
        <w:rPr>
          <w:noProof/>
          <w:sz w:val="18"/>
          <w:lang w:val="en-US"/>
        </w:rPr>
        <w:tab/>
        <w:t xml:space="preserve">Shurtleff MJ, Temoche-Diaz MM, Karfilis K V, Ri S, Schekman R. Y-box protein 1 is required to sort microRNAs into exosomes in cells and in a cell-free reaction. </w:t>
      </w:r>
      <w:r w:rsidRPr="000507BA">
        <w:rPr>
          <w:i/>
          <w:iCs/>
          <w:noProof/>
          <w:sz w:val="18"/>
          <w:lang w:val="en-US"/>
        </w:rPr>
        <w:t>Elife</w:t>
      </w:r>
      <w:r w:rsidRPr="000507BA">
        <w:rPr>
          <w:noProof/>
          <w:sz w:val="18"/>
          <w:lang w:val="en-US"/>
        </w:rPr>
        <w:t>. 2016;5. doi:10.7554/eLife.19276</w:t>
      </w:r>
    </w:p>
    <w:p w14:paraId="1D4177C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183. </w:t>
      </w:r>
      <w:r w:rsidRPr="000507BA">
        <w:rPr>
          <w:noProof/>
          <w:sz w:val="18"/>
          <w:lang w:val="en-US"/>
        </w:rPr>
        <w:tab/>
        <w:t xml:space="preserve">Han C, Liu Y, Wan G, et al. The RNA-Binding Protein DDX1 Promotes Primary MicroRNA Maturation and Inhibits Ovarian Tumor Progression. </w:t>
      </w:r>
      <w:r w:rsidRPr="000507BA">
        <w:rPr>
          <w:i/>
          <w:iCs/>
          <w:noProof/>
          <w:sz w:val="18"/>
          <w:lang w:val="en-US"/>
        </w:rPr>
        <w:t>Cell Rep</w:t>
      </w:r>
      <w:r w:rsidRPr="000507BA">
        <w:rPr>
          <w:noProof/>
          <w:sz w:val="18"/>
          <w:lang w:val="en-US"/>
        </w:rPr>
        <w:t>. 2014;8(5):1447-1460. doi:10.1016/J.CELREP.2014.07.058</w:t>
      </w:r>
    </w:p>
    <w:p w14:paraId="739BC92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184. </w:t>
      </w:r>
      <w:r w:rsidRPr="000507BA">
        <w:rPr>
          <w:noProof/>
          <w:sz w:val="18"/>
          <w:lang w:val="en-US"/>
        </w:rPr>
        <w:tab/>
        <w:t xml:space="preserve">Yu T, Yi Y-S, Yang Y, Oh J, Jeong D, Cho JY. The pivotal role of TBK1 in inflammatory responses mediated by macrophages. </w:t>
      </w:r>
      <w:r w:rsidRPr="000507BA">
        <w:rPr>
          <w:i/>
          <w:iCs/>
          <w:noProof/>
          <w:sz w:val="18"/>
          <w:lang w:val="en-US"/>
        </w:rPr>
        <w:t>Mediators Inflamm</w:t>
      </w:r>
      <w:r w:rsidRPr="000507BA">
        <w:rPr>
          <w:noProof/>
          <w:sz w:val="18"/>
          <w:lang w:val="en-US"/>
        </w:rPr>
        <w:t>. 2012;2012:979105. doi:10.1155/2012/979105</w:t>
      </w:r>
    </w:p>
    <w:p w14:paraId="3A7FE2A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185. </w:t>
      </w:r>
      <w:r w:rsidRPr="000507BA">
        <w:rPr>
          <w:noProof/>
          <w:sz w:val="18"/>
          <w:lang w:val="en-US"/>
        </w:rPr>
        <w:tab/>
        <w:t xml:space="preserve">Youn HS, Lee JY, Fitzgerald KA, Young HA, Akira S, Hwang DH. Specific inhibition of MyD88-independent signaling pathways of TLR3 and TLR4 by resveratrol: molecular targets are TBK1 and RIP1 in TRIF complex. </w:t>
      </w:r>
      <w:r w:rsidRPr="000507BA">
        <w:rPr>
          <w:i/>
          <w:iCs/>
          <w:noProof/>
          <w:sz w:val="18"/>
          <w:lang w:val="en-US"/>
        </w:rPr>
        <w:t>J Immunol</w:t>
      </w:r>
      <w:r w:rsidRPr="000507BA">
        <w:rPr>
          <w:noProof/>
          <w:sz w:val="18"/>
          <w:lang w:val="en-US"/>
        </w:rPr>
        <w:t>. 2005;175(5):3339-3346. doi:10.4049/JIMMUNOL.175.5.3339</w:t>
      </w:r>
    </w:p>
    <w:p w14:paraId="572747F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186. </w:t>
      </w:r>
      <w:r w:rsidRPr="000507BA">
        <w:rPr>
          <w:noProof/>
          <w:sz w:val="18"/>
          <w:lang w:val="en-US"/>
        </w:rPr>
        <w:tab/>
        <w:t xml:space="preserve">Kabachinski G, Schwartz TU. The nuclear pore complex--structure and function at a glance. </w:t>
      </w:r>
      <w:r w:rsidRPr="000507BA">
        <w:rPr>
          <w:i/>
          <w:iCs/>
          <w:noProof/>
          <w:sz w:val="18"/>
          <w:lang w:val="en-US"/>
        </w:rPr>
        <w:t>J Cell Sci</w:t>
      </w:r>
      <w:r w:rsidRPr="000507BA">
        <w:rPr>
          <w:noProof/>
          <w:sz w:val="18"/>
          <w:lang w:val="en-US"/>
        </w:rPr>
        <w:t>. 2015;128(3):423-429. doi:10.1242/JCS.083246</w:t>
      </w:r>
    </w:p>
    <w:p w14:paraId="1901592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187. </w:t>
      </w:r>
      <w:r w:rsidRPr="000507BA">
        <w:rPr>
          <w:noProof/>
          <w:sz w:val="18"/>
          <w:lang w:val="en-US"/>
        </w:rPr>
        <w:tab/>
        <w:t xml:space="preserve">Londono C, Osorio C, Gama V, Alzate O. Mortalin, apoptosis, and neurodegeneration. </w:t>
      </w:r>
      <w:r w:rsidRPr="000507BA">
        <w:rPr>
          <w:i/>
          <w:iCs/>
          <w:noProof/>
          <w:sz w:val="18"/>
          <w:lang w:val="en-US"/>
        </w:rPr>
        <w:t>Biomolecules</w:t>
      </w:r>
      <w:r w:rsidRPr="000507BA">
        <w:rPr>
          <w:noProof/>
          <w:sz w:val="18"/>
          <w:lang w:val="en-US"/>
        </w:rPr>
        <w:t>. 2012;2(1):143-164. doi:10.3390/biom2010143</w:t>
      </w:r>
    </w:p>
    <w:p w14:paraId="63C6E9E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188. </w:t>
      </w:r>
      <w:r w:rsidRPr="000507BA">
        <w:rPr>
          <w:noProof/>
          <w:sz w:val="18"/>
          <w:lang w:val="en-US"/>
        </w:rPr>
        <w:tab/>
        <w:t xml:space="preserve">Du Z-W, Chen H, Liu H, et al. Generation and expansion of highly pure motor neuron progenitors from human pluripotent stem cells. </w:t>
      </w:r>
      <w:r w:rsidRPr="000507BA">
        <w:rPr>
          <w:i/>
          <w:iCs/>
          <w:noProof/>
          <w:sz w:val="18"/>
          <w:lang w:val="en-US"/>
        </w:rPr>
        <w:t>Nat Commun</w:t>
      </w:r>
      <w:r w:rsidRPr="000507BA">
        <w:rPr>
          <w:noProof/>
          <w:sz w:val="18"/>
          <w:lang w:val="en-US"/>
        </w:rPr>
        <w:t>. 2015;6:6626. doi:10.1038/ncomms7626</w:t>
      </w:r>
    </w:p>
    <w:p w14:paraId="6107A1C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189. </w:t>
      </w:r>
      <w:r w:rsidRPr="000507BA">
        <w:rPr>
          <w:noProof/>
          <w:sz w:val="18"/>
          <w:lang w:val="en-US"/>
        </w:rPr>
        <w:tab/>
        <w:t xml:space="preserve">Egawa N, Kitaoka S, Tsukita K, et al. Drug screening for ALS using patient-specific induced pluripotent stem cells. </w:t>
      </w:r>
      <w:r w:rsidRPr="000507BA">
        <w:rPr>
          <w:i/>
          <w:iCs/>
          <w:noProof/>
          <w:sz w:val="18"/>
          <w:lang w:val="en-US"/>
        </w:rPr>
        <w:t>Sci Transl Med</w:t>
      </w:r>
      <w:r w:rsidRPr="000507BA">
        <w:rPr>
          <w:noProof/>
          <w:sz w:val="18"/>
          <w:lang w:val="en-US"/>
        </w:rPr>
        <w:t>. 2012;4(145):145ra104. doi:10.1126/scitranslmed.3004052</w:t>
      </w:r>
    </w:p>
    <w:p w14:paraId="7CD7045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190. </w:t>
      </w:r>
      <w:r w:rsidRPr="000507BA">
        <w:rPr>
          <w:noProof/>
          <w:sz w:val="18"/>
          <w:lang w:val="en-US"/>
        </w:rPr>
        <w:tab/>
        <w:t xml:space="preserve">Kiskinis E, Sandoe J, Williams LA, et al. Pathways disrupted in human ALS motor neurons identified through genetic correction of mutant SOD1. </w:t>
      </w:r>
      <w:r w:rsidRPr="000507BA">
        <w:rPr>
          <w:i/>
          <w:iCs/>
          <w:noProof/>
          <w:sz w:val="18"/>
          <w:lang w:val="en-US"/>
        </w:rPr>
        <w:t>Cell Stem Cell</w:t>
      </w:r>
      <w:r w:rsidRPr="000507BA">
        <w:rPr>
          <w:noProof/>
          <w:sz w:val="18"/>
          <w:lang w:val="en-US"/>
        </w:rPr>
        <w:t>. 2014;14(6):781-795. doi:10.1016/j.stem.2014.03.004</w:t>
      </w:r>
    </w:p>
    <w:p w14:paraId="5FCF949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191. </w:t>
      </w:r>
      <w:r w:rsidRPr="000507BA">
        <w:rPr>
          <w:noProof/>
          <w:sz w:val="18"/>
          <w:lang w:val="en-US"/>
        </w:rPr>
        <w:tab/>
        <w:t xml:space="preserve">Sasayama H, Shimamura M, Tokuda T, et al. Knockdown of the Drosophila fused in sarcoma (FUS) homologue causes deficient locomotive behavior and shortening of motoneuron terminal branches. </w:t>
      </w:r>
      <w:r w:rsidRPr="000507BA">
        <w:rPr>
          <w:i/>
          <w:iCs/>
          <w:noProof/>
          <w:sz w:val="18"/>
          <w:lang w:val="en-US"/>
        </w:rPr>
        <w:t>PLoS One</w:t>
      </w:r>
      <w:r w:rsidRPr="000507BA">
        <w:rPr>
          <w:noProof/>
          <w:sz w:val="18"/>
          <w:lang w:val="en-US"/>
        </w:rPr>
        <w:t>. 2012;7(6):e39483. doi:10.1371/journal.pone.0039483</w:t>
      </w:r>
    </w:p>
    <w:p w14:paraId="39853EA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192. </w:t>
      </w:r>
      <w:r w:rsidRPr="000507BA">
        <w:rPr>
          <w:noProof/>
          <w:sz w:val="18"/>
          <w:lang w:val="en-US"/>
        </w:rPr>
        <w:tab/>
        <w:t xml:space="preserve">Kedersha N, Anderson P. Mammalian Stress Granules and Processing Bodies. In: </w:t>
      </w:r>
      <w:r w:rsidRPr="000507BA">
        <w:rPr>
          <w:i/>
          <w:iCs/>
          <w:noProof/>
          <w:sz w:val="18"/>
          <w:lang w:val="en-US"/>
        </w:rPr>
        <w:t>Methods in Enzymology</w:t>
      </w:r>
      <w:r w:rsidRPr="000507BA">
        <w:rPr>
          <w:noProof/>
          <w:sz w:val="18"/>
          <w:lang w:val="en-US"/>
        </w:rPr>
        <w:t>. Vol 431. ; 2007:61-81. doi:10.1016/S0076-6879(07)31005-7</w:t>
      </w:r>
    </w:p>
    <w:p w14:paraId="47C14A8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193. </w:t>
      </w:r>
      <w:r w:rsidRPr="000507BA">
        <w:rPr>
          <w:noProof/>
          <w:sz w:val="18"/>
          <w:lang w:val="en-US"/>
        </w:rPr>
        <w:tab/>
        <w:t xml:space="preserve">Somasekharan SP, El-Naggar A, Leprivier G, et al. YB-1 regulates stress granule formation and tumor progression by translationally activating G3BP1. </w:t>
      </w:r>
      <w:r w:rsidRPr="000507BA">
        <w:rPr>
          <w:i/>
          <w:iCs/>
          <w:noProof/>
          <w:sz w:val="18"/>
          <w:lang w:val="en-US"/>
        </w:rPr>
        <w:t>J Cell Biol</w:t>
      </w:r>
      <w:r w:rsidRPr="000507BA">
        <w:rPr>
          <w:noProof/>
          <w:sz w:val="18"/>
          <w:lang w:val="en-US"/>
        </w:rPr>
        <w:t>. 2015;208(7):913-929. doi:10.1083/jcb.201411047</w:t>
      </w:r>
    </w:p>
    <w:p w14:paraId="5D562B2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194. </w:t>
      </w:r>
      <w:r w:rsidRPr="000507BA">
        <w:rPr>
          <w:noProof/>
          <w:sz w:val="18"/>
          <w:lang w:val="en-US"/>
        </w:rPr>
        <w:tab/>
        <w:t xml:space="preserve">McDonald KK, Aulas A, Destroismaisons L, et al. TAR DNA-binding protein 43 (TDP-43) regulates stress granule dynamics via differential regulation of G3BP and TIA-1. </w:t>
      </w:r>
      <w:r w:rsidRPr="000507BA">
        <w:rPr>
          <w:i/>
          <w:iCs/>
          <w:noProof/>
          <w:sz w:val="18"/>
          <w:lang w:val="en-US"/>
        </w:rPr>
        <w:t>Hum Mol Genet</w:t>
      </w:r>
      <w:r w:rsidRPr="000507BA">
        <w:rPr>
          <w:noProof/>
          <w:sz w:val="18"/>
          <w:lang w:val="en-US"/>
        </w:rPr>
        <w:t>. 2011;20(7):1400-1410. doi:10.1093/hmg/ddr021</w:t>
      </w:r>
    </w:p>
    <w:p w14:paraId="4DC1B9B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195. </w:t>
      </w:r>
      <w:r w:rsidRPr="000507BA">
        <w:rPr>
          <w:noProof/>
          <w:sz w:val="18"/>
          <w:lang w:val="en-US"/>
        </w:rPr>
        <w:tab/>
        <w:t xml:space="preserve">Glass CK, Saijo K, Winner B, Marchetto MC, Gage FH. Mechanisms underlying inflammation in neurodegeneration. </w:t>
      </w:r>
      <w:r w:rsidRPr="000507BA">
        <w:rPr>
          <w:i/>
          <w:iCs/>
          <w:noProof/>
          <w:sz w:val="18"/>
          <w:lang w:val="en-US"/>
        </w:rPr>
        <w:t>Cell</w:t>
      </w:r>
      <w:r w:rsidRPr="000507BA">
        <w:rPr>
          <w:noProof/>
          <w:sz w:val="18"/>
          <w:lang w:val="en-US"/>
        </w:rPr>
        <w:t>. 2010;140(6):918-934. doi:10.1016/j.cell.2010.02.016</w:t>
      </w:r>
    </w:p>
    <w:p w14:paraId="1BFEF08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196. </w:t>
      </w:r>
      <w:r w:rsidRPr="000507BA">
        <w:rPr>
          <w:noProof/>
          <w:sz w:val="18"/>
          <w:lang w:val="en-US"/>
        </w:rPr>
        <w:tab/>
        <w:t xml:space="preserve">Khandelwal PJ, Herman AM, Moussa CE-H. Inflammation in the early stages of neurodegenerative pathology. </w:t>
      </w:r>
      <w:r w:rsidRPr="000507BA">
        <w:rPr>
          <w:i/>
          <w:iCs/>
          <w:noProof/>
          <w:sz w:val="18"/>
          <w:lang w:val="en-US"/>
        </w:rPr>
        <w:t>J Neuroimmunol</w:t>
      </w:r>
      <w:r w:rsidRPr="000507BA">
        <w:rPr>
          <w:noProof/>
          <w:sz w:val="18"/>
          <w:lang w:val="en-US"/>
        </w:rPr>
        <w:t>. 2011;238(1-2):1-11. doi:10.1016/j.jneuroim.2011.07.002</w:t>
      </w:r>
    </w:p>
    <w:p w14:paraId="1E5D803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197. </w:t>
      </w:r>
      <w:r w:rsidRPr="000507BA">
        <w:rPr>
          <w:noProof/>
          <w:sz w:val="18"/>
          <w:lang w:val="en-US"/>
        </w:rPr>
        <w:tab/>
        <w:t xml:space="preserve">McGeer PL, McGeer EG. Inflammatory processes in amyotrophic lateral sclerosis. </w:t>
      </w:r>
      <w:r w:rsidRPr="000507BA">
        <w:rPr>
          <w:i/>
          <w:iCs/>
          <w:noProof/>
          <w:sz w:val="18"/>
          <w:lang w:val="en-US"/>
        </w:rPr>
        <w:t>Muscle Nerve</w:t>
      </w:r>
      <w:r w:rsidRPr="000507BA">
        <w:rPr>
          <w:noProof/>
          <w:sz w:val="18"/>
          <w:lang w:val="en-US"/>
        </w:rPr>
        <w:t>. 2002;26(4):459-470. doi:10.1002/mus.10191</w:t>
      </w:r>
    </w:p>
    <w:p w14:paraId="040BD74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198. </w:t>
      </w:r>
      <w:r w:rsidRPr="000507BA">
        <w:rPr>
          <w:noProof/>
          <w:sz w:val="18"/>
          <w:lang w:val="en-US"/>
        </w:rPr>
        <w:tab/>
        <w:t xml:space="preserve">Wang X, Fan H, Ying Z, Li B, Wang H, Wang G. Degradation of TDP-43 and its pathogenic form by autophagy and the ubiquitin-proteasome system. </w:t>
      </w:r>
      <w:r w:rsidRPr="000507BA">
        <w:rPr>
          <w:i/>
          <w:iCs/>
          <w:noProof/>
          <w:sz w:val="18"/>
          <w:lang w:val="en-US"/>
        </w:rPr>
        <w:t>Neurosci Lett</w:t>
      </w:r>
      <w:r w:rsidRPr="000507BA">
        <w:rPr>
          <w:noProof/>
          <w:sz w:val="18"/>
          <w:lang w:val="en-US"/>
        </w:rPr>
        <w:t>. 2010;469(1):112-116. doi:10.1016/j.neulet.2009.11.055</w:t>
      </w:r>
    </w:p>
    <w:p w14:paraId="554DB15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199. </w:t>
      </w:r>
      <w:r w:rsidRPr="000507BA">
        <w:rPr>
          <w:noProof/>
          <w:sz w:val="18"/>
          <w:lang w:val="en-US"/>
        </w:rPr>
        <w:tab/>
        <w:t xml:space="preserve">Swarup V, Phaneuf D, Dupré N, et al. Deregulation of TDP-43 in amyotrophic lateral sclerosis </w:t>
      </w:r>
      <w:r w:rsidRPr="000507BA">
        <w:rPr>
          <w:noProof/>
          <w:sz w:val="18"/>
          <w:lang w:val="en-US"/>
        </w:rPr>
        <w:lastRenderedPageBreak/>
        <w:t xml:space="preserve">triggers nuclear factor κB-mediated pathogenic pathways. </w:t>
      </w:r>
      <w:r w:rsidRPr="000507BA">
        <w:rPr>
          <w:i/>
          <w:iCs/>
          <w:noProof/>
          <w:sz w:val="18"/>
          <w:lang w:val="en-US"/>
        </w:rPr>
        <w:t>J Exp Med</w:t>
      </w:r>
      <w:r w:rsidRPr="000507BA">
        <w:rPr>
          <w:noProof/>
          <w:sz w:val="18"/>
          <w:lang w:val="en-US"/>
        </w:rPr>
        <w:t>. 2011;208(12):2429-2447. doi:10.1084/jem.20111313</w:t>
      </w:r>
    </w:p>
    <w:p w14:paraId="2098BFC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200. </w:t>
      </w:r>
      <w:r w:rsidRPr="000507BA">
        <w:rPr>
          <w:noProof/>
          <w:sz w:val="18"/>
          <w:lang w:val="en-US"/>
        </w:rPr>
        <w:tab/>
        <w:t xml:space="preserve">Leal-Lasarte MM, Franco JM, Labrador-Garrido A, Pozo D, Roodveldt C. Extracellular TDP-43 aggregates target MAPK/MAK/MRK overlapping kinase (MOK) and trigger caspase-3/IL-18 signaling in microglia. </w:t>
      </w:r>
      <w:r w:rsidRPr="000507BA">
        <w:rPr>
          <w:i/>
          <w:iCs/>
          <w:noProof/>
          <w:sz w:val="18"/>
          <w:lang w:val="en-US"/>
        </w:rPr>
        <w:t>FASEB J</w:t>
      </w:r>
      <w:r w:rsidRPr="000507BA">
        <w:rPr>
          <w:noProof/>
          <w:sz w:val="18"/>
          <w:lang w:val="en-US"/>
        </w:rPr>
        <w:t>. 2017;31(7):2797-2816. doi:10.1096/fj.201601163R</w:t>
      </w:r>
    </w:p>
    <w:p w14:paraId="1F01199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201. </w:t>
      </w:r>
      <w:r w:rsidRPr="000507BA">
        <w:rPr>
          <w:noProof/>
          <w:sz w:val="18"/>
          <w:lang w:val="en-US"/>
        </w:rPr>
        <w:tab/>
        <w:t xml:space="preserve">Correia AS, Patel P, Dutta K, Julien J-P. Inflammation Induces TDP-43 Mislocalization and Aggregation. Xia XG, ed. </w:t>
      </w:r>
      <w:r w:rsidRPr="000507BA">
        <w:rPr>
          <w:i/>
          <w:iCs/>
          <w:noProof/>
          <w:sz w:val="18"/>
          <w:lang w:val="en-US"/>
        </w:rPr>
        <w:t>PLoS One</w:t>
      </w:r>
      <w:r w:rsidRPr="000507BA">
        <w:rPr>
          <w:noProof/>
          <w:sz w:val="18"/>
          <w:lang w:val="en-US"/>
        </w:rPr>
        <w:t>. 2015;10(10):e0140248. doi:10.1371/journal.pone.0140248</w:t>
      </w:r>
    </w:p>
    <w:p w14:paraId="083FA4D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202. </w:t>
      </w:r>
      <w:r w:rsidRPr="000507BA">
        <w:rPr>
          <w:noProof/>
          <w:sz w:val="18"/>
          <w:lang w:val="en-US"/>
        </w:rPr>
        <w:tab/>
        <w:t xml:space="preserve">Cascella R, Fani G, Capitini C, et al. Quantitative assessment of the degradation of aggregated TDP-43 mediated by the ubiquitin proteasome system and macroautophagy. </w:t>
      </w:r>
      <w:r w:rsidRPr="000507BA">
        <w:rPr>
          <w:i/>
          <w:iCs/>
          <w:noProof/>
          <w:sz w:val="18"/>
          <w:lang w:val="en-US"/>
        </w:rPr>
        <w:t>FASEB J</w:t>
      </w:r>
      <w:r w:rsidRPr="000507BA">
        <w:rPr>
          <w:noProof/>
          <w:sz w:val="18"/>
          <w:lang w:val="en-US"/>
        </w:rPr>
        <w:t>. 2017;31(12):5609-5624. doi:10.1096/fj.201700292RR</w:t>
      </w:r>
    </w:p>
    <w:p w14:paraId="0CA30CD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203. </w:t>
      </w:r>
      <w:r w:rsidRPr="000507BA">
        <w:rPr>
          <w:noProof/>
          <w:sz w:val="18"/>
          <w:lang w:val="en-US"/>
        </w:rPr>
        <w:tab/>
        <w:t xml:space="preserve">Scotter EL, Vance C, Nishimura AL, et al. Differential roles of the ubiquitin proteasome system and autophagy in the clearance of soluble and aggregated TDP-43 species. </w:t>
      </w:r>
      <w:r w:rsidRPr="000507BA">
        <w:rPr>
          <w:i/>
          <w:iCs/>
          <w:noProof/>
          <w:sz w:val="18"/>
          <w:lang w:val="en-US"/>
        </w:rPr>
        <w:t>J Cell Sci</w:t>
      </w:r>
      <w:r w:rsidRPr="000507BA">
        <w:rPr>
          <w:noProof/>
          <w:sz w:val="18"/>
          <w:lang w:val="en-US"/>
        </w:rPr>
        <w:t>. 2014;127(Pt 6):1263-1278. doi:10.1242/jcs.140087</w:t>
      </w:r>
    </w:p>
    <w:p w14:paraId="66316EC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204. </w:t>
      </w:r>
      <w:r w:rsidRPr="000507BA">
        <w:rPr>
          <w:noProof/>
          <w:sz w:val="18"/>
          <w:lang w:val="en-US"/>
        </w:rPr>
        <w:tab/>
        <w:t xml:space="preserve">Urushitani M, Sato T, Bamba H, Hisa Y, Tooyama I. Synergistic effect between proteasome and autophagosome in the clearance of polyubiquitinated TDP-43. </w:t>
      </w:r>
      <w:r w:rsidRPr="000507BA">
        <w:rPr>
          <w:i/>
          <w:iCs/>
          <w:noProof/>
          <w:sz w:val="18"/>
          <w:lang w:val="en-US"/>
        </w:rPr>
        <w:t>J Neurosci Res</w:t>
      </w:r>
      <w:r w:rsidRPr="000507BA">
        <w:rPr>
          <w:noProof/>
          <w:sz w:val="18"/>
          <w:lang w:val="en-US"/>
        </w:rPr>
        <w:t>. 2009;88(4):NA-NA. doi:10.1002/jnr.22243</w:t>
      </w:r>
    </w:p>
    <w:p w14:paraId="1174734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205. </w:t>
      </w:r>
      <w:r w:rsidRPr="000507BA">
        <w:rPr>
          <w:noProof/>
          <w:sz w:val="18"/>
          <w:lang w:val="en-US"/>
        </w:rPr>
        <w:tab/>
        <w:t xml:space="preserve">Parkinson J. An Essay on the Shaking Palsy. </w:t>
      </w:r>
      <w:r w:rsidRPr="000507BA">
        <w:rPr>
          <w:i/>
          <w:iCs/>
          <w:noProof/>
          <w:sz w:val="18"/>
          <w:lang w:val="en-US"/>
        </w:rPr>
        <w:t>J Neuropsychiatry Clin Neurosci</w:t>
      </w:r>
      <w:r w:rsidRPr="000507BA">
        <w:rPr>
          <w:noProof/>
          <w:sz w:val="18"/>
          <w:lang w:val="en-US"/>
        </w:rPr>
        <w:t>. 14(2):223-236. doi:10.1176/jnp.14.2.223</w:t>
      </w:r>
    </w:p>
    <w:p w14:paraId="3B767B1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206. </w:t>
      </w:r>
      <w:r w:rsidRPr="000507BA">
        <w:rPr>
          <w:noProof/>
          <w:sz w:val="18"/>
          <w:lang w:val="en-US"/>
        </w:rPr>
        <w:tab/>
        <w:t xml:space="preserve">Parkinson’s UK. </w:t>
      </w:r>
      <w:r w:rsidRPr="000507BA">
        <w:rPr>
          <w:i/>
          <w:iCs/>
          <w:noProof/>
          <w:sz w:val="18"/>
          <w:lang w:val="en-US"/>
        </w:rPr>
        <w:t>The Incidence and Prevalence of Parkinson’s in the UK</w:t>
      </w:r>
      <w:r w:rsidRPr="000507BA">
        <w:rPr>
          <w:noProof/>
          <w:sz w:val="18"/>
          <w:lang w:val="en-US"/>
        </w:rPr>
        <w:t>. London; 2018. https://www.parkinsons.org.uk/sites/default/files/2018-01/CS2960 Incidence and prevalence report branding summary report.pdf. Accessed October 23, 2018.</w:t>
      </w:r>
    </w:p>
    <w:p w14:paraId="4B5C686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207. </w:t>
      </w:r>
      <w:r w:rsidRPr="000507BA">
        <w:rPr>
          <w:noProof/>
          <w:sz w:val="18"/>
          <w:lang w:val="en-US"/>
        </w:rPr>
        <w:tab/>
        <w:t xml:space="preserve">Ellis T, de Goede CJ, Feldman RG, Wolters EC, Kwakkel G, Wagenaar RC. Efficacy of a physical therapy program in patients with Parkinson’s disease: A randomized controlled trial. </w:t>
      </w:r>
      <w:r w:rsidRPr="000507BA">
        <w:rPr>
          <w:i/>
          <w:iCs/>
          <w:noProof/>
          <w:sz w:val="18"/>
          <w:lang w:val="en-US"/>
        </w:rPr>
        <w:t>Arch Phys Med Rehabil</w:t>
      </w:r>
      <w:r w:rsidRPr="000507BA">
        <w:rPr>
          <w:noProof/>
          <w:sz w:val="18"/>
          <w:lang w:val="en-US"/>
        </w:rPr>
        <w:t>. 2005;86(4):626-632. doi:10.1016/J.APMR.2004.08.008</w:t>
      </w:r>
    </w:p>
    <w:p w14:paraId="331E5C3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208. </w:t>
      </w:r>
      <w:r w:rsidRPr="000507BA">
        <w:rPr>
          <w:noProof/>
          <w:sz w:val="18"/>
          <w:lang w:val="en-US"/>
        </w:rPr>
        <w:tab/>
        <w:t xml:space="preserve">Sharma NK, Robbins K, Wagner K, Colgrove YM. A randomized controlled pilot study of the therapeutic effects of yoga in people with Parkinson’s disease. </w:t>
      </w:r>
      <w:r w:rsidRPr="000507BA">
        <w:rPr>
          <w:i/>
          <w:iCs/>
          <w:noProof/>
          <w:sz w:val="18"/>
          <w:lang w:val="en-US"/>
        </w:rPr>
        <w:t>Int J Yoga</w:t>
      </w:r>
      <w:r w:rsidRPr="000507BA">
        <w:rPr>
          <w:noProof/>
          <w:sz w:val="18"/>
          <w:lang w:val="en-US"/>
        </w:rPr>
        <w:t>. 2015;8(1):74-79. doi:10.4103/0973-6131.146070</w:t>
      </w:r>
    </w:p>
    <w:p w14:paraId="2EC3615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209. </w:t>
      </w:r>
      <w:r w:rsidRPr="000507BA">
        <w:rPr>
          <w:noProof/>
          <w:sz w:val="18"/>
          <w:lang w:val="en-US"/>
        </w:rPr>
        <w:tab/>
        <w:t>Johnson L, Putrino D, James I, et al. The effects of a supervised Pilates training program on balance in Parkinson’s disease. 2013;2(2):58-61. doi:10.4236/apd.2013.22011</w:t>
      </w:r>
    </w:p>
    <w:p w14:paraId="1879765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210. </w:t>
      </w:r>
      <w:r w:rsidRPr="000507BA">
        <w:rPr>
          <w:noProof/>
          <w:sz w:val="18"/>
          <w:lang w:val="en-US"/>
        </w:rPr>
        <w:tab/>
        <w:t xml:space="preserve">Li F, Harmer P, Fitzgerald K, et al. Tai Chi and Postural Stability in Patients with Parkinson’s Disease. </w:t>
      </w:r>
      <w:r w:rsidRPr="000507BA">
        <w:rPr>
          <w:i/>
          <w:iCs/>
          <w:noProof/>
          <w:sz w:val="18"/>
          <w:lang w:val="en-US"/>
        </w:rPr>
        <w:t>N Engl J Med</w:t>
      </w:r>
      <w:r w:rsidRPr="000507BA">
        <w:rPr>
          <w:noProof/>
          <w:sz w:val="18"/>
          <w:lang w:val="en-US"/>
        </w:rPr>
        <w:t>. 2012;366(6):511-519. doi:10.1056/NEJMoa1107911</w:t>
      </w:r>
    </w:p>
    <w:p w14:paraId="06BE6CA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211. </w:t>
      </w:r>
      <w:r w:rsidRPr="000507BA">
        <w:rPr>
          <w:noProof/>
          <w:sz w:val="18"/>
          <w:lang w:val="en-US"/>
        </w:rPr>
        <w:tab/>
        <w:t xml:space="preserve">Weaver FM, Follett K, Stern M, et al. Bilateral Deep Brain Stimulation vs Best Medical Therapy for Patients With Advanced Parkinson Disease: A Randomized Controlled Trial. </w:t>
      </w:r>
      <w:r w:rsidRPr="000507BA">
        <w:rPr>
          <w:i/>
          <w:iCs/>
          <w:noProof/>
          <w:sz w:val="18"/>
          <w:lang w:val="en-US"/>
        </w:rPr>
        <w:t>JAMA</w:t>
      </w:r>
      <w:r w:rsidRPr="000507BA">
        <w:rPr>
          <w:noProof/>
          <w:sz w:val="18"/>
          <w:lang w:val="en-US"/>
        </w:rPr>
        <w:t>. 2009;301(1):63. doi:10.1001/jama.2008.929</w:t>
      </w:r>
    </w:p>
    <w:p w14:paraId="525B3C9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212. </w:t>
      </w:r>
      <w:r w:rsidRPr="000507BA">
        <w:rPr>
          <w:noProof/>
          <w:sz w:val="18"/>
          <w:lang w:val="en-US"/>
        </w:rPr>
        <w:tab/>
        <w:t xml:space="preserve">Deuschl G, Schade-Brittinger C, Krack P, et al. A Randomized Trial of Deep-Brain Stimulation for Parkinson’s Disease. </w:t>
      </w:r>
      <w:r w:rsidRPr="000507BA">
        <w:rPr>
          <w:i/>
          <w:iCs/>
          <w:noProof/>
          <w:sz w:val="18"/>
          <w:lang w:val="en-US"/>
        </w:rPr>
        <w:t>N Engl J Med</w:t>
      </w:r>
      <w:r w:rsidRPr="000507BA">
        <w:rPr>
          <w:noProof/>
          <w:sz w:val="18"/>
          <w:lang w:val="en-US"/>
        </w:rPr>
        <w:t>. 2006;355(9):896-908. doi:10.1056/NEJMoa060281</w:t>
      </w:r>
    </w:p>
    <w:p w14:paraId="112FC18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213. </w:t>
      </w:r>
      <w:r w:rsidRPr="000507BA">
        <w:rPr>
          <w:noProof/>
          <w:sz w:val="18"/>
          <w:lang w:val="en-US"/>
        </w:rPr>
        <w:tab/>
        <w:t xml:space="preserve">Mandir AS, Vaughan C. Pathophysiology of Parkinson’s disease. </w:t>
      </w:r>
      <w:r w:rsidRPr="000507BA">
        <w:rPr>
          <w:i/>
          <w:iCs/>
          <w:noProof/>
          <w:sz w:val="18"/>
          <w:lang w:val="en-US"/>
        </w:rPr>
        <w:t>Int Rev Psychiatry</w:t>
      </w:r>
      <w:r w:rsidRPr="000507BA">
        <w:rPr>
          <w:noProof/>
          <w:sz w:val="18"/>
          <w:lang w:val="en-US"/>
        </w:rPr>
        <w:t>. 2000;12(4):270-280. doi:10.1080/09540260020002497</w:t>
      </w:r>
    </w:p>
    <w:p w14:paraId="7020F22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214. </w:t>
      </w:r>
      <w:r w:rsidRPr="000507BA">
        <w:rPr>
          <w:noProof/>
          <w:sz w:val="18"/>
          <w:lang w:val="en-US"/>
        </w:rPr>
        <w:tab/>
        <w:t xml:space="preserve">Ross GW, Petrovitch H, Abbott RD, et al. Parkinsonian signs and substantia nigra neuron density in decendents elders without PD. </w:t>
      </w:r>
      <w:r w:rsidRPr="000507BA">
        <w:rPr>
          <w:i/>
          <w:iCs/>
          <w:noProof/>
          <w:sz w:val="18"/>
          <w:lang w:val="en-US"/>
        </w:rPr>
        <w:t>Ann Neurol</w:t>
      </w:r>
      <w:r w:rsidRPr="000507BA">
        <w:rPr>
          <w:noProof/>
          <w:sz w:val="18"/>
          <w:lang w:val="en-US"/>
        </w:rPr>
        <w:t>. 2004;56(4):532-539. doi:10.1002/ana.20226</w:t>
      </w:r>
    </w:p>
    <w:p w14:paraId="3AF670E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215. </w:t>
      </w:r>
      <w:r w:rsidRPr="000507BA">
        <w:rPr>
          <w:noProof/>
          <w:sz w:val="18"/>
          <w:lang w:val="en-US"/>
        </w:rPr>
        <w:tab/>
        <w:t xml:space="preserve">Uhl GR, Hedreen JC, Price DL. Parkinson’s disease: loss of neurons from the ventral tegmental area contralateral to therapeutic surgical lesions. </w:t>
      </w:r>
      <w:r w:rsidRPr="000507BA">
        <w:rPr>
          <w:i/>
          <w:iCs/>
          <w:noProof/>
          <w:sz w:val="18"/>
          <w:lang w:val="en-US"/>
        </w:rPr>
        <w:t>Neurology</w:t>
      </w:r>
      <w:r w:rsidRPr="000507BA">
        <w:rPr>
          <w:noProof/>
          <w:sz w:val="18"/>
          <w:lang w:val="en-US"/>
        </w:rPr>
        <w:t>. 1985;35(8):1215-1218. doi:10.1212/WNL.35.8.1215</w:t>
      </w:r>
    </w:p>
    <w:p w14:paraId="1B56F4C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216. </w:t>
      </w:r>
      <w:r w:rsidRPr="000507BA">
        <w:rPr>
          <w:noProof/>
          <w:sz w:val="18"/>
          <w:lang w:val="en-US"/>
        </w:rPr>
        <w:tab/>
        <w:t xml:space="preserve">Zarow C, Lyness SA, Mortimer JA, Chui HC. Neuronal Loss Is Greater in the Locus Coeruleus Than Nucleus Basalis and Substantia Nigra in Alzheimer and Parkinson Diseases. </w:t>
      </w:r>
      <w:r w:rsidRPr="000507BA">
        <w:rPr>
          <w:i/>
          <w:iCs/>
          <w:noProof/>
          <w:sz w:val="18"/>
          <w:lang w:val="en-US"/>
        </w:rPr>
        <w:t>Arch Neurol</w:t>
      </w:r>
      <w:r w:rsidRPr="000507BA">
        <w:rPr>
          <w:noProof/>
          <w:sz w:val="18"/>
          <w:lang w:val="en-US"/>
        </w:rPr>
        <w:t>. 2003;60(3):337. doi:10.1001/archneur.60.3.337</w:t>
      </w:r>
    </w:p>
    <w:p w14:paraId="71F8AD4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217. </w:t>
      </w:r>
      <w:r w:rsidRPr="000507BA">
        <w:rPr>
          <w:noProof/>
          <w:sz w:val="18"/>
          <w:lang w:val="en-US"/>
        </w:rPr>
        <w:tab/>
        <w:t xml:space="preserve">Nakano I, Hirano A. Parkinson’s disease: Neuron loss in the nucleus basalis without concomitant </w:t>
      </w:r>
      <w:r w:rsidRPr="000507BA">
        <w:rPr>
          <w:noProof/>
          <w:sz w:val="18"/>
          <w:lang w:val="en-US"/>
        </w:rPr>
        <w:lastRenderedPageBreak/>
        <w:t xml:space="preserve">Alzheimer’s disease. </w:t>
      </w:r>
      <w:r w:rsidRPr="000507BA">
        <w:rPr>
          <w:i/>
          <w:iCs/>
          <w:noProof/>
          <w:sz w:val="18"/>
          <w:lang w:val="en-US"/>
        </w:rPr>
        <w:t>Ann Neurol</w:t>
      </w:r>
      <w:r w:rsidRPr="000507BA">
        <w:rPr>
          <w:noProof/>
          <w:sz w:val="18"/>
          <w:lang w:val="en-US"/>
        </w:rPr>
        <w:t>. 1984;15(5):415-418. doi:10.1002/ana.410150503</w:t>
      </w:r>
    </w:p>
    <w:p w14:paraId="6C1DB30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218. </w:t>
      </w:r>
      <w:r w:rsidRPr="000507BA">
        <w:rPr>
          <w:noProof/>
          <w:sz w:val="18"/>
          <w:lang w:val="en-US"/>
        </w:rPr>
        <w:tab/>
        <w:t xml:space="preserve">Schulz J, Pagano G, Fernández Bonfante JA, Wilson H, Politis M. Nucleus basalis of Meynert degeneration precedes and predicts cognitive impairment in Parkinson’s disease. </w:t>
      </w:r>
      <w:r w:rsidRPr="000507BA">
        <w:rPr>
          <w:i/>
          <w:iCs/>
          <w:noProof/>
          <w:sz w:val="18"/>
          <w:lang w:val="en-US"/>
        </w:rPr>
        <w:t>Brain</w:t>
      </w:r>
      <w:r w:rsidRPr="000507BA">
        <w:rPr>
          <w:noProof/>
          <w:sz w:val="18"/>
          <w:lang w:val="en-US"/>
        </w:rPr>
        <w:t>. 2018;141(5):1501-1516. doi:10.1093/brain/awy072</w:t>
      </w:r>
    </w:p>
    <w:p w14:paraId="4A6ABD3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219. </w:t>
      </w:r>
      <w:r w:rsidRPr="000507BA">
        <w:rPr>
          <w:noProof/>
          <w:sz w:val="18"/>
          <w:lang w:val="en-US"/>
        </w:rPr>
        <w:tab/>
        <w:t xml:space="preserve">Błaszczyk JW. Parkinson’s Disease and Neurodegeneration: GABA-Collapse Hypothesis. </w:t>
      </w:r>
      <w:r w:rsidRPr="000507BA">
        <w:rPr>
          <w:i/>
          <w:iCs/>
          <w:noProof/>
          <w:sz w:val="18"/>
          <w:lang w:val="en-US"/>
        </w:rPr>
        <w:t>Front Neurosci</w:t>
      </w:r>
      <w:r w:rsidRPr="000507BA">
        <w:rPr>
          <w:noProof/>
          <w:sz w:val="18"/>
          <w:lang w:val="en-US"/>
        </w:rPr>
        <w:t>. 2016;10:269. doi:10.3389/fnins.2016.00269</w:t>
      </w:r>
    </w:p>
    <w:p w14:paraId="7BEA739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220. </w:t>
      </w:r>
      <w:r w:rsidRPr="000507BA">
        <w:rPr>
          <w:noProof/>
          <w:sz w:val="18"/>
          <w:lang w:val="en-US"/>
        </w:rPr>
        <w:tab/>
        <w:t xml:space="preserve">Choi I, Kim J, Jeong H-K, et al. PINK1 deficiency attenuates astrocyte proliferation through mitochondrial dysfunction, reduced AKT and increased p38 MAPK activation, and downregulation of EGFR. </w:t>
      </w:r>
      <w:r w:rsidRPr="000507BA">
        <w:rPr>
          <w:i/>
          <w:iCs/>
          <w:noProof/>
          <w:sz w:val="18"/>
          <w:lang w:val="en-US"/>
        </w:rPr>
        <w:t>Glia</w:t>
      </w:r>
      <w:r w:rsidRPr="000507BA">
        <w:rPr>
          <w:noProof/>
          <w:sz w:val="18"/>
          <w:lang w:val="en-US"/>
        </w:rPr>
        <w:t>. 2013;61(5):800-812. doi:10.1002/glia.22475</w:t>
      </w:r>
    </w:p>
    <w:p w14:paraId="6C61956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221. </w:t>
      </w:r>
      <w:r w:rsidRPr="000507BA">
        <w:rPr>
          <w:noProof/>
          <w:sz w:val="18"/>
          <w:lang w:val="en-US"/>
        </w:rPr>
        <w:tab/>
        <w:t xml:space="preserve">Choi I, Kim B, Byun J-W, et al. LRRK2 G2019S mutation attenuates microglial motility by inhibiting focal adhesion kinase. </w:t>
      </w:r>
      <w:r w:rsidRPr="000507BA">
        <w:rPr>
          <w:i/>
          <w:iCs/>
          <w:noProof/>
          <w:sz w:val="18"/>
          <w:lang w:val="en-US"/>
        </w:rPr>
        <w:t>Nat Commun</w:t>
      </w:r>
      <w:r w:rsidRPr="000507BA">
        <w:rPr>
          <w:noProof/>
          <w:sz w:val="18"/>
          <w:lang w:val="en-US"/>
        </w:rPr>
        <w:t>. 2015;6(1):8255. doi:10.1038/ncomms9255</w:t>
      </w:r>
    </w:p>
    <w:p w14:paraId="76ACEAE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222. </w:t>
      </w:r>
      <w:r w:rsidRPr="000507BA">
        <w:rPr>
          <w:noProof/>
          <w:sz w:val="18"/>
          <w:lang w:val="en-US"/>
        </w:rPr>
        <w:tab/>
        <w:t xml:space="preserve">Wu DC, Jackson-Lewis V, Vila M, et al. Blockade of microglial activation is neuroprotective in the 1-methyl-4-phenyl-1,2,3,6-tetrahydropyridine mouse model of Parkinson disease. </w:t>
      </w:r>
      <w:r w:rsidRPr="000507BA">
        <w:rPr>
          <w:i/>
          <w:iCs/>
          <w:noProof/>
          <w:sz w:val="18"/>
          <w:lang w:val="en-US"/>
        </w:rPr>
        <w:t>J Neurosci</w:t>
      </w:r>
      <w:r w:rsidRPr="000507BA">
        <w:rPr>
          <w:noProof/>
          <w:sz w:val="18"/>
          <w:lang w:val="en-US"/>
        </w:rPr>
        <w:t>. 2002;22(5):1763-1771. http://www.ncbi.nlm.nih.gov/pubmed/11880505. Accessed October 23, 2018.</w:t>
      </w:r>
    </w:p>
    <w:p w14:paraId="62BB939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223. </w:t>
      </w:r>
      <w:r w:rsidRPr="000507BA">
        <w:rPr>
          <w:noProof/>
          <w:sz w:val="18"/>
          <w:lang w:val="en-US"/>
        </w:rPr>
        <w:tab/>
        <w:t xml:space="preserve">Joe E-H, Choi D-J, An J, Eun J-H, Jou I, Park S. Astrocytes, Microglia, and Parkinson’s Disease. </w:t>
      </w:r>
      <w:r w:rsidRPr="000507BA">
        <w:rPr>
          <w:i/>
          <w:iCs/>
          <w:noProof/>
          <w:sz w:val="18"/>
          <w:lang w:val="en-US"/>
        </w:rPr>
        <w:t>Exp Neurobiol</w:t>
      </w:r>
      <w:r w:rsidRPr="000507BA">
        <w:rPr>
          <w:noProof/>
          <w:sz w:val="18"/>
          <w:lang w:val="en-US"/>
        </w:rPr>
        <w:t>. 2018;27(2):77-87. doi:10.5607/en.2018.27.2.77</w:t>
      </w:r>
    </w:p>
    <w:p w14:paraId="5119668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224. </w:t>
      </w:r>
      <w:r w:rsidRPr="000507BA">
        <w:rPr>
          <w:noProof/>
          <w:sz w:val="18"/>
          <w:lang w:val="en-US"/>
        </w:rPr>
        <w:tab/>
        <w:t xml:space="preserve">Spillantini MG, Schmidt ML, Lee VM-Y, Trojanowski JQ, Jakes R, Goedert M. α-Synuclein in Lewy bodies. </w:t>
      </w:r>
      <w:r w:rsidRPr="000507BA">
        <w:rPr>
          <w:i/>
          <w:iCs/>
          <w:noProof/>
          <w:sz w:val="18"/>
          <w:lang w:val="en-US"/>
        </w:rPr>
        <w:t>Nature</w:t>
      </w:r>
      <w:r w:rsidRPr="000507BA">
        <w:rPr>
          <w:noProof/>
          <w:sz w:val="18"/>
          <w:lang w:val="en-US"/>
        </w:rPr>
        <w:t>. 1997;388(6645):839-840. doi:10.1038/42166</w:t>
      </w:r>
    </w:p>
    <w:p w14:paraId="567E8FF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225. </w:t>
      </w:r>
      <w:r w:rsidRPr="000507BA">
        <w:rPr>
          <w:noProof/>
          <w:sz w:val="18"/>
          <w:lang w:val="en-US"/>
        </w:rPr>
        <w:tab/>
        <w:t xml:space="preserve">Okochi M, Walter J, Koyama A, et al. </w:t>
      </w:r>
      <w:r w:rsidRPr="000507BA">
        <w:rPr>
          <w:i/>
          <w:iCs/>
          <w:noProof/>
          <w:sz w:val="18"/>
          <w:lang w:val="en-US"/>
        </w:rPr>
        <w:t>Constitutive Phosphorylation of the Parkinson’s Disease Associated-Synuclein*</w:t>
      </w:r>
      <w:r w:rsidRPr="000507BA">
        <w:rPr>
          <w:noProof/>
          <w:sz w:val="18"/>
          <w:lang w:val="en-US"/>
        </w:rPr>
        <w:t>.; 2000. http://www.jbc.org/. Accessed October 23, 2018.</w:t>
      </w:r>
    </w:p>
    <w:p w14:paraId="5065276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226. </w:t>
      </w:r>
      <w:r w:rsidRPr="000507BA">
        <w:rPr>
          <w:noProof/>
          <w:sz w:val="18"/>
          <w:lang w:val="en-US"/>
        </w:rPr>
        <w:tab/>
        <w:t xml:space="preserve">Nonaka T, Takeshi I, Hasegawa M. Ubiquitination of α-Synuclein. </w:t>
      </w:r>
      <w:r w:rsidRPr="000507BA">
        <w:rPr>
          <w:i/>
          <w:iCs/>
          <w:noProof/>
          <w:sz w:val="18"/>
          <w:lang w:val="en-US"/>
        </w:rPr>
        <w:t>Biochemistry</w:t>
      </w:r>
      <w:r w:rsidRPr="000507BA">
        <w:rPr>
          <w:noProof/>
          <w:sz w:val="18"/>
          <w:lang w:val="en-US"/>
        </w:rPr>
        <w:t>. 2004;44(1):361-368. doi:10.1021/BI0485528</w:t>
      </w:r>
    </w:p>
    <w:p w14:paraId="53A4A6B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227. </w:t>
      </w:r>
      <w:r w:rsidRPr="000507BA">
        <w:rPr>
          <w:noProof/>
          <w:sz w:val="18"/>
          <w:lang w:val="en-US"/>
        </w:rPr>
        <w:tab/>
        <w:t xml:space="preserve">Giasson BI, Duda JE, Murray I V, et al. Oxidative damage linked to neurodegeneration by selective alpha-synuclein nitration in synucleinopathy lesions. </w:t>
      </w:r>
      <w:r w:rsidRPr="000507BA">
        <w:rPr>
          <w:i/>
          <w:iCs/>
          <w:noProof/>
          <w:sz w:val="18"/>
          <w:lang w:val="en-US"/>
        </w:rPr>
        <w:t>Science</w:t>
      </w:r>
      <w:r w:rsidRPr="000507BA">
        <w:rPr>
          <w:noProof/>
          <w:sz w:val="18"/>
          <w:lang w:val="en-US"/>
        </w:rPr>
        <w:t>. 2000;290(5493):985-989. doi:10.1126/SCIENCE.290.5493.985</w:t>
      </w:r>
    </w:p>
    <w:p w14:paraId="6E9D1C6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228. </w:t>
      </w:r>
      <w:r w:rsidRPr="000507BA">
        <w:rPr>
          <w:noProof/>
          <w:sz w:val="18"/>
          <w:lang w:val="en-US"/>
        </w:rPr>
        <w:tab/>
        <w:t xml:space="preserve">Ciechanover A. Proteolysis: from the lysosome to ubiquitin and the proteasome. </w:t>
      </w:r>
      <w:r w:rsidRPr="000507BA">
        <w:rPr>
          <w:i/>
          <w:iCs/>
          <w:noProof/>
          <w:sz w:val="18"/>
          <w:lang w:val="en-US"/>
        </w:rPr>
        <w:t>Nat Rev Mol Cell Biol</w:t>
      </w:r>
      <w:r w:rsidRPr="000507BA">
        <w:rPr>
          <w:noProof/>
          <w:sz w:val="18"/>
          <w:lang w:val="en-US"/>
        </w:rPr>
        <w:t>. 2005;6(1):79-87. doi:10.1038/nrm1552</w:t>
      </w:r>
    </w:p>
    <w:p w14:paraId="1C56F49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229. </w:t>
      </w:r>
      <w:r w:rsidRPr="000507BA">
        <w:rPr>
          <w:noProof/>
          <w:sz w:val="18"/>
          <w:lang w:val="en-US"/>
        </w:rPr>
        <w:tab/>
        <w:t xml:space="preserve">Inobe T, Matouschek A. Paradigms of protein degradation by the proteasome. </w:t>
      </w:r>
      <w:r w:rsidRPr="000507BA">
        <w:rPr>
          <w:i/>
          <w:iCs/>
          <w:noProof/>
          <w:sz w:val="18"/>
          <w:lang w:val="en-US"/>
        </w:rPr>
        <w:t>Curr Opin Struct Biol</w:t>
      </w:r>
      <w:r w:rsidRPr="000507BA">
        <w:rPr>
          <w:noProof/>
          <w:sz w:val="18"/>
          <w:lang w:val="en-US"/>
        </w:rPr>
        <w:t>. 2014;24:156-164. doi:10.1016/j.sbi.2014.02.002</w:t>
      </w:r>
    </w:p>
    <w:p w14:paraId="4EF2B4D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230. </w:t>
      </w:r>
      <w:r w:rsidRPr="000507BA">
        <w:rPr>
          <w:noProof/>
          <w:sz w:val="18"/>
          <w:lang w:val="en-US"/>
        </w:rPr>
        <w:tab/>
        <w:t xml:space="preserve">Xiong H, Wang D, Chen L, et al. Parkin, PINK1, and DJ-1 form a ubiquitin E3 ligase complex promoting unfolded protein degradation. </w:t>
      </w:r>
      <w:r w:rsidRPr="000507BA">
        <w:rPr>
          <w:i/>
          <w:iCs/>
          <w:noProof/>
          <w:sz w:val="18"/>
          <w:lang w:val="en-US"/>
        </w:rPr>
        <w:t>J Clin Invest</w:t>
      </w:r>
      <w:r w:rsidRPr="000507BA">
        <w:rPr>
          <w:noProof/>
          <w:sz w:val="18"/>
          <w:lang w:val="en-US"/>
        </w:rPr>
        <w:t>. 2009;119(3):650-660. doi:10.1172/JCI37617</w:t>
      </w:r>
    </w:p>
    <w:p w14:paraId="5010E12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231. </w:t>
      </w:r>
      <w:r w:rsidRPr="000507BA">
        <w:rPr>
          <w:noProof/>
          <w:sz w:val="18"/>
          <w:lang w:val="en-US"/>
        </w:rPr>
        <w:tab/>
        <w:t xml:space="preserve">Levine B, Klionsky DJ. Development by Self-Digestion: Molecular Mechanisms and Biological Functions of Autophagy. </w:t>
      </w:r>
      <w:r w:rsidRPr="000507BA">
        <w:rPr>
          <w:i/>
          <w:iCs/>
          <w:noProof/>
          <w:sz w:val="18"/>
          <w:lang w:val="en-US"/>
        </w:rPr>
        <w:t>Dev Cell</w:t>
      </w:r>
      <w:r w:rsidRPr="000507BA">
        <w:rPr>
          <w:noProof/>
          <w:sz w:val="18"/>
          <w:lang w:val="en-US"/>
        </w:rPr>
        <w:t>. 2004;6(4):463-477. doi:10.1016/S1534-5807(04)00099-1</w:t>
      </w:r>
    </w:p>
    <w:p w14:paraId="329AFD8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232. </w:t>
      </w:r>
      <w:r w:rsidRPr="000507BA">
        <w:rPr>
          <w:noProof/>
          <w:sz w:val="18"/>
          <w:lang w:val="en-US"/>
        </w:rPr>
        <w:tab/>
        <w:t xml:space="preserve">Webb JL, Ravikumar B, Atkins J, Skepper JN, Rubinsztein DC. Alpha-Synuclein is degraded by both autophagy and the proteasome. </w:t>
      </w:r>
      <w:r w:rsidRPr="000507BA">
        <w:rPr>
          <w:i/>
          <w:iCs/>
          <w:noProof/>
          <w:sz w:val="18"/>
          <w:lang w:val="en-US"/>
        </w:rPr>
        <w:t>J Biol Chem</w:t>
      </w:r>
      <w:r w:rsidRPr="000507BA">
        <w:rPr>
          <w:noProof/>
          <w:sz w:val="18"/>
          <w:lang w:val="en-US"/>
        </w:rPr>
        <w:t>. 2003;278(27):25009-25013. doi:10.1074/jbc.M300227200</w:t>
      </w:r>
    </w:p>
    <w:p w14:paraId="7EFCBB6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233. </w:t>
      </w:r>
      <w:r w:rsidRPr="000507BA">
        <w:rPr>
          <w:noProof/>
          <w:sz w:val="18"/>
          <w:lang w:val="en-US"/>
        </w:rPr>
        <w:tab/>
        <w:t xml:space="preserve">Cuervo AM, Stefanis L, Fredenburg R, Lansbury PT, Sulzer D. Impaired degradation of mutant alpha-synuclein by chaperone-mediated autophagy. </w:t>
      </w:r>
      <w:r w:rsidRPr="000507BA">
        <w:rPr>
          <w:i/>
          <w:iCs/>
          <w:noProof/>
          <w:sz w:val="18"/>
          <w:lang w:val="en-US"/>
        </w:rPr>
        <w:t>Science</w:t>
      </w:r>
      <w:r w:rsidRPr="000507BA">
        <w:rPr>
          <w:noProof/>
          <w:sz w:val="18"/>
          <w:lang w:val="en-US"/>
        </w:rPr>
        <w:t>. 2004;305(5688):1292-1295. doi:10.1126/science.1101738</w:t>
      </w:r>
    </w:p>
    <w:p w14:paraId="40AEEB7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234. </w:t>
      </w:r>
      <w:r w:rsidRPr="000507BA">
        <w:rPr>
          <w:noProof/>
          <w:sz w:val="18"/>
          <w:lang w:val="en-US"/>
        </w:rPr>
        <w:tab/>
        <w:t xml:space="preserve">Gusdon AM, Zhu J, Van Houten B, Chu CT. ATP13A2 regulates mitochondrial bioenergetics through macroautophagy. </w:t>
      </w:r>
      <w:r w:rsidRPr="000507BA">
        <w:rPr>
          <w:i/>
          <w:iCs/>
          <w:noProof/>
          <w:sz w:val="18"/>
          <w:lang w:val="en-US"/>
        </w:rPr>
        <w:t>Neurobiol Dis</w:t>
      </w:r>
      <w:r w:rsidRPr="000507BA">
        <w:rPr>
          <w:noProof/>
          <w:sz w:val="18"/>
          <w:lang w:val="en-US"/>
        </w:rPr>
        <w:t>. 2012;45(3):962-972. doi:10.1016/j.nbd.2011.12.015</w:t>
      </w:r>
    </w:p>
    <w:p w14:paraId="118CD86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235. </w:t>
      </w:r>
      <w:r w:rsidRPr="000507BA">
        <w:rPr>
          <w:noProof/>
          <w:sz w:val="18"/>
          <w:lang w:val="en-US"/>
        </w:rPr>
        <w:tab/>
        <w:t xml:space="preserve">Bento CF, Ashkenazi A, Jimenez-Sanchez M, Rubinsztein DC. The Parkinson’s disease-associated genes ATP13A2 and SYT11 regulate autophagy via a common pathway. </w:t>
      </w:r>
      <w:r w:rsidRPr="000507BA">
        <w:rPr>
          <w:i/>
          <w:iCs/>
          <w:noProof/>
          <w:sz w:val="18"/>
          <w:lang w:val="en-US"/>
        </w:rPr>
        <w:t>Nat Commun</w:t>
      </w:r>
      <w:r w:rsidRPr="000507BA">
        <w:rPr>
          <w:noProof/>
          <w:sz w:val="18"/>
          <w:lang w:val="en-US"/>
        </w:rPr>
        <w:t>. 2016;7:11803. doi:10.1038/ncomms11803</w:t>
      </w:r>
    </w:p>
    <w:p w14:paraId="6355BD0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236. </w:t>
      </w:r>
      <w:r w:rsidRPr="000507BA">
        <w:rPr>
          <w:noProof/>
          <w:sz w:val="18"/>
          <w:lang w:val="en-US"/>
        </w:rPr>
        <w:tab/>
        <w:t xml:space="preserve">Rubinsztein DC. The roles of intracellular protein-degradation pathways in neurodegeneration. </w:t>
      </w:r>
      <w:r w:rsidRPr="000507BA">
        <w:rPr>
          <w:i/>
          <w:iCs/>
          <w:noProof/>
          <w:sz w:val="18"/>
          <w:lang w:val="en-US"/>
        </w:rPr>
        <w:t>Nature</w:t>
      </w:r>
      <w:r w:rsidRPr="000507BA">
        <w:rPr>
          <w:noProof/>
          <w:sz w:val="18"/>
          <w:lang w:val="en-US"/>
        </w:rPr>
        <w:t>. 2006;443(7113):780-786. doi:10.1038/nature05291</w:t>
      </w:r>
    </w:p>
    <w:p w14:paraId="6B41B3C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lastRenderedPageBreak/>
        <w:t xml:space="preserve">237. </w:t>
      </w:r>
      <w:r w:rsidRPr="000507BA">
        <w:rPr>
          <w:noProof/>
          <w:sz w:val="18"/>
          <w:lang w:val="en-US"/>
        </w:rPr>
        <w:tab/>
        <w:t xml:space="preserve">Snyder H, Mensah K, Theisler C, Lee J, Matouschek A, Wolozin B. Aggregated and Monomeric α-Synuclein Bind to the S6′ Proteasomal Protein and Inhibit Proteasomal Function. </w:t>
      </w:r>
      <w:r w:rsidRPr="000507BA">
        <w:rPr>
          <w:i/>
          <w:iCs/>
          <w:noProof/>
          <w:sz w:val="18"/>
          <w:lang w:val="en-US"/>
        </w:rPr>
        <w:t>J Biol Chem</w:t>
      </w:r>
      <w:r w:rsidRPr="000507BA">
        <w:rPr>
          <w:noProof/>
          <w:sz w:val="18"/>
          <w:lang w:val="en-US"/>
        </w:rPr>
        <w:t>. 2003;278(14):11753-11759. doi:10.1074/jbc.M208641200</w:t>
      </w:r>
    </w:p>
    <w:p w14:paraId="529B756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238. </w:t>
      </w:r>
      <w:r w:rsidRPr="000507BA">
        <w:rPr>
          <w:noProof/>
          <w:sz w:val="18"/>
          <w:lang w:val="en-US"/>
        </w:rPr>
        <w:tab/>
        <w:t xml:space="preserve">Brundin P, Dave KD, Kordower JH. Therapeutic approaches to target alpha-synuclein pathology. </w:t>
      </w:r>
      <w:r w:rsidRPr="000507BA">
        <w:rPr>
          <w:i/>
          <w:iCs/>
          <w:noProof/>
          <w:sz w:val="18"/>
          <w:lang w:val="en-US"/>
        </w:rPr>
        <w:t>Exp Neurol</w:t>
      </w:r>
      <w:r w:rsidRPr="000507BA">
        <w:rPr>
          <w:noProof/>
          <w:sz w:val="18"/>
          <w:lang w:val="en-US"/>
        </w:rPr>
        <w:t>. 2017;298(Pt B):225-235. doi:10.1016/j.expneurol.2017.10.003</w:t>
      </w:r>
    </w:p>
    <w:p w14:paraId="30F481A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239. </w:t>
      </w:r>
      <w:r w:rsidRPr="000507BA">
        <w:rPr>
          <w:noProof/>
          <w:sz w:val="18"/>
          <w:lang w:val="en-US"/>
        </w:rPr>
        <w:tab/>
        <w:t xml:space="preserve">Ganguly U, Chakrabarti SSS, Kaur U, Mukherjee A, Chakrabarti SSS. Alpha-synuclein, Proteotoxicity and Parkinson’s Disease: Search for Neuroprotective Therapy. </w:t>
      </w:r>
      <w:r w:rsidRPr="000507BA">
        <w:rPr>
          <w:i/>
          <w:iCs/>
          <w:noProof/>
          <w:sz w:val="18"/>
          <w:lang w:val="en-US"/>
        </w:rPr>
        <w:t>Curr Neuropharmacol</w:t>
      </w:r>
      <w:r w:rsidRPr="000507BA">
        <w:rPr>
          <w:noProof/>
          <w:sz w:val="18"/>
          <w:lang w:val="en-US"/>
        </w:rPr>
        <w:t>. 2018;16(7):1086-1097. doi:10.2174/1570159X15666171129100944</w:t>
      </w:r>
    </w:p>
    <w:p w14:paraId="2F1FDB0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240. </w:t>
      </w:r>
      <w:r w:rsidRPr="000507BA">
        <w:rPr>
          <w:noProof/>
          <w:sz w:val="18"/>
          <w:lang w:val="en-US"/>
        </w:rPr>
        <w:tab/>
        <w:t xml:space="preserve">Davis GC, Williams AC, Markey SP, et al. Chronic parkinsonism secondary to intravenous injection of meperidine analogues. </w:t>
      </w:r>
      <w:r w:rsidRPr="000507BA">
        <w:rPr>
          <w:i/>
          <w:iCs/>
          <w:noProof/>
          <w:sz w:val="18"/>
          <w:lang w:val="en-US"/>
        </w:rPr>
        <w:t>Psychiatry Res</w:t>
      </w:r>
      <w:r w:rsidRPr="000507BA">
        <w:rPr>
          <w:noProof/>
          <w:sz w:val="18"/>
          <w:lang w:val="en-US"/>
        </w:rPr>
        <w:t>. 1979;1(3):249-254. doi:10.1016/0165-1781(79)90006-4</w:t>
      </w:r>
    </w:p>
    <w:p w14:paraId="7423A90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241. </w:t>
      </w:r>
      <w:r w:rsidRPr="000507BA">
        <w:rPr>
          <w:noProof/>
          <w:sz w:val="18"/>
          <w:lang w:val="en-US"/>
        </w:rPr>
        <w:tab/>
        <w:t xml:space="preserve">Langston JW, Irwin I, Langston EB, Forno LS. 1-Methyl-4-phenylpyridinium ion (MPP+): Identification of a metabolite of MPTP, a toxin selective to the substantia nigra. </w:t>
      </w:r>
      <w:r w:rsidRPr="000507BA">
        <w:rPr>
          <w:i/>
          <w:iCs/>
          <w:noProof/>
          <w:sz w:val="18"/>
          <w:lang w:val="en-US"/>
        </w:rPr>
        <w:t>Neurosci Lett</w:t>
      </w:r>
      <w:r w:rsidRPr="000507BA">
        <w:rPr>
          <w:noProof/>
          <w:sz w:val="18"/>
          <w:lang w:val="en-US"/>
        </w:rPr>
        <w:t>. 1984;48(1):87-92. doi:10.1016/0304-3940(84)90293-3</w:t>
      </w:r>
    </w:p>
    <w:p w14:paraId="1718AF4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242. </w:t>
      </w:r>
      <w:r w:rsidRPr="000507BA">
        <w:rPr>
          <w:noProof/>
          <w:sz w:val="18"/>
          <w:lang w:val="en-US"/>
        </w:rPr>
        <w:tab/>
        <w:t xml:space="preserve">Ramsay RR, Salach JI, Dadgar J, Singer TP. Inhibition of mitochondrial NADH dehydrogenase by pyridine derivatives and its possible relation to experimental and idiopathic parkinsonism. </w:t>
      </w:r>
      <w:r w:rsidRPr="000507BA">
        <w:rPr>
          <w:i/>
          <w:iCs/>
          <w:noProof/>
          <w:sz w:val="18"/>
          <w:lang w:val="en-US"/>
        </w:rPr>
        <w:t>Biochem Biophys Res Commun</w:t>
      </w:r>
      <w:r w:rsidRPr="000507BA">
        <w:rPr>
          <w:noProof/>
          <w:sz w:val="18"/>
          <w:lang w:val="en-US"/>
        </w:rPr>
        <w:t>. 1986;135(1):269-275. doi:10.1016/0006-291X(86)90972-1</w:t>
      </w:r>
    </w:p>
    <w:p w14:paraId="290873E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243. </w:t>
      </w:r>
      <w:r w:rsidRPr="000507BA">
        <w:rPr>
          <w:noProof/>
          <w:sz w:val="18"/>
          <w:lang w:val="en-US"/>
        </w:rPr>
        <w:tab/>
        <w:t xml:space="preserve">Fabre E, Monserrat J, Herrero A, Barja G, Leret ML. Effect of MPTP on brain mitochondrial H2O2 and ATP production and on dopamine and DOPAC in the striatum. </w:t>
      </w:r>
      <w:r w:rsidRPr="000507BA">
        <w:rPr>
          <w:i/>
          <w:iCs/>
          <w:noProof/>
          <w:sz w:val="18"/>
          <w:lang w:val="en-US"/>
        </w:rPr>
        <w:t>J Physiol Biochem</w:t>
      </w:r>
      <w:r w:rsidRPr="000507BA">
        <w:rPr>
          <w:noProof/>
          <w:sz w:val="18"/>
          <w:lang w:val="en-US"/>
        </w:rPr>
        <w:t>. 1999;55(4):325-331. http://www.ncbi.nlm.nih.gov/pubmed/10731084. Accessed September 6, 2018.</w:t>
      </w:r>
    </w:p>
    <w:p w14:paraId="4452771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244. </w:t>
      </w:r>
      <w:r w:rsidRPr="000507BA">
        <w:rPr>
          <w:noProof/>
          <w:sz w:val="18"/>
          <w:lang w:val="en-US"/>
        </w:rPr>
        <w:tab/>
        <w:t xml:space="preserve">Pennathur S, Jackson-Lewis V, Przedborski S, Heinecke JW. Mass spectrometric quantification of 3-nitrotyrosine, ortho-tyrosine, and o,o’-dityrosine in brain tissue of 1-methyl-4-phenyl-1,2,3, 6-tetrahydropyridine-treated mice, a model of oxidative stress in Parkinson’s disease. </w:t>
      </w:r>
      <w:r w:rsidRPr="000507BA">
        <w:rPr>
          <w:i/>
          <w:iCs/>
          <w:noProof/>
          <w:sz w:val="18"/>
          <w:lang w:val="en-US"/>
        </w:rPr>
        <w:t>J Biol Chem</w:t>
      </w:r>
      <w:r w:rsidRPr="000507BA">
        <w:rPr>
          <w:noProof/>
          <w:sz w:val="18"/>
          <w:lang w:val="en-US"/>
        </w:rPr>
        <w:t>. 1999;274(49):34621-34628. doi:10.1074/JBC.274.49.34621</w:t>
      </w:r>
    </w:p>
    <w:p w14:paraId="2AAEE2C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245. </w:t>
      </w:r>
      <w:r w:rsidRPr="000507BA">
        <w:rPr>
          <w:noProof/>
          <w:sz w:val="18"/>
          <w:lang w:val="en-US"/>
        </w:rPr>
        <w:tab/>
        <w:t xml:space="preserve">Drechsel DA, Patel M. Role of reactive oxygen species in the neurotoxicity of environmental agents implicated in Parkinson’s disease. </w:t>
      </w:r>
      <w:r w:rsidRPr="000507BA">
        <w:rPr>
          <w:i/>
          <w:iCs/>
          <w:noProof/>
          <w:sz w:val="18"/>
          <w:lang w:val="en-US"/>
        </w:rPr>
        <w:t>Free Radic Biol Med</w:t>
      </w:r>
      <w:r w:rsidRPr="000507BA">
        <w:rPr>
          <w:noProof/>
          <w:sz w:val="18"/>
          <w:lang w:val="en-US"/>
        </w:rPr>
        <w:t>. 2008;44(11):1873-1886. doi:10.1016/J.FREERADBIOMED.2008.02.008</w:t>
      </w:r>
    </w:p>
    <w:p w14:paraId="123FB69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246. </w:t>
      </w:r>
      <w:r w:rsidRPr="000507BA">
        <w:rPr>
          <w:noProof/>
          <w:sz w:val="18"/>
          <w:lang w:val="en-US"/>
        </w:rPr>
        <w:tab/>
        <w:t xml:space="preserve">Schapira AHV, Cooper JM, Dexter D, Jenner P, Clark JB, Marsden CD. MITOCHONDRIAL COMPLEX I DEFICIENCY IN PARKINSON’S DISEASE. </w:t>
      </w:r>
      <w:r w:rsidRPr="000507BA">
        <w:rPr>
          <w:i/>
          <w:iCs/>
          <w:noProof/>
          <w:sz w:val="18"/>
          <w:lang w:val="en-US"/>
        </w:rPr>
        <w:t>Lancet</w:t>
      </w:r>
      <w:r w:rsidRPr="000507BA">
        <w:rPr>
          <w:noProof/>
          <w:sz w:val="18"/>
          <w:lang w:val="en-US"/>
        </w:rPr>
        <w:t>. 1989;333(8649):1269. http://doi.wiley.com/10.1111/j.1471-4159.1990.tb02325.x. Accessed September 6, 2018.</w:t>
      </w:r>
    </w:p>
    <w:p w14:paraId="314C190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247. </w:t>
      </w:r>
      <w:r w:rsidRPr="000507BA">
        <w:rPr>
          <w:noProof/>
          <w:sz w:val="18"/>
          <w:lang w:val="en-US"/>
        </w:rPr>
        <w:tab/>
        <w:t xml:space="preserve">Schapira AH V., Cooper JM, Dexter D, Clark JB, Jenner P, Marsden CD. Mitochondrial Complex I Deficiency in Parkinson’s Disease. </w:t>
      </w:r>
      <w:r w:rsidRPr="000507BA">
        <w:rPr>
          <w:i/>
          <w:iCs/>
          <w:noProof/>
          <w:sz w:val="18"/>
          <w:lang w:val="en-US"/>
        </w:rPr>
        <w:t>J Neurochem</w:t>
      </w:r>
      <w:r w:rsidRPr="000507BA">
        <w:rPr>
          <w:noProof/>
          <w:sz w:val="18"/>
          <w:lang w:val="en-US"/>
        </w:rPr>
        <w:t>. 1990;54(3):823-827. doi:10.1111/j.1471-4159.1990.tb02325.x</w:t>
      </w:r>
    </w:p>
    <w:p w14:paraId="4F6892B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248. </w:t>
      </w:r>
      <w:r w:rsidRPr="000507BA">
        <w:rPr>
          <w:noProof/>
          <w:sz w:val="18"/>
          <w:lang w:val="en-US"/>
        </w:rPr>
        <w:tab/>
        <w:t xml:space="preserve">Trimmer PA, Swerdlow RH, Parks JK, et al. Abnormal Mitochondrial Morphology in Sporadic Parkinson’s and Alzheimer’s Disease Cybrid Cell Lines. </w:t>
      </w:r>
      <w:r w:rsidRPr="000507BA">
        <w:rPr>
          <w:i/>
          <w:iCs/>
          <w:noProof/>
          <w:sz w:val="18"/>
          <w:lang w:val="en-US"/>
        </w:rPr>
        <w:t>Exp Neurol</w:t>
      </w:r>
      <w:r w:rsidRPr="000507BA">
        <w:rPr>
          <w:noProof/>
          <w:sz w:val="18"/>
          <w:lang w:val="en-US"/>
        </w:rPr>
        <w:t>. 2000;162(1):37-50. doi:10.1006/EXNR.2000.7333</w:t>
      </w:r>
    </w:p>
    <w:p w14:paraId="79D104F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249. </w:t>
      </w:r>
      <w:r w:rsidRPr="000507BA">
        <w:rPr>
          <w:noProof/>
          <w:sz w:val="18"/>
          <w:lang w:val="en-US"/>
        </w:rPr>
        <w:tab/>
        <w:t xml:space="preserve">Gautier CA, Kitada T, Shen J. Loss of PINK1 causes mitochondrial functional defects and increased sensitivity to oxidative stress. </w:t>
      </w:r>
      <w:r w:rsidRPr="000507BA">
        <w:rPr>
          <w:i/>
          <w:iCs/>
          <w:noProof/>
          <w:sz w:val="18"/>
          <w:lang w:val="en-US"/>
        </w:rPr>
        <w:t>Proc Natl Acad Sci U S A</w:t>
      </w:r>
      <w:r w:rsidRPr="000507BA">
        <w:rPr>
          <w:noProof/>
          <w:sz w:val="18"/>
          <w:lang w:val="en-US"/>
        </w:rPr>
        <w:t>. 2008;105(32):11364-11369. doi:10.1073/pnas.0802076105</w:t>
      </w:r>
    </w:p>
    <w:p w14:paraId="62B76D9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250. </w:t>
      </w:r>
      <w:r w:rsidRPr="000507BA">
        <w:rPr>
          <w:noProof/>
          <w:sz w:val="18"/>
          <w:lang w:val="en-US"/>
        </w:rPr>
        <w:tab/>
        <w:t xml:space="preserve">Gegg ME, Cooper JM, Schapira AH V., Taanman J-W. Silencing of PINK1 Expression Affects Mitochondrial DNA and Oxidative Phosphorylation in DOPAMINERGIC Cells. Melov S, ed. </w:t>
      </w:r>
      <w:r w:rsidRPr="000507BA">
        <w:rPr>
          <w:i/>
          <w:iCs/>
          <w:noProof/>
          <w:sz w:val="18"/>
          <w:lang w:val="en-US"/>
        </w:rPr>
        <w:t>PLoS One</w:t>
      </w:r>
      <w:r w:rsidRPr="000507BA">
        <w:rPr>
          <w:noProof/>
          <w:sz w:val="18"/>
          <w:lang w:val="en-US"/>
        </w:rPr>
        <w:t>. 2009;4(3):e4756. doi:10.1371/journal.pone.0004756</w:t>
      </w:r>
    </w:p>
    <w:p w14:paraId="31F3094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251. </w:t>
      </w:r>
      <w:r w:rsidRPr="000507BA">
        <w:rPr>
          <w:noProof/>
          <w:sz w:val="18"/>
          <w:lang w:val="en-US"/>
        </w:rPr>
        <w:tab/>
        <w:t xml:space="preserve">Grünewald A, Gegg ME, Taanman J-W, et al. Differential effects of PINK1 nonsense and missense mutations on mitochondrial function and morphology. </w:t>
      </w:r>
      <w:r w:rsidRPr="000507BA">
        <w:rPr>
          <w:i/>
          <w:iCs/>
          <w:noProof/>
          <w:sz w:val="18"/>
          <w:lang w:val="en-US"/>
        </w:rPr>
        <w:t>Exp Neurol</w:t>
      </w:r>
      <w:r w:rsidRPr="000507BA">
        <w:rPr>
          <w:noProof/>
          <w:sz w:val="18"/>
          <w:lang w:val="en-US"/>
        </w:rPr>
        <w:t>. 2009;219(1):266-273. doi:10.1016/J.EXPNEUROL.2009.05.027</w:t>
      </w:r>
    </w:p>
    <w:p w14:paraId="53B6B13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252. </w:t>
      </w:r>
      <w:r w:rsidRPr="000507BA">
        <w:rPr>
          <w:noProof/>
          <w:sz w:val="18"/>
          <w:lang w:val="en-US"/>
        </w:rPr>
        <w:tab/>
        <w:t xml:space="preserve">Müftüoglu M, Elibol B, Dalmızrak Ö, et al. Mitochondrial complex I and IV activities in leukocytes from patients with parkin mutations. </w:t>
      </w:r>
      <w:r w:rsidRPr="000507BA">
        <w:rPr>
          <w:i/>
          <w:iCs/>
          <w:noProof/>
          <w:sz w:val="18"/>
          <w:lang w:val="en-US"/>
        </w:rPr>
        <w:t>Mov Disord</w:t>
      </w:r>
      <w:r w:rsidRPr="000507BA">
        <w:rPr>
          <w:noProof/>
          <w:sz w:val="18"/>
          <w:lang w:val="en-US"/>
        </w:rPr>
        <w:t>. 2004;19(5):544-548. doi:10.1002/mds.10695</w:t>
      </w:r>
    </w:p>
    <w:p w14:paraId="22B98A7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253. </w:t>
      </w:r>
      <w:r w:rsidRPr="000507BA">
        <w:rPr>
          <w:noProof/>
          <w:sz w:val="18"/>
          <w:lang w:val="en-US"/>
        </w:rPr>
        <w:tab/>
        <w:t xml:space="preserve">Mortiboys H, Thomas KJ, Koopman WJH, et al. Mitochondrial function and morphology are </w:t>
      </w:r>
      <w:r w:rsidRPr="000507BA">
        <w:rPr>
          <w:noProof/>
          <w:sz w:val="18"/>
          <w:lang w:val="en-US"/>
        </w:rPr>
        <w:lastRenderedPageBreak/>
        <w:t xml:space="preserve">impaired in </w:t>
      </w:r>
      <w:r w:rsidRPr="000507BA">
        <w:rPr>
          <w:i/>
          <w:iCs/>
          <w:noProof/>
          <w:sz w:val="18"/>
          <w:lang w:val="en-US"/>
        </w:rPr>
        <w:t>parkin</w:t>
      </w:r>
      <w:r w:rsidRPr="000507BA">
        <w:rPr>
          <w:noProof/>
          <w:sz w:val="18"/>
          <w:lang w:val="en-US"/>
        </w:rPr>
        <w:t xml:space="preserve"> -mutant fibroblasts. </w:t>
      </w:r>
      <w:r w:rsidRPr="000507BA">
        <w:rPr>
          <w:i/>
          <w:iCs/>
          <w:noProof/>
          <w:sz w:val="18"/>
          <w:lang w:val="en-US"/>
        </w:rPr>
        <w:t>Ann Neurol</w:t>
      </w:r>
      <w:r w:rsidRPr="000507BA">
        <w:rPr>
          <w:noProof/>
          <w:sz w:val="18"/>
          <w:lang w:val="en-US"/>
        </w:rPr>
        <w:t>. 2008;64(5):555-565. doi:10.1002/ana.21492</w:t>
      </w:r>
    </w:p>
    <w:p w14:paraId="43009D0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254. </w:t>
      </w:r>
      <w:r w:rsidRPr="000507BA">
        <w:rPr>
          <w:noProof/>
          <w:sz w:val="18"/>
          <w:lang w:val="en-US"/>
        </w:rPr>
        <w:tab/>
        <w:t xml:space="preserve">Zhang L, Shimoji M, Thomas B, et al. Mitochondrial localization of the Parkinson’s disease related protein DJ-1: implications for pathogenesis. </w:t>
      </w:r>
      <w:r w:rsidRPr="000507BA">
        <w:rPr>
          <w:i/>
          <w:iCs/>
          <w:noProof/>
          <w:sz w:val="18"/>
          <w:lang w:val="en-US"/>
        </w:rPr>
        <w:t>Hum Mol Genet</w:t>
      </w:r>
      <w:r w:rsidRPr="000507BA">
        <w:rPr>
          <w:noProof/>
          <w:sz w:val="18"/>
          <w:lang w:val="en-US"/>
        </w:rPr>
        <w:t>. 2005;14(14):2063-2073. doi:10.1093/hmg/ddi211</w:t>
      </w:r>
    </w:p>
    <w:p w14:paraId="099564E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255. </w:t>
      </w:r>
      <w:r w:rsidRPr="000507BA">
        <w:rPr>
          <w:noProof/>
          <w:sz w:val="18"/>
          <w:lang w:val="en-US"/>
        </w:rPr>
        <w:tab/>
        <w:t xml:space="preserve">Andres-Mateos E, Perier C, Zhang L, et al. DJ-1 gene deletion reveals that DJ-1 is an atypical peroxiredoxin-like peroxidase. </w:t>
      </w:r>
      <w:r w:rsidRPr="000507BA">
        <w:rPr>
          <w:i/>
          <w:iCs/>
          <w:noProof/>
          <w:sz w:val="18"/>
          <w:lang w:val="en-US"/>
        </w:rPr>
        <w:t>Proc Natl Acad Sci U S A</w:t>
      </w:r>
      <w:r w:rsidRPr="000507BA">
        <w:rPr>
          <w:noProof/>
          <w:sz w:val="18"/>
          <w:lang w:val="en-US"/>
        </w:rPr>
        <w:t>. 2007;104(37):14807-14812. doi:10.1073/pnas.0703219104</w:t>
      </w:r>
    </w:p>
    <w:p w14:paraId="434B897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256. </w:t>
      </w:r>
      <w:r w:rsidRPr="000507BA">
        <w:rPr>
          <w:noProof/>
          <w:sz w:val="18"/>
          <w:lang w:val="en-US"/>
        </w:rPr>
        <w:tab/>
        <w:t xml:space="preserve">Hsu LJ, Sagara Y, Arroyo A, et al. α-Synuclein Promotes Mitochondrial Deficit and Oxidative Stress. </w:t>
      </w:r>
      <w:r w:rsidRPr="000507BA">
        <w:rPr>
          <w:i/>
          <w:iCs/>
          <w:noProof/>
          <w:sz w:val="18"/>
          <w:lang w:val="en-US"/>
        </w:rPr>
        <w:t>Am J Pathol</w:t>
      </w:r>
      <w:r w:rsidRPr="000507BA">
        <w:rPr>
          <w:noProof/>
          <w:sz w:val="18"/>
          <w:lang w:val="en-US"/>
        </w:rPr>
        <w:t>. 2000;157(2):401-410. doi:10.1016/S0002-9440(10)64553-1</w:t>
      </w:r>
    </w:p>
    <w:p w14:paraId="43E66F6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257. </w:t>
      </w:r>
      <w:r w:rsidRPr="000507BA">
        <w:rPr>
          <w:noProof/>
          <w:sz w:val="18"/>
          <w:lang w:val="en-US"/>
        </w:rPr>
        <w:tab/>
        <w:t xml:space="preserve">Schöndorf DC, Ivanyuk D, Baden P, et al. The NAD+ Precursor Nicotinamide Riboside Rescues Mitochondrial Defects and Neuronal Loss in iPSC and Fly Models of Parkinson’s Disease. </w:t>
      </w:r>
      <w:r w:rsidRPr="000507BA">
        <w:rPr>
          <w:i/>
          <w:iCs/>
          <w:noProof/>
          <w:sz w:val="18"/>
          <w:lang w:val="en-US"/>
        </w:rPr>
        <w:t>Cell Rep</w:t>
      </w:r>
      <w:r w:rsidRPr="000507BA">
        <w:rPr>
          <w:noProof/>
          <w:sz w:val="18"/>
          <w:lang w:val="en-US"/>
        </w:rPr>
        <w:t>. 2018;23(10):2976-2988. doi:10.1016/j.celrep.2018.05.009</w:t>
      </w:r>
    </w:p>
    <w:p w14:paraId="7A4BB67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258. </w:t>
      </w:r>
      <w:r w:rsidRPr="000507BA">
        <w:rPr>
          <w:noProof/>
          <w:sz w:val="18"/>
          <w:lang w:val="en-US"/>
        </w:rPr>
        <w:tab/>
        <w:t xml:space="preserve">Cooper O, Seo H, Andrabi S, et al. Pharmacological Rescue of Mitochondrial Deficits in iPSC-Derived Neural Cells from Patients with Familial Parkinson’s Disease. </w:t>
      </w:r>
      <w:r w:rsidRPr="000507BA">
        <w:rPr>
          <w:i/>
          <w:iCs/>
          <w:noProof/>
          <w:sz w:val="18"/>
          <w:lang w:val="en-US"/>
        </w:rPr>
        <w:t>Sci Transl Med</w:t>
      </w:r>
      <w:r w:rsidRPr="000507BA">
        <w:rPr>
          <w:noProof/>
          <w:sz w:val="18"/>
          <w:lang w:val="en-US"/>
        </w:rPr>
        <w:t>. 2012;4(141):141ra90-141ra90. doi:10.1126/scitranslmed.3003985</w:t>
      </w:r>
    </w:p>
    <w:p w14:paraId="45A34E4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259. </w:t>
      </w:r>
      <w:r w:rsidRPr="000507BA">
        <w:rPr>
          <w:noProof/>
          <w:sz w:val="18"/>
          <w:lang w:val="en-US"/>
        </w:rPr>
        <w:tab/>
        <w:t xml:space="preserve">Jin H, Kanthasamy AAG, Ghosh A, Anantharam V, Kalyanaraman B, Kanthasamy AAG. Mitochondria-targeted antioxidants for treatment of Parkinson’s disease: Preclinical and clinical outcomes. </w:t>
      </w:r>
      <w:r w:rsidRPr="000507BA">
        <w:rPr>
          <w:i/>
          <w:iCs/>
          <w:noProof/>
          <w:sz w:val="18"/>
          <w:lang w:val="en-US"/>
        </w:rPr>
        <w:t>Biochim Biophys Acta - Mol Basis Dis</w:t>
      </w:r>
      <w:r w:rsidRPr="000507BA">
        <w:rPr>
          <w:noProof/>
          <w:sz w:val="18"/>
          <w:lang w:val="en-US"/>
        </w:rPr>
        <w:t>. 2014;1842(8):1282-1294. doi:10.1016/J.BBADIS.2013.09.007</w:t>
      </w:r>
    </w:p>
    <w:p w14:paraId="24FF581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260. </w:t>
      </w:r>
      <w:r w:rsidRPr="000507BA">
        <w:rPr>
          <w:noProof/>
          <w:sz w:val="18"/>
          <w:lang w:val="en-US"/>
        </w:rPr>
        <w:tab/>
        <w:t xml:space="preserve">Polymeropoulos MH, Lavedan C, Leroy E, et al. Mutation in the alpha-synuclein gene identified in families with Parkinson’s disease. </w:t>
      </w:r>
      <w:r w:rsidRPr="000507BA">
        <w:rPr>
          <w:i/>
          <w:iCs/>
          <w:noProof/>
          <w:sz w:val="18"/>
          <w:lang w:val="en-US"/>
        </w:rPr>
        <w:t>Science</w:t>
      </w:r>
      <w:r w:rsidRPr="000507BA">
        <w:rPr>
          <w:noProof/>
          <w:sz w:val="18"/>
          <w:lang w:val="en-US"/>
        </w:rPr>
        <w:t>. 1997;276(5321):2045-2047. doi:10.1126/science.276.5321.2045</w:t>
      </w:r>
    </w:p>
    <w:p w14:paraId="72E3DAD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261. </w:t>
      </w:r>
      <w:r w:rsidRPr="000507BA">
        <w:rPr>
          <w:noProof/>
          <w:sz w:val="18"/>
          <w:lang w:val="en-US"/>
        </w:rPr>
        <w:tab/>
        <w:t xml:space="preserve">Krüger R, Kuhn W, Müller T, et al. AlaSOPro mutation in the gene encoding α-synuclein in Parkinson’s disease. </w:t>
      </w:r>
      <w:r w:rsidRPr="000507BA">
        <w:rPr>
          <w:i/>
          <w:iCs/>
          <w:noProof/>
          <w:sz w:val="18"/>
          <w:lang w:val="en-US"/>
        </w:rPr>
        <w:t>Nat Genet</w:t>
      </w:r>
      <w:r w:rsidRPr="000507BA">
        <w:rPr>
          <w:noProof/>
          <w:sz w:val="18"/>
          <w:lang w:val="en-US"/>
        </w:rPr>
        <w:t>. 1998;18(2):106-108. doi:10.1038/ng0298-106</w:t>
      </w:r>
    </w:p>
    <w:p w14:paraId="2A509FC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262. </w:t>
      </w:r>
      <w:r w:rsidRPr="000507BA">
        <w:rPr>
          <w:noProof/>
          <w:sz w:val="18"/>
          <w:lang w:val="en-US"/>
        </w:rPr>
        <w:tab/>
        <w:t xml:space="preserve">Zarranz JJ, Alegre J, Gómez-Esteban JC, et al. The new mutation, E46K, of α-synuclein causes parkinson and Lewy body dementia. </w:t>
      </w:r>
      <w:r w:rsidRPr="000507BA">
        <w:rPr>
          <w:i/>
          <w:iCs/>
          <w:noProof/>
          <w:sz w:val="18"/>
          <w:lang w:val="en-US"/>
        </w:rPr>
        <w:t>Ann Neurol</w:t>
      </w:r>
      <w:r w:rsidRPr="000507BA">
        <w:rPr>
          <w:noProof/>
          <w:sz w:val="18"/>
          <w:lang w:val="en-US"/>
        </w:rPr>
        <w:t>. 2004;55(2):164-173. doi:10.1002/ana.10795</w:t>
      </w:r>
    </w:p>
    <w:p w14:paraId="720DD45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263. </w:t>
      </w:r>
      <w:r w:rsidRPr="000507BA">
        <w:rPr>
          <w:noProof/>
          <w:sz w:val="18"/>
          <w:lang w:val="en-US"/>
        </w:rPr>
        <w:tab/>
        <w:t xml:space="preserve">Lesage S, Anheim M, Letournel F, et al. G51D α-synuclein mutation causes a novel Parkinsonian-pyramidal syndrome. </w:t>
      </w:r>
      <w:r w:rsidRPr="000507BA">
        <w:rPr>
          <w:i/>
          <w:iCs/>
          <w:noProof/>
          <w:sz w:val="18"/>
          <w:lang w:val="en-US"/>
        </w:rPr>
        <w:t>Ann Neurol</w:t>
      </w:r>
      <w:r w:rsidRPr="000507BA">
        <w:rPr>
          <w:noProof/>
          <w:sz w:val="18"/>
          <w:lang w:val="en-US"/>
        </w:rPr>
        <w:t>. 2013;73(4):459-471. doi:10.1002/ana.23894</w:t>
      </w:r>
    </w:p>
    <w:p w14:paraId="1797883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264. </w:t>
      </w:r>
      <w:r w:rsidRPr="000507BA">
        <w:rPr>
          <w:noProof/>
          <w:sz w:val="18"/>
          <w:lang w:val="en-US"/>
        </w:rPr>
        <w:tab/>
        <w:t xml:space="preserve">Kiely AP, Asi YT, Kara E, et al. α-Synucleinopathy associated with G51D SNCA mutation: a link between Parkinson’s disease and multiple system atrophy? </w:t>
      </w:r>
      <w:r w:rsidRPr="000507BA">
        <w:rPr>
          <w:i/>
          <w:iCs/>
          <w:noProof/>
          <w:sz w:val="18"/>
          <w:lang w:val="en-US"/>
        </w:rPr>
        <w:t>Acta Neuropathol</w:t>
      </w:r>
      <w:r w:rsidRPr="000507BA">
        <w:rPr>
          <w:noProof/>
          <w:sz w:val="18"/>
          <w:lang w:val="en-US"/>
        </w:rPr>
        <w:t>. 2013;125(5):753-769. doi:10.1007/s00401-013-1096-7</w:t>
      </w:r>
    </w:p>
    <w:p w14:paraId="2B51567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265. </w:t>
      </w:r>
      <w:r w:rsidRPr="000507BA">
        <w:rPr>
          <w:noProof/>
          <w:sz w:val="18"/>
          <w:lang w:val="en-US"/>
        </w:rPr>
        <w:tab/>
        <w:t xml:space="preserve">Chartier-Harlin M-C, Kachergus J, Roumier C, et al. α-synuclein locus duplication as a cause of familial Parkinson’s disease. </w:t>
      </w:r>
      <w:r w:rsidRPr="000507BA">
        <w:rPr>
          <w:i/>
          <w:iCs/>
          <w:noProof/>
          <w:sz w:val="18"/>
          <w:lang w:val="en-US"/>
        </w:rPr>
        <w:t>Lancet</w:t>
      </w:r>
      <w:r w:rsidRPr="000507BA">
        <w:rPr>
          <w:noProof/>
          <w:sz w:val="18"/>
          <w:lang w:val="en-US"/>
        </w:rPr>
        <w:t>. 2004;364(9440):1167-1169. doi:10.1016/S0140-6736(04)17103-1</w:t>
      </w:r>
    </w:p>
    <w:p w14:paraId="6A6EB45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266. </w:t>
      </w:r>
      <w:r w:rsidRPr="000507BA">
        <w:rPr>
          <w:noProof/>
          <w:sz w:val="18"/>
          <w:lang w:val="en-US"/>
        </w:rPr>
        <w:tab/>
        <w:t xml:space="preserve">Ibáñez P, Bonnet A-M, Débarges B, et al. Causal relation between α-synuclein locus duplication as a cause of familial Parkinson’s disease. </w:t>
      </w:r>
      <w:r w:rsidRPr="000507BA">
        <w:rPr>
          <w:i/>
          <w:iCs/>
          <w:noProof/>
          <w:sz w:val="18"/>
          <w:lang w:val="en-US"/>
        </w:rPr>
        <w:t>Lancet</w:t>
      </w:r>
      <w:r w:rsidRPr="000507BA">
        <w:rPr>
          <w:noProof/>
          <w:sz w:val="18"/>
          <w:lang w:val="en-US"/>
        </w:rPr>
        <w:t>. 2004;364(9440):1169-1171. doi:10.1016/S0140-6736(04)17104-3</w:t>
      </w:r>
    </w:p>
    <w:p w14:paraId="34099F1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267. </w:t>
      </w:r>
      <w:r w:rsidRPr="000507BA">
        <w:rPr>
          <w:noProof/>
          <w:sz w:val="18"/>
          <w:lang w:val="en-US"/>
        </w:rPr>
        <w:tab/>
        <w:t xml:space="preserve">Singleton AB, Farrer M, Johnson J, et al. alpha-Synuclein locus triplication causes Parkinson’s disease. </w:t>
      </w:r>
      <w:r w:rsidRPr="000507BA">
        <w:rPr>
          <w:i/>
          <w:iCs/>
          <w:noProof/>
          <w:sz w:val="18"/>
          <w:lang w:val="en-US"/>
        </w:rPr>
        <w:t>Science</w:t>
      </w:r>
      <w:r w:rsidRPr="000507BA">
        <w:rPr>
          <w:noProof/>
          <w:sz w:val="18"/>
          <w:lang w:val="en-US"/>
        </w:rPr>
        <w:t>. 2003;302(5646):841. doi:10.1126/science.1090278</w:t>
      </w:r>
    </w:p>
    <w:p w14:paraId="7029DAC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268. </w:t>
      </w:r>
      <w:r w:rsidRPr="000507BA">
        <w:rPr>
          <w:noProof/>
          <w:sz w:val="18"/>
          <w:lang w:val="en-US"/>
        </w:rPr>
        <w:tab/>
        <w:t xml:space="preserve">Edwards TL, Scott WK, Almonte C, et al. Genome-wide association study confirms SNPs in SNCA and the MAPT region as common risk factors for Parkinson disease. </w:t>
      </w:r>
      <w:r w:rsidRPr="000507BA">
        <w:rPr>
          <w:i/>
          <w:iCs/>
          <w:noProof/>
          <w:sz w:val="18"/>
          <w:lang w:val="en-US"/>
        </w:rPr>
        <w:t>Ann Hum Genet</w:t>
      </w:r>
      <w:r w:rsidRPr="000507BA">
        <w:rPr>
          <w:noProof/>
          <w:sz w:val="18"/>
          <w:lang w:val="en-US"/>
        </w:rPr>
        <w:t>. 2010;74(2):97-109. doi:10.1111/j.1469-1809.2009.00560.x</w:t>
      </w:r>
    </w:p>
    <w:p w14:paraId="10BAC37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269. </w:t>
      </w:r>
      <w:r w:rsidRPr="000507BA">
        <w:rPr>
          <w:noProof/>
          <w:sz w:val="18"/>
          <w:lang w:val="en-US"/>
        </w:rPr>
        <w:tab/>
        <w:t xml:space="preserve">Lill CM, Roehr JT, McQueen MB, et al. Comprehensive Research Synopsis and Systematic Meta-Analyses in Parkinson’s Disease Genetics: The PDGene Database. Myers AJ, ed. </w:t>
      </w:r>
      <w:r w:rsidRPr="000507BA">
        <w:rPr>
          <w:i/>
          <w:iCs/>
          <w:noProof/>
          <w:sz w:val="18"/>
          <w:lang w:val="en-US"/>
        </w:rPr>
        <w:t>PLoS Genet</w:t>
      </w:r>
      <w:r w:rsidRPr="000507BA">
        <w:rPr>
          <w:noProof/>
          <w:sz w:val="18"/>
          <w:lang w:val="en-US"/>
        </w:rPr>
        <w:t>. 2012;8(3):e1002548. doi:10.1371/journal.pgen.1002548</w:t>
      </w:r>
    </w:p>
    <w:p w14:paraId="67E93E2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270. </w:t>
      </w:r>
      <w:r w:rsidRPr="000507BA">
        <w:rPr>
          <w:noProof/>
          <w:sz w:val="18"/>
          <w:lang w:val="en-US"/>
        </w:rPr>
        <w:tab/>
        <w:t xml:space="preserve">Murphy DD, Rueter SM, Trojanowski JQ, Lee VM. Synucleins are developmentally expressed, and alpha-synuclein regulates the size of the presynaptic vesicular pool in primary hippocampal neurons. </w:t>
      </w:r>
      <w:r w:rsidRPr="000507BA">
        <w:rPr>
          <w:i/>
          <w:iCs/>
          <w:noProof/>
          <w:sz w:val="18"/>
          <w:lang w:val="en-US"/>
        </w:rPr>
        <w:lastRenderedPageBreak/>
        <w:t>J Neurosci</w:t>
      </w:r>
      <w:r w:rsidRPr="000507BA">
        <w:rPr>
          <w:noProof/>
          <w:sz w:val="18"/>
          <w:lang w:val="en-US"/>
        </w:rPr>
        <w:t>. 2000;20(9):3214-3220. doi:10.1523/JNEUROSCI.20-09-03214.2000</w:t>
      </w:r>
    </w:p>
    <w:p w14:paraId="7A01AE5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271. </w:t>
      </w:r>
      <w:r w:rsidRPr="000507BA">
        <w:rPr>
          <w:noProof/>
          <w:sz w:val="18"/>
          <w:lang w:val="en-US"/>
        </w:rPr>
        <w:tab/>
        <w:t xml:space="preserve">Kilarski LL, Pearson JP, Newsway V, et al. Systematic Review and UK-Based Study of </w:t>
      </w:r>
      <w:r w:rsidRPr="000507BA">
        <w:rPr>
          <w:i/>
          <w:iCs/>
          <w:noProof/>
          <w:sz w:val="18"/>
          <w:lang w:val="en-US"/>
        </w:rPr>
        <w:t>PARK2 (parkin), PINK1, PARK7 (DJ-1)</w:t>
      </w:r>
      <w:r w:rsidRPr="000507BA">
        <w:rPr>
          <w:noProof/>
          <w:sz w:val="18"/>
          <w:lang w:val="en-US"/>
        </w:rPr>
        <w:t xml:space="preserve"> and </w:t>
      </w:r>
      <w:r w:rsidRPr="000507BA">
        <w:rPr>
          <w:i/>
          <w:iCs/>
          <w:noProof/>
          <w:sz w:val="18"/>
          <w:lang w:val="en-US"/>
        </w:rPr>
        <w:t>LRRK2</w:t>
      </w:r>
      <w:r w:rsidRPr="000507BA">
        <w:rPr>
          <w:noProof/>
          <w:sz w:val="18"/>
          <w:lang w:val="en-US"/>
        </w:rPr>
        <w:t xml:space="preserve"> in early-onset Parkinson’s disease. </w:t>
      </w:r>
      <w:r w:rsidRPr="000507BA">
        <w:rPr>
          <w:i/>
          <w:iCs/>
          <w:noProof/>
          <w:sz w:val="18"/>
          <w:lang w:val="en-US"/>
        </w:rPr>
        <w:t>Mov Disord</w:t>
      </w:r>
      <w:r w:rsidRPr="000507BA">
        <w:rPr>
          <w:noProof/>
          <w:sz w:val="18"/>
          <w:lang w:val="en-US"/>
        </w:rPr>
        <w:t>. 2012;27(12):1522-1529. doi:10.1002/mds.25132</w:t>
      </w:r>
    </w:p>
    <w:p w14:paraId="2D8B03F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272. </w:t>
      </w:r>
      <w:r w:rsidRPr="000507BA">
        <w:rPr>
          <w:noProof/>
          <w:sz w:val="18"/>
          <w:lang w:val="en-US"/>
        </w:rPr>
        <w:tab/>
        <w:t xml:space="preserve">Lücking CB, Dürr A, Bonifati V, et al. Association between Early-Onset Parkinson’s Disease and Mutations in the </w:t>
      </w:r>
      <w:r w:rsidRPr="000507BA">
        <w:rPr>
          <w:i/>
          <w:iCs/>
          <w:noProof/>
          <w:sz w:val="18"/>
          <w:lang w:val="en-US"/>
        </w:rPr>
        <w:t>Parkin</w:t>
      </w:r>
      <w:r w:rsidRPr="000507BA">
        <w:rPr>
          <w:noProof/>
          <w:sz w:val="18"/>
          <w:lang w:val="en-US"/>
        </w:rPr>
        <w:t xml:space="preserve"> Gene. </w:t>
      </w:r>
      <w:r w:rsidRPr="000507BA">
        <w:rPr>
          <w:i/>
          <w:iCs/>
          <w:noProof/>
          <w:sz w:val="18"/>
          <w:lang w:val="en-US"/>
        </w:rPr>
        <w:t>N Engl J Med</w:t>
      </w:r>
      <w:r w:rsidRPr="000507BA">
        <w:rPr>
          <w:noProof/>
          <w:sz w:val="18"/>
          <w:lang w:val="en-US"/>
        </w:rPr>
        <w:t>. 2000;342(21):1560-1567. doi:10.1056/NEJM200005253422103</w:t>
      </w:r>
    </w:p>
    <w:p w14:paraId="4924275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273. </w:t>
      </w:r>
      <w:r w:rsidRPr="000507BA">
        <w:rPr>
          <w:noProof/>
          <w:sz w:val="18"/>
          <w:lang w:val="en-US"/>
        </w:rPr>
        <w:tab/>
        <w:t xml:space="preserve">Kitada T, Asakawa S, Hattori N, et al. Mutations in the parkin gene cause autosomal recessive juvenile parkinsonism. </w:t>
      </w:r>
      <w:r w:rsidRPr="000507BA">
        <w:rPr>
          <w:i/>
          <w:iCs/>
          <w:noProof/>
          <w:sz w:val="18"/>
          <w:lang w:val="en-US"/>
        </w:rPr>
        <w:t>Nature</w:t>
      </w:r>
      <w:r w:rsidRPr="000507BA">
        <w:rPr>
          <w:noProof/>
          <w:sz w:val="18"/>
          <w:lang w:val="en-US"/>
        </w:rPr>
        <w:t>. 1998;392(6676):605-608. doi:10.1038/33416</w:t>
      </w:r>
    </w:p>
    <w:p w14:paraId="0B073F0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274. </w:t>
      </w:r>
      <w:r w:rsidRPr="000507BA">
        <w:rPr>
          <w:noProof/>
          <w:sz w:val="18"/>
          <w:lang w:val="en-US"/>
        </w:rPr>
        <w:tab/>
        <w:t xml:space="preserve">Hattori N, Mizuno Y. Twenty years since the discovery of the parkin gene. </w:t>
      </w:r>
      <w:r w:rsidRPr="000507BA">
        <w:rPr>
          <w:i/>
          <w:iCs/>
          <w:noProof/>
          <w:sz w:val="18"/>
          <w:lang w:val="en-US"/>
        </w:rPr>
        <w:t>J Neural Transm</w:t>
      </w:r>
      <w:r w:rsidRPr="000507BA">
        <w:rPr>
          <w:noProof/>
          <w:sz w:val="18"/>
          <w:lang w:val="en-US"/>
        </w:rPr>
        <w:t>. 2017;124(9):1037-1054. doi:10.1007/s00702-017-1742-7</w:t>
      </w:r>
    </w:p>
    <w:p w14:paraId="3009CF6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275. </w:t>
      </w:r>
      <w:r w:rsidRPr="000507BA">
        <w:rPr>
          <w:noProof/>
          <w:sz w:val="18"/>
          <w:lang w:val="en-US"/>
        </w:rPr>
        <w:tab/>
        <w:t xml:space="preserve">Abbas N, Lucking CB, Ricard S, et al. A Wide Variety of Mutations in the Parkin Gene Are Responsible for Autosomal Recessive Parkinsonism in Europe. </w:t>
      </w:r>
      <w:r w:rsidRPr="000507BA">
        <w:rPr>
          <w:i/>
          <w:iCs/>
          <w:noProof/>
          <w:sz w:val="18"/>
          <w:lang w:val="en-US"/>
        </w:rPr>
        <w:t>Hum Mol Genet</w:t>
      </w:r>
      <w:r w:rsidRPr="000507BA">
        <w:rPr>
          <w:noProof/>
          <w:sz w:val="18"/>
          <w:lang w:val="en-US"/>
        </w:rPr>
        <w:t>. 1999;8(4):567-574. doi:10.1093/hmg/8.4.567</w:t>
      </w:r>
    </w:p>
    <w:p w14:paraId="03657BE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276. </w:t>
      </w:r>
      <w:r w:rsidRPr="000507BA">
        <w:rPr>
          <w:noProof/>
          <w:sz w:val="18"/>
          <w:lang w:val="en-US"/>
        </w:rPr>
        <w:tab/>
        <w:t xml:space="preserve">Bras J, Guerreiro R, Ribeiro M, et al. Analysis of Parkinson disease patients from Portugal for mutations in SNCA, PRKN, PINK1 and LRRK2. </w:t>
      </w:r>
      <w:r w:rsidRPr="000507BA">
        <w:rPr>
          <w:i/>
          <w:iCs/>
          <w:noProof/>
          <w:sz w:val="18"/>
          <w:lang w:val="en-US"/>
        </w:rPr>
        <w:t>BMC Neurol</w:t>
      </w:r>
      <w:r w:rsidRPr="000507BA">
        <w:rPr>
          <w:noProof/>
          <w:sz w:val="18"/>
          <w:lang w:val="en-US"/>
        </w:rPr>
        <w:t>. 2008;8(1):1. doi:10.1186/1471-2377-8-1</w:t>
      </w:r>
    </w:p>
    <w:p w14:paraId="67501C1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277. </w:t>
      </w:r>
      <w:r w:rsidRPr="000507BA">
        <w:rPr>
          <w:noProof/>
          <w:sz w:val="18"/>
          <w:lang w:val="en-US"/>
        </w:rPr>
        <w:tab/>
        <w:t xml:space="preserve">Chan NC, Salazar AM, Pham AH, et al. Broad activation of the ubiquitin–proteasome system by Parkin is critical for mitophagy. </w:t>
      </w:r>
      <w:r w:rsidRPr="000507BA">
        <w:rPr>
          <w:i/>
          <w:iCs/>
          <w:noProof/>
          <w:sz w:val="18"/>
          <w:lang w:val="en-US"/>
        </w:rPr>
        <w:t>Hum Mol Genet</w:t>
      </w:r>
      <w:r w:rsidRPr="000507BA">
        <w:rPr>
          <w:noProof/>
          <w:sz w:val="18"/>
          <w:lang w:val="en-US"/>
        </w:rPr>
        <w:t>. 2011;20(9):1726-1737. doi:10.1093/hmg/ddr048</w:t>
      </w:r>
    </w:p>
    <w:p w14:paraId="0751CAB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278. </w:t>
      </w:r>
      <w:r w:rsidRPr="000507BA">
        <w:rPr>
          <w:noProof/>
          <w:sz w:val="18"/>
          <w:lang w:val="en-US"/>
        </w:rPr>
        <w:tab/>
        <w:t xml:space="preserve">Shimura H, Hattori N, Kubo S-I, et al. Immunohistochemical and subcellular localization of parkin protein: Absence of protein in autosomal recessive juvenile parkinsonism patients. </w:t>
      </w:r>
      <w:r w:rsidRPr="000507BA">
        <w:rPr>
          <w:i/>
          <w:iCs/>
          <w:noProof/>
          <w:sz w:val="18"/>
          <w:lang w:val="en-US"/>
        </w:rPr>
        <w:t>Ann Neurol</w:t>
      </w:r>
      <w:r w:rsidRPr="000507BA">
        <w:rPr>
          <w:noProof/>
          <w:sz w:val="18"/>
          <w:lang w:val="en-US"/>
        </w:rPr>
        <w:t>. 1999;45(5):668-672. doi:10.1002/1531-8249(199905)45:5&lt;668::AID-ANA19&gt;3.0.CO;2-Z</w:t>
      </w:r>
    </w:p>
    <w:p w14:paraId="67DB733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279. </w:t>
      </w:r>
      <w:r w:rsidRPr="000507BA">
        <w:rPr>
          <w:noProof/>
          <w:sz w:val="18"/>
          <w:lang w:val="en-US"/>
        </w:rPr>
        <w:tab/>
        <w:t xml:space="preserve">Liu Y, Fallon L, Lashuel HA, Liu Z, Lansbury PT. The UCH-L1 Gene Encodes Two Opposing Enzymatic Activities that Affect α-Synuclein Degradation and Parkinson’s Disease Susceptibility. </w:t>
      </w:r>
      <w:r w:rsidRPr="000507BA">
        <w:rPr>
          <w:i/>
          <w:iCs/>
          <w:noProof/>
          <w:sz w:val="18"/>
          <w:lang w:val="en-US"/>
        </w:rPr>
        <w:t>Cell</w:t>
      </w:r>
      <w:r w:rsidRPr="000507BA">
        <w:rPr>
          <w:noProof/>
          <w:sz w:val="18"/>
          <w:lang w:val="en-US"/>
        </w:rPr>
        <w:t>. 2002;111(2):209-218. doi:10.1016/S0092-8674(02)01012-7</w:t>
      </w:r>
    </w:p>
    <w:p w14:paraId="68E0453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280. </w:t>
      </w:r>
      <w:r w:rsidRPr="000507BA">
        <w:rPr>
          <w:noProof/>
          <w:sz w:val="18"/>
          <w:lang w:val="en-US"/>
        </w:rPr>
        <w:tab/>
        <w:t xml:space="preserve">Maraganore DM, Lesnick TG, Elbaz A, et al. UCHL1 is a Parkinson’s disease susceptibility gene. </w:t>
      </w:r>
      <w:r w:rsidRPr="000507BA">
        <w:rPr>
          <w:i/>
          <w:iCs/>
          <w:noProof/>
          <w:sz w:val="18"/>
          <w:lang w:val="en-US"/>
        </w:rPr>
        <w:t>Ann Neurol</w:t>
      </w:r>
      <w:r w:rsidRPr="000507BA">
        <w:rPr>
          <w:noProof/>
          <w:sz w:val="18"/>
          <w:lang w:val="en-US"/>
        </w:rPr>
        <w:t>. 2004;55(4):512-521. doi:10.1002/ana.20017</w:t>
      </w:r>
    </w:p>
    <w:p w14:paraId="7ECD5F2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281. </w:t>
      </w:r>
      <w:r w:rsidRPr="000507BA">
        <w:rPr>
          <w:noProof/>
          <w:sz w:val="18"/>
          <w:lang w:val="en-US"/>
        </w:rPr>
        <w:tab/>
        <w:t xml:space="preserve">Healy DG, Abou-Sleiman PM, Casas JP, et al. </w:t>
      </w:r>
      <w:r w:rsidRPr="000507BA">
        <w:rPr>
          <w:i/>
          <w:iCs/>
          <w:noProof/>
          <w:sz w:val="18"/>
          <w:lang w:val="en-US"/>
        </w:rPr>
        <w:t>UCHL-1</w:t>
      </w:r>
      <w:r w:rsidRPr="000507BA">
        <w:rPr>
          <w:noProof/>
          <w:sz w:val="18"/>
          <w:lang w:val="en-US"/>
        </w:rPr>
        <w:t xml:space="preserve"> is not a Parkinson’s disease susceptibility gene. </w:t>
      </w:r>
      <w:r w:rsidRPr="000507BA">
        <w:rPr>
          <w:i/>
          <w:iCs/>
          <w:noProof/>
          <w:sz w:val="18"/>
          <w:lang w:val="en-US"/>
        </w:rPr>
        <w:t>Ann Neurol</w:t>
      </w:r>
      <w:r w:rsidRPr="000507BA">
        <w:rPr>
          <w:noProof/>
          <w:sz w:val="18"/>
          <w:lang w:val="en-US"/>
        </w:rPr>
        <w:t>. 2006;59(4):627-633. doi:10.1002/ana.20757</w:t>
      </w:r>
    </w:p>
    <w:p w14:paraId="27C8FA4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282. </w:t>
      </w:r>
      <w:r w:rsidRPr="000507BA">
        <w:rPr>
          <w:noProof/>
          <w:sz w:val="18"/>
          <w:lang w:val="en-US"/>
        </w:rPr>
        <w:tab/>
        <w:t xml:space="preserve">Leroy E, Boyer R, Auburger G, et al. The ubiquitin pathway in Parkinson’s disease. </w:t>
      </w:r>
      <w:r w:rsidRPr="000507BA">
        <w:rPr>
          <w:i/>
          <w:iCs/>
          <w:noProof/>
          <w:sz w:val="18"/>
          <w:lang w:val="en-US"/>
        </w:rPr>
        <w:t>Nature</w:t>
      </w:r>
      <w:r w:rsidRPr="000507BA">
        <w:rPr>
          <w:noProof/>
          <w:sz w:val="18"/>
          <w:lang w:val="en-US"/>
        </w:rPr>
        <w:t>. 1998;395(6701):451-452. doi:10.1038/26652</w:t>
      </w:r>
    </w:p>
    <w:p w14:paraId="6436EAE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283. </w:t>
      </w:r>
      <w:r w:rsidRPr="000507BA">
        <w:rPr>
          <w:noProof/>
          <w:sz w:val="18"/>
          <w:lang w:val="en-US"/>
        </w:rPr>
        <w:tab/>
        <w:t xml:space="preserve">Coulombe J, Gamage P, Gray MT, et al. Loss of UCHL1 promotes age-related degenerative changes in the enteric nervous system. </w:t>
      </w:r>
      <w:r w:rsidRPr="000507BA">
        <w:rPr>
          <w:i/>
          <w:iCs/>
          <w:noProof/>
          <w:sz w:val="18"/>
          <w:lang w:val="en-US"/>
        </w:rPr>
        <w:t>Front Aging Neurosci</w:t>
      </w:r>
      <w:r w:rsidRPr="000507BA">
        <w:rPr>
          <w:noProof/>
          <w:sz w:val="18"/>
          <w:lang w:val="en-US"/>
        </w:rPr>
        <w:t>. 2014;6:129. doi:10.3389/fnagi.2014.00129</w:t>
      </w:r>
    </w:p>
    <w:p w14:paraId="29DDBF9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284. </w:t>
      </w:r>
      <w:r w:rsidRPr="000507BA">
        <w:rPr>
          <w:noProof/>
          <w:sz w:val="18"/>
          <w:lang w:val="en-US"/>
        </w:rPr>
        <w:tab/>
        <w:t xml:space="preserve">Pridgeon JW, Olzmann JA, Chin L-S, Li L. PINK1 Protects against Oxidative Stress by Phosphorylating Mitochondrial Chaperone TRAP1. Zoghbi HY, ed. </w:t>
      </w:r>
      <w:r w:rsidRPr="000507BA">
        <w:rPr>
          <w:i/>
          <w:iCs/>
          <w:noProof/>
          <w:sz w:val="18"/>
          <w:lang w:val="en-US"/>
        </w:rPr>
        <w:t>PLoS Biol</w:t>
      </w:r>
      <w:r w:rsidRPr="000507BA">
        <w:rPr>
          <w:noProof/>
          <w:sz w:val="18"/>
          <w:lang w:val="en-US"/>
        </w:rPr>
        <w:t>. 2007;5(7):e172. doi:10.1371/journal.pbio.0050172</w:t>
      </w:r>
    </w:p>
    <w:p w14:paraId="3B0ABA8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285. </w:t>
      </w:r>
      <w:r w:rsidRPr="000507BA">
        <w:rPr>
          <w:noProof/>
          <w:sz w:val="18"/>
          <w:lang w:val="en-US"/>
        </w:rPr>
        <w:tab/>
        <w:t xml:space="preserve">Geisler S, Holmström KM, Skujat D, et al. PINK1/Parkin-mediated mitophagy is dependent on VDAC1 and p62/SQSTM1. </w:t>
      </w:r>
      <w:r w:rsidRPr="000507BA">
        <w:rPr>
          <w:i/>
          <w:iCs/>
          <w:noProof/>
          <w:sz w:val="18"/>
          <w:lang w:val="en-US"/>
        </w:rPr>
        <w:t>Nat Cell Biol</w:t>
      </w:r>
      <w:r w:rsidRPr="000507BA">
        <w:rPr>
          <w:noProof/>
          <w:sz w:val="18"/>
          <w:lang w:val="en-US"/>
        </w:rPr>
        <w:t>. 2010;12(2):119-131. doi:10.1038/ncb2012</w:t>
      </w:r>
    </w:p>
    <w:p w14:paraId="25A27DE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286. </w:t>
      </w:r>
      <w:r w:rsidRPr="000507BA">
        <w:rPr>
          <w:noProof/>
          <w:sz w:val="18"/>
          <w:lang w:val="en-US"/>
        </w:rPr>
        <w:tab/>
        <w:t xml:space="preserve">Vives-Bauza C, Zhou C, Huang Y, et al. PINK1-dependent recruitment of Parkin to mitochondria in mitophagy. </w:t>
      </w:r>
      <w:r w:rsidRPr="000507BA">
        <w:rPr>
          <w:i/>
          <w:iCs/>
          <w:noProof/>
          <w:sz w:val="18"/>
          <w:lang w:val="en-US"/>
        </w:rPr>
        <w:t>Proc Natl Acad Sci U S A</w:t>
      </w:r>
      <w:r w:rsidRPr="000507BA">
        <w:rPr>
          <w:noProof/>
          <w:sz w:val="18"/>
          <w:lang w:val="en-US"/>
        </w:rPr>
        <w:t>. 2010;107(1):378-383. doi:10.1073/pnas.0911187107</w:t>
      </w:r>
    </w:p>
    <w:p w14:paraId="65C4A48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287. </w:t>
      </w:r>
      <w:r w:rsidRPr="000507BA">
        <w:rPr>
          <w:noProof/>
          <w:sz w:val="18"/>
          <w:lang w:val="en-US"/>
        </w:rPr>
        <w:tab/>
        <w:t xml:space="preserve">Valente EM, Abou-Sleiman PM, Caputo V, et al. Hereditary Early-Onset Parkinson’s Disease Caused by Mutations in PINK1. </w:t>
      </w:r>
      <w:r w:rsidRPr="000507BA">
        <w:rPr>
          <w:i/>
          <w:iCs/>
          <w:noProof/>
          <w:sz w:val="18"/>
          <w:lang w:val="en-US"/>
        </w:rPr>
        <w:t>Science (80- )</w:t>
      </w:r>
      <w:r w:rsidRPr="000507BA">
        <w:rPr>
          <w:noProof/>
          <w:sz w:val="18"/>
          <w:lang w:val="en-US"/>
        </w:rPr>
        <w:t>. 2004;304(5674):1158-1160. doi:10.1126/science.1096284</w:t>
      </w:r>
    </w:p>
    <w:p w14:paraId="43E82C2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288. </w:t>
      </w:r>
      <w:r w:rsidRPr="000507BA">
        <w:rPr>
          <w:noProof/>
          <w:sz w:val="18"/>
          <w:lang w:val="en-US"/>
        </w:rPr>
        <w:tab/>
        <w:t xml:space="preserve">van Duijn CM, Dekker MCJ, Bonifati V, et al. PARK7, a Novel Locus for Autosomal Recessive Early-Onset Parkinsonism, on Chromosome 1p36. </w:t>
      </w:r>
      <w:r w:rsidRPr="000507BA">
        <w:rPr>
          <w:i/>
          <w:iCs/>
          <w:noProof/>
          <w:sz w:val="18"/>
          <w:lang w:val="en-US"/>
        </w:rPr>
        <w:t>Am J Hum Genet</w:t>
      </w:r>
      <w:r w:rsidRPr="000507BA">
        <w:rPr>
          <w:noProof/>
          <w:sz w:val="18"/>
          <w:lang w:val="en-US"/>
        </w:rPr>
        <w:t>. 2001;69(3):629-634. doi:10.1086/322996</w:t>
      </w:r>
    </w:p>
    <w:p w14:paraId="3CF1AF1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289. </w:t>
      </w:r>
      <w:r w:rsidRPr="000507BA">
        <w:rPr>
          <w:noProof/>
          <w:sz w:val="18"/>
          <w:lang w:val="en-US"/>
        </w:rPr>
        <w:tab/>
        <w:t xml:space="preserve">Bonifati V, Rizzu P, van Baren MJ, et al. Mutations in the DJ-1 Gene Associated with Autosomal </w:t>
      </w:r>
      <w:r w:rsidRPr="000507BA">
        <w:rPr>
          <w:noProof/>
          <w:sz w:val="18"/>
          <w:lang w:val="en-US"/>
        </w:rPr>
        <w:lastRenderedPageBreak/>
        <w:t xml:space="preserve">Recessive Early-Onset Parkinsonism. </w:t>
      </w:r>
      <w:r w:rsidRPr="000507BA">
        <w:rPr>
          <w:i/>
          <w:iCs/>
          <w:noProof/>
          <w:sz w:val="18"/>
          <w:lang w:val="en-US"/>
        </w:rPr>
        <w:t>Science (80- )</w:t>
      </w:r>
      <w:r w:rsidRPr="000507BA">
        <w:rPr>
          <w:noProof/>
          <w:sz w:val="18"/>
          <w:lang w:val="en-US"/>
        </w:rPr>
        <w:t>. 2003;299(5604):256-259. doi:10.1126/science.1077209</w:t>
      </w:r>
    </w:p>
    <w:p w14:paraId="1ED74C5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290. </w:t>
      </w:r>
      <w:r w:rsidRPr="000507BA">
        <w:rPr>
          <w:noProof/>
          <w:sz w:val="18"/>
          <w:lang w:val="en-US"/>
        </w:rPr>
        <w:tab/>
        <w:t xml:space="preserve">Nuytemans K, Theuns J, Cruts M, Van Broeckhoven C. Genetic etiology of Parkinson disease associated with mutations in the SNCA, PARK2, PINK1, PARK7, and LRRK2 genes: a mutation update. </w:t>
      </w:r>
      <w:r w:rsidRPr="000507BA">
        <w:rPr>
          <w:i/>
          <w:iCs/>
          <w:noProof/>
          <w:sz w:val="18"/>
          <w:lang w:val="en-US"/>
        </w:rPr>
        <w:t>Hum Mutat</w:t>
      </w:r>
      <w:r w:rsidRPr="000507BA">
        <w:rPr>
          <w:noProof/>
          <w:sz w:val="18"/>
          <w:lang w:val="en-US"/>
        </w:rPr>
        <w:t>. 2010;31(7):763-780. doi:10.1002/humu.21277</w:t>
      </w:r>
    </w:p>
    <w:p w14:paraId="4499766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291. </w:t>
      </w:r>
      <w:r w:rsidRPr="000507BA">
        <w:rPr>
          <w:noProof/>
          <w:sz w:val="18"/>
          <w:lang w:val="en-US"/>
        </w:rPr>
        <w:tab/>
        <w:t xml:space="preserve">Kim RH, Smith PD, Aleyasin H, et al. Hypersensitivity of DJ-1-deficient mice to 1-methyl-4-phenyl-1,2,3,6-tetrahydropyrindine (MPTP) and oxidative stress. </w:t>
      </w:r>
      <w:r w:rsidRPr="000507BA">
        <w:rPr>
          <w:i/>
          <w:iCs/>
          <w:noProof/>
          <w:sz w:val="18"/>
          <w:lang w:val="en-US"/>
        </w:rPr>
        <w:t>Proc Natl Acad Sci</w:t>
      </w:r>
      <w:r w:rsidRPr="000507BA">
        <w:rPr>
          <w:noProof/>
          <w:sz w:val="18"/>
          <w:lang w:val="en-US"/>
        </w:rPr>
        <w:t>. 2005;102(14):5215-5220. doi:10.1073/pnas.0501282102</w:t>
      </w:r>
    </w:p>
    <w:p w14:paraId="4E605FD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292. </w:t>
      </w:r>
      <w:r w:rsidRPr="000507BA">
        <w:rPr>
          <w:noProof/>
          <w:sz w:val="18"/>
          <w:lang w:val="en-US"/>
        </w:rPr>
        <w:tab/>
        <w:t xml:space="preserve">Choi J, Sullards MC, Olzmann JA, et al. Oxidative damage of DJ-1 is linked to sporadic Parkinson and Alzheimer diseases. </w:t>
      </w:r>
      <w:r w:rsidRPr="000507BA">
        <w:rPr>
          <w:i/>
          <w:iCs/>
          <w:noProof/>
          <w:sz w:val="18"/>
          <w:lang w:val="en-US"/>
        </w:rPr>
        <w:t>J Biol Chem</w:t>
      </w:r>
      <w:r w:rsidRPr="000507BA">
        <w:rPr>
          <w:noProof/>
          <w:sz w:val="18"/>
          <w:lang w:val="en-US"/>
        </w:rPr>
        <w:t>. 2006;281(16):10816-10824. doi:10.1074/jbc.M509079200</w:t>
      </w:r>
    </w:p>
    <w:p w14:paraId="62491F0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293. </w:t>
      </w:r>
      <w:r w:rsidRPr="000507BA">
        <w:rPr>
          <w:noProof/>
          <w:sz w:val="18"/>
          <w:lang w:val="en-US"/>
        </w:rPr>
        <w:tab/>
        <w:t xml:space="preserve">Funayama M, Hasegawa K, Kowa H, Saito M, Tsuji S, Obata F. A new locus for Parkinson’s disease (PARK8) maps to chromosome 12p11.2-q13.1. </w:t>
      </w:r>
      <w:r w:rsidRPr="000507BA">
        <w:rPr>
          <w:i/>
          <w:iCs/>
          <w:noProof/>
          <w:sz w:val="18"/>
          <w:lang w:val="en-US"/>
        </w:rPr>
        <w:t>Ann Neurol</w:t>
      </w:r>
      <w:r w:rsidRPr="000507BA">
        <w:rPr>
          <w:noProof/>
          <w:sz w:val="18"/>
          <w:lang w:val="en-US"/>
        </w:rPr>
        <w:t>. 2002;51(3):296-301. http://www.ncbi.nlm.nih.gov/pubmed/11891824. Accessed October 23, 2018.</w:t>
      </w:r>
    </w:p>
    <w:p w14:paraId="2A37652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294. </w:t>
      </w:r>
      <w:r w:rsidRPr="000507BA">
        <w:rPr>
          <w:noProof/>
          <w:sz w:val="18"/>
          <w:lang w:val="en-US"/>
        </w:rPr>
        <w:tab/>
        <w:t xml:space="preserve">Paisán-Ruı́z C, Jain S, Evans EW, et al. Cloning of the Gene Containing Mutations that Cause PARK8-Linked Parkinson’s Disease. </w:t>
      </w:r>
      <w:r w:rsidRPr="000507BA">
        <w:rPr>
          <w:i/>
          <w:iCs/>
          <w:noProof/>
          <w:sz w:val="18"/>
          <w:lang w:val="en-US"/>
        </w:rPr>
        <w:t>Neuron</w:t>
      </w:r>
      <w:r w:rsidRPr="000507BA">
        <w:rPr>
          <w:noProof/>
          <w:sz w:val="18"/>
          <w:lang w:val="en-US"/>
        </w:rPr>
        <w:t>. 2004;44(4):595-600. doi:10.1016/j.neuron.2004.10.023</w:t>
      </w:r>
    </w:p>
    <w:p w14:paraId="2A3018F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295. </w:t>
      </w:r>
      <w:r w:rsidRPr="000507BA">
        <w:rPr>
          <w:noProof/>
          <w:sz w:val="18"/>
          <w:lang w:val="en-US"/>
        </w:rPr>
        <w:tab/>
        <w:t xml:space="preserve">Zimprich A, Biskup S, Leitner P, et al. Mutations in LRRK2 Cause Autosomal-Dominant Parkinsonism with Pleomorphic Pathology. </w:t>
      </w:r>
      <w:r w:rsidRPr="000507BA">
        <w:rPr>
          <w:i/>
          <w:iCs/>
          <w:noProof/>
          <w:sz w:val="18"/>
          <w:lang w:val="en-US"/>
        </w:rPr>
        <w:t>Neuron</w:t>
      </w:r>
      <w:r w:rsidRPr="000507BA">
        <w:rPr>
          <w:noProof/>
          <w:sz w:val="18"/>
          <w:lang w:val="en-US"/>
        </w:rPr>
        <w:t>. 2004;44(4):601-607. doi:10.1016/j.neuron.2004.11.005</w:t>
      </w:r>
    </w:p>
    <w:p w14:paraId="123B152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296. </w:t>
      </w:r>
      <w:r w:rsidRPr="000507BA">
        <w:rPr>
          <w:noProof/>
          <w:sz w:val="18"/>
          <w:lang w:val="en-US"/>
        </w:rPr>
        <w:tab/>
        <w:t xml:space="preserve">Healy DG, Falchi M, O’Sullivan SS, et al. Phenotype, genotype, and worldwide genetic penetrance of LRRK2-associated Parkinson’s disease: a case-control study. </w:t>
      </w:r>
      <w:r w:rsidRPr="000507BA">
        <w:rPr>
          <w:i/>
          <w:iCs/>
          <w:noProof/>
          <w:sz w:val="18"/>
          <w:lang w:val="en-US"/>
        </w:rPr>
        <w:t>Lancet Neurol</w:t>
      </w:r>
      <w:r w:rsidRPr="000507BA">
        <w:rPr>
          <w:noProof/>
          <w:sz w:val="18"/>
          <w:lang w:val="en-US"/>
        </w:rPr>
        <w:t>. 2008;7(7):583-590. doi:10.1016/S1474-4422(08)70117-0</w:t>
      </w:r>
    </w:p>
    <w:p w14:paraId="7FA8177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297. </w:t>
      </w:r>
      <w:r w:rsidRPr="000507BA">
        <w:rPr>
          <w:noProof/>
          <w:sz w:val="18"/>
          <w:lang w:val="en-US"/>
        </w:rPr>
        <w:tab/>
        <w:t xml:space="preserve">Biskup S, Moore DJ, Celsi F, et al. Localization of LRRK2 to membranous and vesicular structures in mammalian brain. </w:t>
      </w:r>
      <w:r w:rsidRPr="000507BA">
        <w:rPr>
          <w:i/>
          <w:iCs/>
          <w:noProof/>
          <w:sz w:val="18"/>
          <w:lang w:val="en-US"/>
        </w:rPr>
        <w:t>Ann Neurol</w:t>
      </w:r>
      <w:r w:rsidRPr="000507BA">
        <w:rPr>
          <w:noProof/>
          <w:sz w:val="18"/>
          <w:lang w:val="en-US"/>
        </w:rPr>
        <w:t>. 2006;60(5):557-569. doi:10.1002/ana.21019</w:t>
      </w:r>
    </w:p>
    <w:p w14:paraId="6E99324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298. </w:t>
      </w:r>
      <w:r w:rsidRPr="000507BA">
        <w:rPr>
          <w:noProof/>
          <w:sz w:val="18"/>
          <w:lang w:val="en-US"/>
        </w:rPr>
        <w:tab/>
        <w:t xml:space="preserve">Kuo J-C, Lin J-R, Staddon JM, Hosoya H, Chen R-H. Uncoordinated regulation of stress fibers and focal adhesions by DAP kinase. </w:t>
      </w:r>
      <w:r w:rsidRPr="000507BA">
        <w:rPr>
          <w:i/>
          <w:iCs/>
          <w:noProof/>
          <w:sz w:val="18"/>
          <w:lang w:val="en-US"/>
        </w:rPr>
        <w:t>J Cell Sci</w:t>
      </w:r>
      <w:r w:rsidRPr="000507BA">
        <w:rPr>
          <w:noProof/>
          <w:sz w:val="18"/>
          <w:lang w:val="en-US"/>
        </w:rPr>
        <w:t>. 2003;116(23):4777-4790. doi:10.1242/jcs.00794</w:t>
      </w:r>
    </w:p>
    <w:p w14:paraId="062BC0C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299. </w:t>
      </w:r>
      <w:r w:rsidRPr="000507BA">
        <w:rPr>
          <w:noProof/>
          <w:sz w:val="18"/>
          <w:lang w:val="en-US"/>
        </w:rPr>
        <w:tab/>
        <w:t xml:space="preserve">Kuo J-C, Wang W-J, Yao C-C, Wu P-R, Chen R-H. The tumor suppressor DAPK inhibits cell motility by blocking the integrin-mediated polarity pathway. </w:t>
      </w:r>
      <w:r w:rsidRPr="000507BA">
        <w:rPr>
          <w:i/>
          <w:iCs/>
          <w:noProof/>
          <w:sz w:val="18"/>
          <w:lang w:val="en-US"/>
        </w:rPr>
        <w:t>J Cell Biol</w:t>
      </w:r>
      <w:r w:rsidRPr="000507BA">
        <w:rPr>
          <w:noProof/>
          <w:sz w:val="18"/>
          <w:lang w:val="en-US"/>
        </w:rPr>
        <w:t>. 2006;172(4):619-631. doi:10.1083/jcb.200505138</w:t>
      </w:r>
    </w:p>
    <w:p w14:paraId="578EDE5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300. </w:t>
      </w:r>
      <w:r w:rsidRPr="000507BA">
        <w:rPr>
          <w:noProof/>
          <w:sz w:val="18"/>
          <w:lang w:val="en-US"/>
        </w:rPr>
        <w:tab/>
        <w:t xml:space="preserve">Chuang Y-T, Fang L-W, Lin-Feng M-H, Chen R-H, Lai M-Z. The tumor suppressor death-associated protein kinase targets to TCR-stimulated NF-kappa B activation. </w:t>
      </w:r>
      <w:r w:rsidRPr="000507BA">
        <w:rPr>
          <w:i/>
          <w:iCs/>
          <w:noProof/>
          <w:sz w:val="18"/>
          <w:lang w:val="en-US"/>
        </w:rPr>
        <w:t>J Immunol</w:t>
      </w:r>
      <w:r w:rsidRPr="000507BA">
        <w:rPr>
          <w:noProof/>
          <w:sz w:val="18"/>
          <w:lang w:val="en-US"/>
        </w:rPr>
        <w:t>. 2008;180(5):3238-3249. http://www.ncbi.nlm.nih.gov/pubmed/18292548. Accessed October 23, 2018.</w:t>
      </w:r>
    </w:p>
    <w:p w14:paraId="1EF59AB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301. </w:t>
      </w:r>
      <w:r w:rsidRPr="000507BA">
        <w:rPr>
          <w:noProof/>
          <w:sz w:val="18"/>
          <w:lang w:val="en-US"/>
        </w:rPr>
        <w:tab/>
        <w:t xml:space="preserve">Bialik S, Kimchi A. Lethal weapons: DAP-kinase, autophagy and cell death. </w:t>
      </w:r>
      <w:r w:rsidRPr="000507BA">
        <w:rPr>
          <w:i/>
          <w:iCs/>
          <w:noProof/>
          <w:sz w:val="18"/>
          <w:lang w:val="en-US"/>
        </w:rPr>
        <w:t>Curr Opin Cell Biol</w:t>
      </w:r>
      <w:r w:rsidRPr="000507BA">
        <w:rPr>
          <w:noProof/>
          <w:sz w:val="18"/>
          <w:lang w:val="en-US"/>
        </w:rPr>
        <w:t>. 2010;22(2):199-205. doi:10.1016/j.ceb.2009.11.004</w:t>
      </w:r>
    </w:p>
    <w:p w14:paraId="4F3CF46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302. </w:t>
      </w:r>
      <w:r w:rsidRPr="000507BA">
        <w:rPr>
          <w:noProof/>
          <w:sz w:val="18"/>
          <w:lang w:val="en-US"/>
        </w:rPr>
        <w:tab/>
        <w:t xml:space="preserve">Xu Z, Maroney AC, Dobrzanski P, Kukekov N V., Greene LA. The MLK Family Mediates c-Jun N-Terminal Kinase Activation in Neuronal Apoptosis. </w:t>
      </w:r>
      <w:r w:rsidRPr="000507BA">
        <w:rPr>
          <w:i/>
          <w:iCs/>
          <w:noProof/>
          <w:sz w:val="18"/>
          <w:lang w:val="en-US"/>
        </w:rPr>
        <w:t>Mol Cell Biol</w:t>
      </w:r>
      <w:r w:rsidRPr="000507BA">
        <w:rPr>
          <w:noProof/>
          <w:sz w:val="18"/>
          <w:lang w:val="en-US"/>
        </w:rPr>
        <w:t>. 2001;21(14):4713-4724. doi:10.1128/MCB.21.14.4713-4724.2001</w:t>
      </w:r>
    </w:p>
    <w:p w14:paraId="707A28A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303. </w:t>
      </w:r>
      <w:r w:rsidRPr="000507BA">
        <w:rPr>
          <w:noProof/>
          <w:sz w:val="18"/>
          <w:lang w:val="en-US"/>
        </w:rPr>
        <w:tab/>
        <w:t xml:space="preserve">Zhang D, Lin J, Han J. Receptor-interacting protein (RIP) kinase family. </w:t>
      </w:r>
      <w:r w:rsidRPr="000507BA">
        <w:rPr>
          <w:i/>
          <w:iCs/>
          <w:noProof/>
          <w:sz w:val="18"/>
          <w:lang w:val="en-US"/>
        </w:rPr>
        <w:t>Cell Mol Immunol</w:t>
      </w:r>
      <w:r w:rsidRPr="000507BA">
        <w:rPr>
          <w:noProof/>
          <w:sz w:val="18"/>
          <w:lang w:val="en-US"/>
        </w:rPr>
        <w:t>. 2010;7(4):243-249. doi:10.1038/cmi.2010.10</w:t>
      </w:r>
    </w:p>
    <w:p w14:paraId="19758E5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304. </w:t>
      </w:r>
      <w:r w:rsidRPr="000507BA">
        <w:rPr>
          <w:noProof/>
          <w:sz w:val="18"/>
          <w:lang w:val="en-US"/>
        </w:rPr>
        <w:tab/>
        <w:t xml:space="preserve">Dzamko N, Inesta-Vaquera F, Zhang J, et al. The IkappaB Kinase Family Phosphorylates the Parkinson’s Disease Kinase LRRK2 at Ser935 and Ser910 during Toll-Like Receptor Signaling. Dawson TM, ed. </w:t>
      </w:r>
      <w:r w:rsidRPr="000507BA">
        <w:rPr>
          <w:i/>
          <w:iCs/>
          <w:noProof/>
          <w:sz w:val="18"/>
          <w:lang w:val="en-US"/>
        </w:rPr>
        <w:t>PLoS One</w:t>
      </w:r>
      <w:r w:rsidRPr="000507BA">
        <w:rPr>
          <w:noProof/>
          <w:sz w:val="18"/>
          <w:lang w:val="en-US"/>
        </w:rPr>
        <w:t>. 2012;7(6):e39132. doi:10.1371/journal.pone.0039132</w:t>
      </w:r>
    </w:p>
    <w:p w14:paraId="4DE18D9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305. </w:t>
      </w:r>
      <w:r w:rsidRPr="000507BA">
        <w:rPr>
          <w:noProof/>
          <w:sz w:val="18"/>
          <w:lang w:val="en-US"/>
        </w:rPr>
        <w:tab/>
        <w:t xml:space="preserve">Gardet A, Benita Y, Li C, et al. LRRK2 Is Involved in the IFN-  Response and Host Response to Pathogens. </w:t>
      </w:r>
      <w:r w:rsidRPr="000507BA">
        <w:rPr>
          <w:i/>
          <w:iCs/>
          <w:noProof/>
          <w:sz w:val="18"/>
          <w:lang w:val="en-US"/>
        </w:rPr>
        <w:t>J Immunol</w:t>
      </w:r>
      <w:r w:rsidRPr="000507BA">
        <w:rPr>
          <w:noProof/>
          <w:sz w:val="18"/>
          <w:lang w:val="en-US"/>
        </w:rPr>
        <w:t>. 2010;185(9):5577-5585. doi:10.4049/jimmunol.1000548</w:t>
      </w:r>
    </w:p>
    <w:p w14:paraId="6100F33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306. </w:t>
      </w:r>
      <w:r w:rsidRPr="000507BA">
        <w:rPr>
          <w:noProof/>
          <w:sz w:val="18"/>
          <w:lang w:val="en-US"/>
        </w:rPr>
        <w:tab/>
        <w:t xml:space="preserve">Sánchez-Danés A, Richaud-Patin Y, Carballo-Carbajal I, et al. Disease-specific phenotypes in dopamine neurons from human iPS-based models of genetic and sporadic Parkinson’s disease. </w:t>
      </w:r>
      <w:r w:rsidRPr="000507BA">
        <w:rPr>
          <w:i/>
          <w:iCs/>
          <w:noProof/>
          <w:sz w:val="18"/>
          <w:lang w:val="en-US"/>
        </w:rPr>
        <w:lastRenderedPageBreak/>
        <w:t>EMBO Mol Med</w:t>
      </w:r>
      <w:r w:rsidRPr="000507BA">
        <w:rPr>
          <w:noProof/>
          <w:sz w:val="18"/>
          <w:lang w:val="en-US"/>
        </w:rPr>
        <w:t>. 2012;4(5):380-395. doi:10.1002/emmm.201200215</w:t>
      </w:r>
    </w:p>
    <w:p w14:paraId="7C7EF19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307. </w:t>
      </w:r>
      <w:r w:rsidRPr="000507BA">
        <w:rPr>
          <w:noProof/>
          <w:sz w:val="18"/>
          <w:lang w:val="en-US"/>
        </w:rPr>
        <w:tab/>
        <w:t xml:space="preserve">Hockey LN, Kilpatrick BS, Eden ER, et al. Dysregulation of lysosomal morphology by pathogenic LRRK2 is corrected by TPC2 inhibition. </w:t>
      </w:r>
      <w:r w:rsidRPr="000507BA">
        <w:rPr>
          <w:i/>
          <w:iCs/>
          <w:noProof/>
          <w:sz w:val="18"/>
          <w:lang w:val="en-US"/>
        </w:rPr>
        <w:t>J Cell Sci</w:t>
      </w:r>
      <w:r w:rsidRPr="000507BA">
        <w:rPr>
          <w:noProof/>
          <w:sz w:val="18"/>
          <w:lang w:val="en-US"/>
        </w:rPr>
        <w:t>. 2015;128(2):232-238. doi:10.1242/jcs.164152</w:t>
      </w:r>
    </w:p>
    <w:p w14:paraId="2D066C8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308. </w:t>
      </w:r>
      <w:r w:rsidRPr="000507BA">
        <w:rPr>
          <w:noProof/>
          <w:sz w:val="18"/>
          <w:lang w:val="en-US"/>
        </w:rPr>
        <w:tab/>
        <w:t xml:space="preserve">Thaler A, Ash E, Gan-Or Z, Orr-Urtreger A, Giladi N. The LRRK2 G2019S mutation as the cause of Parkinson’s disease in Ashkenazi Jews. </w:t>
      </w:r>
      <w:r w:rsidRPr="000507BA">
        <w:rPr>
          <w:i/>
          <w:iCs/>
          <w:noProof/>
          <w:sz w:val="18"/>
          <w:lang w:val="en-US"/>
        </w:rPr>
        <w:t>J Neural Transm</w:t>
      </w:r>
      <w:r w:rsidRPr="000507BA">
        <w:rPr>
          <w:noProof/>
          <w:sz w:val="18"/>
          <w:lang w:val="en-US"/>
        </w:rPr>
        <w:t>. 2009;116(11):1473-1482. doi:10.1007/s00702-009-0303-0</w:t>
      </w:r>
    </w:p>
    <w:p w14:paraId="6A7DF52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309. </w:t>
      </w:r>
      <w:r w:rsidRPr="000507BA">
        <w:rPr>
          <w:noProof/>
          <w:sz w:val="18"/>
          <w:lang w:val="en-US"/>
        </w:rPr>
        <w:tab/>
        <w:t xml:space="preserve">Najim al-Din AS, Wriekat A, Mubaidin A, Dasouki M, Hiari M. Pallido-pyramidal degeneration, supranuclear upgaze paresis and dementia: Kufor-Rakeb syndrome. </w:t>
      </w:r>
      <w:r w:rsidRPr="000507BA">
        <w:rPr>
          <w:i/>
          <w:iCs/>
          <w:noProof/>
          <w:sz w:val="18"/>
          <w:lang w:val="en-US"/>
        </w:rPr>
        <w:t>Acta Neurol Scand</w:t>
      </w:r>
      <w:r w:rsidRPr="000507BA">
        <w:rPr>
          <w:noProof/>
          <w:sz w:val="18"/>
          <w:lang w:val="en-US"/>
        </w:rPr>
        <w:t>. 1994;89(5):347-352. http://www.ncbi.nlm.nih.gov/pubmed/8085432. Accessed October 23, 2018.</w:t>
      </w:r>
    </w:p>
    <w:p w14:paraId="7D335E1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310. </w:t>
      </w:r>
      <w:r w:rsidRPr="000507BA">
        <w:rPr>
          <w:noProof/>
          <w:sz w:val="18"/>
          <w:lang w:val="en-US"/>
        </w:rPr>
        <w:tab/>
        <w:t xml:space="preserve">Ramirez A, Heimbach A, Gründemann J, et al. Hereditary parkinsonism with dementia is caused by mutations in ATP13A2, encoding a lysosomal type 5 P-type ATPase. </w:t>
      </w:r>
      <w:r w:rsidRPr="000507BA">
        <w:rPr>
          <w:i/>
          <w:iCs/>
          <w:noProof/>
          <w:sz w:val="18"/>
          <w:lang w:val="en-US"/>
        </w:rPr>
        <w:t>Nat Genet</w:t>
      </w:r>
      <w:r w:rsidRPr="000507BA">
        <w:rPr>
          <w:noProof/>
          <w:sz w:val="18"/>
          <w:lang w:val="en-US"/>
        </w:rPr>
        <w:t>. 2006;38(10):1184-1191. doi:10.1038/ng1884</w:t>
      </w:r>
    </w:p>
    <w:p w14:paraId="36AC9E2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311. </w:t>
      </w:r>
      <w:r w:rsidRPr="000507BA">
        <w:rPr>
          <w:noProof/>
          <w:sz w:val="18"/>
          <w:lang w:val="en-US"/>
        </w:rPr>
        <w:tab/>
        <w:t xml:space="preserve">Park J-S, Blair NF, Sue CM. The role of ATP13A2 in Parkinson’s disease: Clinical phenotypes and molecular mechanisms. </w:t>
      </w:r>
      <w:r w:rsidRPr="000507BA">
        <w:rPr>
          <w:i/>
          <w:iCs/>
          <w:noProof/>
          <w:sz w:val="18"/>
          <w:lang w:val="en-US"/>
        </w:rPr>
        <w:t>Mov Disord</w:t>
      </w:r>
      <w:r w:rsidRPr="000507BA">
        <w:rPr>
          <w:noProof/>
          <w:sz w:val="18"/>
          <w:lang w:val="en-US"/>
        </w:rPr>
        <w:t>. 2015;30(6):770-779. doi:10.1002/mds.26243</w:t>
      </w:r>
    </w:p>
    <w:p w14:paraId="173BE7E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312. </w:t>
      </w:r>
      <w:r w:rsidRPr="000507BA">
        <w:rPr>
          <w:noProof/>
          <w:sz w:val="18"/>
          <w:lang w:val="en-US"/>
        </w:rPr>
        <w:tab/>
        <w:t xml:space="preserve">Dehay B, Ramirez A, Martinez-Vicente M, et al. Loss of P-type ATPase ATP13A2/PARK9 function induces general lysosomal deficiency and leads to Parkinson disease neurodegeneration. </w:t>
      </w:r>
      <w:r w:rsidRPr="000507BA">
        <w:rPr>
          <w:i/>
          <w:iCs/>
          <w:noProof/>
          <w:sz w:val="18"/>
          <w:lang w:val="en-US"/>
        </w:rPr>
        <w:t>Proc Natl Acad Sci</w:t>
      </w:r>
      <w:r w:rsidRPr="000507BA">
        <w:rPr>
          <w:noProof/>
          <w:sz w:val="18"/>
          <w:lang w:val="en-US"/>
        </w:rPr>
        <w:t>. 2012;109(24):9611-9616. doi:10.1073/pnas.1112368109</w:t>
      </w:r>
    </w:p>
    <w:p w14:paraId="703C696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313. </w:t>
      </w:r>
      <w:r w:rsidRPr="000507BA">
        <w:rPr>
          <w:noProof/>
          <w:sz w:val="18"/>
          <w:lang w:val="en-US"/>
        </w:rPr>
        <w:tab/>
        <w:t xml:space="preserve">Usenovic M, Tresse E, Mazzulli JR, Taylor JP, Krainc D. Deficiency of ATP13A2 Leads to Lysosomal Dysfunction,  -Synuclein Accumulation, and Neurotoxicity. </w:t>
      </w:r>
      <w:r w:rsidRPr="000507BA">
        <w:rPr>
          <w:i/>
          <w:iCs/>
          <w:noProof/>
          <w:sz w:val="18"/>
          <w:lang w:val="en-US"/>
        </w:rPr>
        <w:t>J Neurosci</w:t>
      </w:r>
      <w:r w:rsidRPr="000507BA">
        <w:rPr>
          <w:noProof/>
          <w:sz w:val="18"/>
          <w:lang w:val="en-US"/>
        </w:rPr>
        <w:t>. 2012;32(12):4240-4246. doi:10.1523/JNEUROSCI.5575-11.2012</w:t>
      </w:r>
    </w:p>
    <w:p w14:paraId="58A552A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314. </w:t>
      </w:r>
      <w:r w:rsidRPr="000507BA">
        <w:rPr>
          <w:noProof/>
          <w:sz w:val="18"/>
          <w:lang w:val="en-US"/>
        </w:rPr>
        <w:tab/>
        <w:t xml:space="preserve">Zimprich A, Benet-Pagès A, Struhal W, et al. A Mutation in VPS35, Encoding a Subunit of the Retromer Complex, Causes Late-Onset Parkinson Disease. </w:t>
      </w:r>
      <w:r w:rsidRPr="000507BA">
        <w:rPr>
          <w:i/>
          <w:iCs/>
          <w:noProof/>
          <w:sz w:val="18"/>
          <w:lang w:val="en-US"/>
        </w:rPr>
        <w:t>Am J Hum Genet</w:t>
      </w:r>
      <w:r w:rsidRPr="000507BA">
        <w:rPr>
          <w:noProof/>
          <w:sz w:val="18"/>
          <w:lang w:val="en-US"/>
        </w:rPr>
        <w:t>. 2011;89(1):168-175. http://www.ncbi.nlm.nih.gov/pubmed/21763483. Accessed October 23, 2018.</w:t>
      </w:r>
    </w:p>
    <w:p w14:paraId="5960218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315. </w:t>
      </w:r>
      <w:r w:rsidRPr="000507BA">
        <w:rPr>
          <w:noProof/>
          <w:sz w:val="18"/>
          <w:lang w:val="en-US"/>
        </w:rPr>
        <w:tab/>
        <w:t xml:space="preserve">Vilariño-Güell C, Wider C, Ross OA, et al. VPS35 Mutations in Parkinson Disease. </w:t>
      </w:r>
      <w:r w:rsidRPr="000507BA">
        <w:rPr>
          <w:i/>
          <w:iCs/>
          <w:noProof/>
          <w:sz w:val="18"/>
          <w:lang w:val="en-US"/>
        </w:rPr>
        <w:t>Am J Hum Genet</w:t>
      </w:r>
      <w:r w:rsidRPr="000507BA">
        <w:rPr>
          <w:noProof/>
          <w:sz w:val="18"/>
          <w:lang w:val="en-US"/>
        </w:rPr>
        <w:t>. 2011;89(1):162-167. doi:10.1016/J.AJHG.2011.06.001</w:t>
      </w:r>
    </w:p>
    <w:p w14:paraId="57F37B4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316. </w:t>
      </w:r>
      <w:r w:rsidRPr="000507BA">
        <w:rPr>
          <w:noProof/>
          <w:sz w:val="18"/>
          <w:lang w:val="en-US"/>
        </w:rPr>
        <w:tab/>
        <w:t xml:space="preserve">Bonifacino JS, Hurley JH. Retromer. </w:t>
      </w:r>
      <w:r w:rsidRPr="000507BA">
        <w:rPr>
          <w:i/>
          <w:iCs/>
          <w:noProof/>
          <w:sz w:val="18"/>
          <w:lang w:val="en-US"/>
        </w:rPr>
        <w:t>Curr Opin Cell Biol</w:t>
      </w:r>
      <w:r w:rsidRPr="000507BA">
        <w:rPr>
          <w:noProof/>
          <w:sz w:val="18"/>
          <w:lang w:val="en-US"/>
        </w:rPr>
        <w:t>. 2008;20(4):427-436. doi:10.1016/j.ceb.2008.03.009</w:t>
      </w:r>
    </w:p>
    <w:p w14:paraId="32CE46D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317. </w:t>
      </w:r>
      <w:r w:rsidRPr="000507BA">
        <w:rPr>
          <w:noProof/>
          <w:sz w:val="18"/>
          <w:lang w:val="en-US"/>
        </w:rPr>
        <w:tab/>
        <w:t xml:space="preserve">Miura E, Hasegawa T, Konno M, et al. VPS35 dysfunction impairs lysosomal degradation of α-synuclein and exacerbates neurotoxicity in a Drosophila model of Parkinson’s disease. </w:t>
      </w:r>
      <w:r w:rsidRPr="000507BA">
        <w:rPr>
          <w:i/>
          <w:iCs/>
          <w:noProof/>
          <w:sz w:val="18"/>
          <w:lang w:val="en-US"/>
        </w:rPr>
        <w:t>Neurobiol Dis</w:t>
      </w:r>
      <w:r w:rsidRPr="000507BA">
        <w:rPr>
          <w:noProof/>
          <w:sz w:val="18"/>
          <w:lang w:val="en-US"/>
        </w:rPr>
        <w:t>. 2014;71:1-13. doi:10.1016/j.nbd.2014.07.014</w:t>
      </w:r>
    </w:p>
    <w:p w14:paraId="2E7F6D7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318. </w:t>
      </w:r>
      <w:r w:rsidRPr="000507BA">
        <w:rPr>
          <w:noProof/>
          <w:sz w:val="18"/>
          <w:lang w:val="en-US"/>
        </w:rPr>
        <w:tab/>
        <w:t xml:space="preserve">Tsika E, Glauser L, Moser R, et al. Parkinson’s disease-linked mutations in VPS35 induce dopaminergic neurodegeneration. </w:t>
      </w:r>
      <w:r w:rsidRPr="000507BA">
        <w:rPr>
          <w:i/>
          <w:iCs/>
          <w:noProof/>
          <w:sz w:val="18"/>
          <w:lang w:val="en-US"/>
        </w:rPr>
        <w:t>Hum Mol Genet</w:t>
      </w:r>
      <w:r w:rsidRPr="000507BA">
        <w:rPr>
          <w:noProof/>
          <w:sz w:val="18"/>
          <w:lang w:val="en-US"/>
        </w:rPr>
        <w:t>. 2014;23(17):4621-4638. doi:10.1093/hmg/ddu178</w:t>
      </w:r>
    </w:p>
    <w:p w14:paraId="6997F24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319. </w:t>
      </w:r>
      <w:r w:rsidRPr="000507BA">
        <w:rPr>
          <w:noProof/>
          <w:sz w:val="18"/>
          <w:lang w:val="en-US"/>
        </w:rPr>
        <w:tab/>
        <w:t xml:space="preserve">Yi Fong C, Rolfs A, Schwarzbraun T, Klein C, O FJ. Case study Juvenile parkinsonism associated with heterozygous frameshift ATP13A2 gene mutation. </w:t>
      </w:r>
      <w:r w:rsidRPr="000507BA">
        <w:rPr>
          <w:i/>
          <w:iCs/>
          <w:noProof/>
          <w:sz w:val="18"/>
          <w:lang w:val="en-US"/>
        </w:rPr>
        <w:t>Eur J Paediatr Neurol</w:t>
      </w:r>
      <w:r w:rsidRPr="000507BA">
        <w:rPr>
          <w:noProof/>
          <w:sz w:val="18"/>
          <w:lang w:val="en-US"/>
        </w:rPr>
        <w:t>. 2011. doi:10.1016/j.ejpn.2011.01.001</w:t>
      </w:r>
    </w:p>
    <w:p w14:paraId="0537866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320. </w:t>
      </w:r>
      <w:r w:rsidRPr="000507BA">
        <w:rPr>
          <w:noProof/>
          <w:sz w:val="18"/>
          <w:lang w:val="en-US"/>
        </w:rPr>
        <w:tab/>
        <w:t xml:space="preserve">Chien HF, Figueiredo TR, Hollaender MA, et al. Frequency of the LRRK2 G2019S mutation in late-onset sporadic patients with Parkinson’s disease. </w:t>
      </w:r>
      <w:r w:rsidRPr="000507BA">
        <w:rPr>
          <w:i/>
          <w:iCs/>
          <w:noProof/>
          <w:sz w:val="18"/>
          <w:lang w:val="en-US"/>
        </w:rPr>
        <w:t>Arq Neuropsiquiatr</w:t>
      </w:r>
      <w:r w:rsidRPr="000507BA">
        <w:rPr>
          <w:noProof/>
          <w:sz w:val="18"/>
          <w:lang w:val="en-US"/>
        </w:rPr>
        <w:t>. 2014;72(5):356-359. http://www.ncbi.nlm.nih.gov/pubmed/24863511. Accessed October 23, 2018.</w:t>
      </w:r>
    </w:p>
    <w:p w14:paraId="3E2B349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321. </w:t>
      </w:r>
      <w:r w:rsidRPr="000507BA">
        <w:rPr>
          <w:noProof/>
          <w:sz w:val="18"/>
          <w:lang w:val="en-US"/>
        </w:rPr>
        <w:tab/>
        <w:t xml:space="preserve">Gelmetti V, Ferraris A, Brusa L, et al. Late onset sporadic Parkinson’s disease caused by </w:t>
      </w:r>
      <w:r w:rsidRPr="000507BA">
        <w:rPr>
          <w:i/>
          <w:iCs/>
          <w:noProof/>
          <w:sz w:val="18"/>
          <w:lang w:val="en-US"/>
        </w:rPr>
        <w:t>PINK1</w:t>
      </w:r>
      <w:r w:rsidRPr="000507BA">
        <w:rPr>
          <w:noProof/>
          <w:sz w:val="18"/>
          <w:lang w:val="en-US"/>
        </w:rPr>
        <w:t xml:space="preserve"> mutations: Clinical and functional study. </w:t>
      </w:r>
      <w:r w:rsidRPr="000507BA">
        <w:rPr>
          <w:i/>
          <w:iCs/>
          <w:noProof/>
          <w:sz w:val="18"/>
          <w:lang w:val="en-US"/>
        </w:rPr>
        <w:t>Mov Disord</w:t>
      </w:r>
      <w:r w:rsidRPr="000507BA">
        <w:rPr>
          <w:noProof/>
          <w:sz w:val="18"/>
          <w:lang w:val="en-US"/>
        </w:rPr>
        <w:t>. 2008;23(6):881-885. doi:10.1002/mds.21960</w:t>
      </w:r>
    </w:p>
    <w:p w14:paraId="1A8D80A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322. </w:t>
      </w:r>
      <w:r w:rsidRPr="000507BA">
        <w:rPr>
          <w:noProof/>
          <w:sz w:val="18"/>
          <w:lang w:val="en-US"/>
        </w:rPr>
        <w:tab/>
        <w:t xml:space="preserve">Leutenegger A-L, Salih MAM, Ibáñez P, et al. Juvenile-Onset Parkinsonism as a Result of the First Mutation in the Adenosine Triphosphate Orientation Domain of PINK1. </w:t>
      </w:r>
      <w:r w:rsidRPr="000507BA">
        <w:rPr>
          <w:i/>
          <w:iCs/>
          <w:noProof/>
          <w:sz w:val="18"/>
          <w:lang w:val="en-US"/>
        </w:rPr>
        <w:t>Arch Neurol</w:t>
      </w:r>
      <w:r w:rsidRPr="000507BA">
        <w:rPr>
          <w:noProof/>
          <w:sz w:val="18"/>
          <w:lang w:val="en-US"/>
        </w:rPr>
        <w:t>. 2006;63(9):1257. doi:10.1001/archneur.63.9.1257</w:t>
      </w:r>
    </w:p>
    <w:p w14:paraId="418CC9C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323. </w:t>
      </w:r>
      <w:r w:rsidRPr="000507BA">
        <w:rPr>
          <w:noProof/>
          <w:sz w:val="18"/>
          <w:lang w:val="en-US"/>
        </w:rPr>
        <w:tab/>
        <w:t xml:space="preserve">Oliveira SA, Scott WK, Martin ER, et al. Parkin mutations and susceptibility alleles in late-onset Parkinson’s disease. </w:t>
      </w:r>
      <w:r w:rsidRPr="000507BA">
        <w:rPr>
          <w:i/>
          <w:iCs/>
          <w:noProof/>
          <w:sz w:val="18"/>
          <w:lang w:val="en-US"/>
        </w:rPr>
        <w:t>Ann Neurol</w:t>
      </w:r>
      <w:r w:rsidRPr="000507BA">
        <w:rPr>
          <w:noProof/>
          <w:sz w:val="18"/>
          <w:lang w:val="en-US"/>
        </w:rPr>
        <w:t>. 2003;53(5):624-629. doi:10.1002/ana.10524</w:t>
      </w:r>
    </w:p>
    <w:p w14:paraId="5124B11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324. </w:t>
      </w:r>
      <w:r w:rsidRPr="000507BA">
        <w:rPr>
          <w:noProof/>
          <w:sz w:val="18"/>
          <w:lang w:val="en-US"/>
        </w:rPr>
        <w:tab/>
        <w:t xml:space="preserve">Abdullah R, Basak I, Patil KS, Alves G, Larsen JP, Møller SG. Parkinson’s disease and age: The </w:t>
      </w:r>
      <w:r w:rsidRPr="000507BA">
        <w:rPr>
          <w:noProof/>
          <w:sz w:val="18"/>
          <w:lang w:val="en-US"/>
        </w:rPr>
        <w:lastRenderedPageBreak/>
        <w:t xml:space="preserve">obvious but largely unexplored link. </w:t>
      </w:r>
      <w:r w:rsidRPr="000507BA">
        <w:rPr>
          <w:i/>
          <w:iCs/>
          <w:noProof/>
          <w:sz w:val="18"/>
          <w:lang w:val="en-US"/>
        </w:rPr>
        <w:t>Exp Gerontol</w:t>
      </w:r>
      <w:r w:rsidRPr="000507BA">
        <w:rPr>
          <w:noProof/>
          <w:sz w:val="18"/>
          <w:lang w:val="en-US"/>
        </w:rPr>
        <w:t>. 2015;68:33-38. doi:10.1016/J.EXGER.2014.09.014</w:t>
      </w:r>
    </w:p>
    <w:p w14:paraId="07AB10E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325. </w:t>
      </w:r>
      <w:r w:rsidRPr="000507BA">
        <w:rPr>
          <w:noProof/>
          <w:sz w:val="18"/>
          <w:lang w:val="en-US"/>
        </w:rPr>
        <w:tab/>
        <w:t xml:space="preserve">Aasly JO, Toft M, Fernandez-Mata I, et al. Clinical features of LRRK2-associated Parkinson’s disease in central Norway. </w:t>
      </w:r>
      <w:r w:rsidRPr="000507BA">
        <w:rPr>
          <w:i/>
          <w:iCs/>
          <w:noProof/>
          <w:sz w:val="18"/>
          <w:lang w:val="en-US"/>
        </w:rPr>
        <w:t>Ann Neurol</w:t>
      </w:r>
      <w:r w:rsidRPr="000507BA">
        <w:rPr>
          <w:noProof/>
          <w:sz w:val="18"/>
          <w:lang w:val="en-US"/>
        </w:rPr>
        <w:t>. 2005;57(5):762-765. doi:10.1002/ana.20456</w:t>
      </w:r>
    </w:p>
    <w:p w14:paraId="48B5562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326. </w:t>
      </w:r>
      <w:r w:rsidRPr="000507BA">
        <w:rPr>
          <w:noProof/>
          <w:sz w:val="18"/>
          <w:lang w:val="en-US"/>
        </w:rPr>
        <w:tab/>
        <w:t xml:space="preserve">Haugarvoll K, Rademakers R, Kachergus JM, et al. Lrrk2 R1441C parkinsonism is clinically similar to sporadic Parkinson disease. </w:t>
      </w:r>
      <w:r w:rsidRPr="000507BA">
        <w:rPr>
          <w:i/>
          <w:iCs/>
          <w:noProof/>
          <w:sz w:val="18"/>
          <w:lang w:val="en-US"/>
        </w:rPr>
        <w:t>Neurology</w:t>
      </w:r>
      <w:r w:rsidRPr="000507BA">
        <w:rPr>
          <w:noProof/>
          <w:sz w:val="18"/>
          <w:lang w:val="en-US"/>
        </w:rPr>
        <w:t>. 2008;70(16 Pt 2):1456-1460. doi:10.1212/01.wnl.0000304044.22253.03</w:t>
      </w:r>
    </w:p>
    <w:p w14:paraId="6FB7BC6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327. </w:t>
      </w:r>
      <w:r w:rsidRPr="000507BA">
        <w:rPr>
          <w:noProof/>
          <w:sz w:val="18"/>
          <w:lang w:val="en-US"/>
        </w:rPr>
        <w:tab/>
        <w:t xml:space="preserve">Marras C, Schüle B, Schuele B, et al. Phenotype in parkinsonian and nonparkinsonian LRRK2 G2019S mutation carriers. </w:t>
      </w:r>
      <w:r w:rsidRPr="000507BA">
        <w:rPr>
          <w:i/>
          <w:iCs/>
          <w:noProof/>
          <w:sz w:val="18"/>
          <w:lang w:val="en-US"/>
        </w:rPr>
        <w:t>Neurology</w:t>
      </w:r>
      <w:r w:rsidRPr="000507BA">
        <w:rPr>
          <w:noProof/>
          <w:sz w:val="18"/>
          <w:lang w:val="en-US"/>
        </w:rPr>
        <w:t>. 2011;77(4):325-333. doi:10.1212/WNL.0b013e318227042d</w:t>
      </w:r>
    </w:p>
    <w:p w14:paraId="76C3ED9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328. </w:t>
      </w:r>
      <w:r w:rsidRPr="000507BA">
        <w:rPr>
          <w:noProof/>
          <w:sz w:val="18"/>
          <w:lang w:val="en-US"/>
        </w:rPr>
        <w:tab/>
        <w:t xml:space="preserve">Adams JR, van Netten H, Schulzer M, et al. PET in LRRK2 mutations: comparison to sporadic Parkinson’s disease and evidence for presymptomatic compensation. </w:t>
      </w:r>
      <w:r w:rsidRPr="000507BA">
        <w:rPr>
          <w:i/>
          <w:iCs/>
          <w:noProof/>
          <w:sz w:val="18"/>
          <w:lang w:val="en-US"/>
        </w:rPr>
        <w:t>Brain</w:t>
      </w:r>
      <w:r w:rsidRPr="000507BA">
        <w:rPr>
          <w:noProof/>
          <w:sz w:val="18"/>
          <w:lang w:val="en-US"/>
        </w:rPr>
        <w:t>. 2005;128(12):2777-2785. doi:10.1093/brain/awh607</w:t>
      </w:r>
    </w:p>
    <w:p w14:paraId="557EDE5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329. </w:t>
      </w:r>
      <w:r w:rsidRPr="000507BA">
        <w:rPr>
          <w:noProof/>
          <w:sz w:val="18"/>
          <w:lang w:val="en-US"/>
        </w:rPr>
        <w:tab/>
        <w:t xml:space="preserve">Patro R, Duggal G, Love MI, Irizarry RA, Kingsford C. Salmon provides fast and bias-aware quantification of transcript expression. </w:t>
      </w:r>
      <w:r w:rsidRPr="000507BA">
        <w:rPr>
          <w:i/>
          <w:iCs/>
          <w:noProof/>
          <w:sz w:val="18"/>
          <w:lang w:val="en-US"/>
        </w:rPr>
        <w:t>Nat Methods</w:t>
      </w:r>
      <w:r w:rsidRPr="000507BA">
        <w:rPr>
          <w:noProof/>
          <w:sz w:val="18"/>
          <w:lang w:val="en-US"/>
        </w:rPr>
        <w:t>. 2017;14(4):417-419. doi:10.1038/nmeth.4197</w:t>
      </w:r>
    </w:p>
    <w:p w14:paraId="7F23E49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330. </w:t>
      </w:r>
      <w:r w:rsidRPr="000507BA">
        <w:rPr>
          <w:noProof/>
          <w:sz w:val="18"/>
          <w:lang w:val="en-US"/>
        </w:rPr>
        <w:tab/>
        <w:t xml:space="preserve">Zhang C, Zhang B, Lin L-L, Zhao S. Evaluation and comparison of computational tools for RNA-seq isoform quantification. </w:t>
      </w:r>
      <w:r w:rsidRPr="000507BA">
        <w:rPr>
          <w:i/>
          <w:iCs/>
          <w:noProof/>
          <w:sz w:val="18"/>
          <w:lang w:val="en-US"/>
        </w:rPr>
        <w:t>BMC Genomics</w:t>
      </w:r>
      <w:r w:rsidRPr="000507BA">
        <w:rPr>
          <w:noProof/>
          <w:sz w:val="18"/>
          <w:lang w:val="en-US"/>
        </w:rPr>
        <w:t>. 2017;18(1):583. doi:10.1186/s12864-017-4002-1</w:t>
      </w:r>
    </w:p>
    <w:p w14:paraId="1F05C89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331. </w:t>
      </w:r>
      <w:r w:rsidRPr="000507BA">
        <w:rPr>
          <w:noProof/>
          <w:sz w:val="18"/>
          <w:lang w:val="en-US"/>
        </w:rPr>
        <w:tab/>
        <w:t xml:space="preserve">Everaert C, Luypaert M, Maag JL V., et al. Benchmarking of RNA-sequencing analysis workflows using whole-transcriptome RT-qPCR expression data. </w:t>
      </w:r>
      <w:r w:rsidRPr="000507BA">
        <w:rPr>
          <w:i/>
          <w:iCs/>
          <w:noProof/>
          <w:sz w:val="18"/>
          <w:lang w:val="en-US"/>
        </w:rPr>
        <w:t>Sci Rep</w:t>
      </w:r>
      <w:r w:rsidRPr="000507BA">
        <w:rPr>
          <w:noProof/>
          <w:sz w:val="18"/>
          <w:lang w:val="en-US"/>
        </w:rPr>
        <w:t>. 2017;7(1):1559. doi:10.1038/s41598-017-01617-3</w:t>
      </w:r>
    </w:p>
    <w:p w14:paraId="3BEDA21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332. </w:t>
      </w:r>
      <w:r w:rsidRPr="000507BA">
        <w:rPr>
          <w:noProof/>
          <w:sz w:val="18"/>
          <w:lang w:val="en-US"/>
        </w:rPr>
        <w:tab/>
        <w:t xml:space="preserve">Manzoni C, Denny P, Lovering RC, Lewis PA. Computational analysis of the LRRK2 interactome. </w:t>
      </w:r>
      <w:r w:rsidRPr="000507BA">
        <w:rPr>
          <w:i/>
          <w:iCs/>
          <w:noProof/>
          <w:sz w:val="18"/>
          <w:lang w:val="en-US"/>
        </w:rPr>
        <w:t>PeerJ</w:t>
      </w:r>
      <w:r w:rsidRPr="000507BA">
        <w:rPr>
          <w:noProof/>
          <w:sz w:val="18"/>
          <w:lang w:val="en-US"/>
        </w:rPr>
        <w:t>. 2015;3:e778. doi:10.7717/peerj.778</w:t>
      </w:r>
    </w:p>
    <w:p w14:paraId="266F7C7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333. </w:t>
      </w:r>
      <w:r w:rsidRPr="000507BA">
        <w:rPr>
          <w:noProof/>
          <w:sz w:val="18"/>
          <w:lang w:val="en-US"/>
        </w:rPr>
        <w:tab/>
        <w:t xml:space="preserve">Sharma M, Mueller JC, Zimprich A, et al. The sepiapterin reductase gene region reveals association in the PARK3 locus: analysis of familial and sporadic Parkinson’s disease in European populations. </w:t>
      </w:r>
      <w:r w:rsidRPr="000507BA">
        <w:rPr>
          <w:i/>
          <w:iCs/>
          <w:noProof/>
          <w:sz w:val="18"/>
          <w:lang w:val="en-US"/>
        </w:rPr>
        <w:t>J Med Genet</w:t>
      </w:r>
      <w:r w:rsidRPr="000507BA">
        <w:rPr>
          <w:noProof/>
          <w:sz w:val="18"/>
          <w:lang w:val="en-US"/>
        </w:rPr>
        <w:t>. 2006;43(7):557-562. doi:10.1136/jmg.2005.039149</w:t>
      </w:r>
    </w:p>
    <w:p w14:paraId="1E0762C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334. </w:t>
      </w:r>
      <w:r w:rsidRPr="000507BA">
        <w:rPr>
          <w:noProof/>
          <w:sz w:val="18"/>
          <w:lang w:val="en-US"/>
        </w:rPr>
        <w:tab/>
        <w:t xml:space="preserve">Andersson E, Tryggvason U, Deng Q, et al. Identification of intrinsic determinants of midbrain dopamine neurons. </w:t>
      </w:r>
      <w:r w:rsidRPr="000507BA">
        <w:rPr>
          <w:i/>
          <w:iCs/>
          <w:noProof/>
          <w:sz w:val="18"/>
          <w:lang w:val="en-US"/>
        </w:rPr>
        <w:t>Cell</w:t>
      </w:r>
      <w:r w:rsidRPr="000507BA">
        <w:rPr>
          <w:noProof/>
          <w:sz w:val="18"/>
          <w:lang w:val="en-US"/>
        </w:rPr>
        <w:t>. 2006;124(2):393-405. doi:10.1016/j.cell.2005.10.037</w:t>
      </w:r>
    </w:p>
    <w:p w14:paraId="1C6491C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335. </w:t>
      </w:r>
      <w:r w:rsidRPr="000507BA">
        <w:rPr>
          <w:noProof/>
          <w:sz w:val="18"/>
          <w:lang w:val="en-US"/>
        </w:rPr>
        <w:tab/>
        <w:t xml:space="preserve">Galter D, Buervenich S, Carmine A, Anvret M, Olson L. ALDH1 mRNA: presence in human dopamine neurons and decreases in substantia nigra in Parkinson’s disease and in the ventral tegmental area in schizophrenia. </w:t>
      </w:r>
      <w:r w:rsidRPr="000507BA">
        <w:rPr>
          <w:i/>
          <w:iCs/>
          <w:noProof/>
          <w:sz w:val="18"/>
          <w:lang w:val="en-US"/>
        </w:rPr>
        <w:t>Neurobiol Dis</w:t>
      </w:r>
      <w:r w:rsidRPr="000507BA">
        <w:rPr>
          <w:noProof/>
          <w:sz w:val="18"/>
          <w:lang w:val="en-US"/>
        </w:rPr>
        <w:t>. 2003;14(3):637-647. http://www.ncbi.nlm.nih.gov/pubmed/14678778. Accessed October 23, 2018.</w:t>
      </w:r>
    </w:p>
    <w:p w14:paraId="59396F4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336. </w:t>
      </w:r>
      <w:r w:rsidRPr="000507BA">
        <w:rPr>
          <w:noProof/>
          <w:sz w:val="18"/>
          <w:lang w:val="en-US"/>
        </w:rPr>
        <w:tab/>
        <w:t xml:space="preserve">Hashimoto M, Takeda A, Hsu LJ, Takenouchi T, Masliah E. Role of cytochrome c as a stimulator of alpha-synuclein aggregation in Lewy body disease. </w:t>
      </w:r>
      <w:r w:rsidRPr="000507BA">
        <w:rPr>
          <w:i/>
          <w:iCs/>
          <w:noProof/>
          <w:sz w:val="18"/>
          <w:lang w:val="en-US"/>
        </w:rPr>
        <w:t>J Biol Chem</w:t>
      </w:r>
      <w:r w:rsidRPr="000507BA">
        <w:rPr>
          <w:noProof/>
          <w:sz w:val="18"/>
          <w:lang w:val="en-US"/>
        </w:rPr>
        <w:t>. 1999;274(41):28849-28852. http://www.ncbi.nlm.nih.gov/pubmed/10506125. Accessed October 23, 2018.</w:t>
      </w:r>
    </w:p>
    <w:p w14:paraId="0B7018B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337. </w:t>
      </w:r>
      <w:r w:rsidRPr="000507BA">
        <w:rPr>
          <w:noProof/>
          <w:sz w:val="18"/>
          <w:lang w:val="en-US"/>
        </w:rPr>
        <w:tab/>
        <w:t xml:space="preserve">Wang C, Kang X, Zhou L, et al. Synaptotagmin-11 is a critical mediator of parkin-linked neurotoxicity and Parkinson’s disease-like pathology. </w:t>
      </w:r>
      <w:r w:rsidRPr="000507BA">
        <w:rPr>
          <w:i/>
          <w:iCs/>
          <w:noProof/>
          <w:sz w:val="18"/>
          <w:lang w:val="en-US"/>
        </w:rPr>
        <w:t>Nat Commun</w:t>
      </w:r>
      <w:r w:rsidRPr="000507BA">
        <w:rPr>
          <w:noProof/>
          <w:sz w:val="18"/>
          <w:lang w:val="en-US"/>
        </w:rPr>
        <w:t>. 2018;9(1):81. doi:10.1038/s41467-017-02593-y</w:t>
      </w:r>
    </w:p>
    <w:p w14:paraId="6672123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338. </w:t>
      </w:r>
      <w:r w:rsidRPr="000507BA">
        <w:rPr>
          <w:noProof/>
          <w:sz w:val="18"/>
          <w:lang w:val="en-US"/>
        </w:rPr>
        <w:tab/>
        <w:t xml:space="preserve">Chan SL, Chua L-L, Angeles DC, Tan E-K. MAP1B rescues LRRK2 mutant-mediated cytotoxicity. </w:t>
      </w:r>
      <w:r w:rsidRPr="000507BA">
        <w:rPr>
          <w:i/>
          <w:iCs/>
          <w:noProof/>
          <w:sz w:val="18"/>
          <w:lang w:val="en-US"/>
        </w:rPr>
        <w:t>Mol Brain</w:t>
      </w:r>
      <w:r w:rsidRPr="000507BA">
        <w:rPr>
          <w:noProof/>
          <w:sz w:val="18"/>
          <w:lang w:val="en-US"/>
        </w:rPr>
        <w:t>. 2014;7(1):29. doi:10.1186/1756-6606-7-29</w:t>
      </w:r>
    </w:p>
    <w:p w14:paraId="4131454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339. </w:t>
      </w:r>
      <w:r w:rsidRPr="000507BA">
        <w:rPr>
          <w:noProof/>
          <w:sz w:val="18"/>
          <w:lang w:val="en-US"/>
        </w:rPr>
        <w:tab/>
        <w:t>Gómez-Suaga P, Rivero-Ríos P, Fdez E, et al. LRRK2 delays degradative receptor trafficking by impeding late endosomal budding through decreasing Rab7 activity. 2014;23(25). doi:10.1093/hmg/ddu395</w:t>
      </w:r>
    </w:p>
    <w:p w14:paraId="1A3BC6A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340. </w:t>
      </w:r>
      <w:r w:rsidRPr="000507BA">
        <w:rPr>
          <w:noProof/>
          <w:sz w:val="18"/>
          <w:lang w:val="en-US"/>
        </w:rPr>
        <w:tab/>
        <w:t xml:space="preserve">Parcelier A, Maharzi N, Delord M, et al. AF1q/MLLT11 regulates the emergence of human prothymocytes through cooperative interaction with the Notch signaling pathway. </w:t>
      </w:r>
      <w:r w:rsidRPr="000507BA">
        <w:rPr>
          <w:i/>
          <w:iCs/>
          <w:noProof/>
          <w:sz w:val="18"/>
          <w:lang w:val="en-US"/>
        </w:rPr>
        <w:t>Blood</w:t>
      </w:r>
      <w:r w:rsidRPr="000507BA">
        <w:rPr>
          <w:noProof/>
          <w:sz w:val="18"/>
          <w:lang w:val="en-US"/>
        </w:rPr>
        <w:t>. 2011;118(7):1784-1796. doi:10.1182/blood-2011-01-333179</w:t>
      </w:r>
    </w:p>
    <w:p w14:paraId="0241CDC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341. </w:t>
      </w:r>
      <w:r w:rsidRPr="000507BA">
        <w:rPr>
          <w:noProof/>
          <w:sz w:val="18"/>
          <w:lang w:val="en-US"/>
        </w:rPr>
        <w:tab/>
        <w:t xml:space="preserve">Yamada M, Clark J, Iulianella A. MLLT11/AF1q is differentially expressed in maturing neurons during development. </w:t>
      </w:r>
      <w:r w:rsidRPr="000507BA">
        <w:rPr>
          <w:i/>
          <w:iCs/>
          <w:noProof/>
          <w:sz w:val="18"/>
          <w:lang w:val="en-US"/>
        </w:rPr>
        <w:t>Gene Expr Patterns</w:t>
      </w:r>
      <w:r w:rsidRPr="000507BA">
        <w:rPr>
          <w:noProof/>
          <w:sz w:val="18"/>
          <w:lang w:val="en-US"/>
        </w:rPr>
        <w:t>. 2014;15(2):80-87. doi:10.1016/J.GEP.2014.05.001</w:t>
      </w:r>
    </w:p>
    <w:p w14:paraId="31808A4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342. </w:t>
      </w:r>
      <w:r w:rsidRPr="000507BA">
        <w:rPr>
          <w:noProof/>
          <w:sz w:val="18"/>
          <w:lang w:val="en-US"/>
        </w:rPr>
        <w:tab/>
        <w:t xml:space="preserve">Chatterjee P, Roy D, Bhattacharyya M, Bandyopadhyay S. Biological networks in Parkinson’s </w:t>
      </w:r>
      <w:r w:rsidRPr="000507BA">
        <w:rPr>
          <w:noProof/>
          <w:sz w:val="18"/>
          <w:lang w:val="en-US"/>
        </w:rPr>
        <w:lastRenderedPageBreak/>
        <w:t xml:space="preserve">disease: an insight into the epigenetic mechanisms associated with this disease. </w:t>
      </w:r>
      <w:r w:rsidRPr="000507BA">
        <w:rPr>
          <w:i/>
          <w:iCs/>
          <w:noProof/>
          <w:sz w:val="18"/>
          <w:lang w:val="en-US"/>
        </w:rPr>
        <w:t>BMC Genomics</w:t>
      </w:r>
      <w:r w:rsidRPr="000507BA">
        <w:rPr>
          <w:noProof/>
          <w:sz w:val="18"/>
          <w:lang w:val="en-US"/>
        </w:rPr>
        <w:t>. 2017;18(1):721. doi:10.1186/s12864-017-4098-3</w:t>
      </w:r>
    </w:p>
    <w:p w14:paraId="2B45EC7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343. </w:t>
      </w:r>
      <w:r w:rsidRPr="000507BA">
        <w:rPr>
          <w:noProof/>
          <w:sz w:val="18"/>
          <w:lang w:val="en-US"/>
        </w:rPr>
        <w:tab/>
        <w:t>Doss-Pepe EW, Chen L, Madura K. Synuclein and Parkin Contribute to the Assembly of Ubiquitin Lysine 63-linked Multiubiquitin Chains*. 2005. doi:10.1074/jbc.M413591200</w:t>
      </w:r>
    </w:p>
    <w:p w14:paraId="348C4DF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344. </w:t>
      </w:r>
      <w:r w:rsidRPr="000507BA">
        <w:rPr>
          <w:noProof/>
          <w:sz w:val="18"/>
          <w:lang w:val="en-US"/>
        </w:rPr>
        <w:tab/>
        <w:t xml:space="preserve">Olzmann JA, Li L, Chudaev M V, et al. Parkin-mediated K63-linked polyubiquitination targets misfolded DJ-1 to aggresomes via binding to HDAC6. </w:t>
      </w:r>
      <w:r w:rsidRPr="000507BA">
        <w:rPr>
          <w:i/>
          <w:iCs/>
          <w:noProof/>
          <w:sz w:val="18"/>
          <w:lang w:val="en-US"/>
        </w:rPr>
        <w:t>J Cell Biol</w:t>
      </w:r>
      <w:r w:rsidRPr="000507BA">
        <w:rPr>
          <w:noProof/>
          <w:sz w:val="18"/>
          <w:lang w:val="en-US"/>
        </w:rPr>
        <w:t>. 2007;178(6):1025-1038. doi:10.1083/jcb.200611128</w:t>
      </w:r>
    </w:p>
    <w:p w14:paraId="0597EF4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345. </w:t>
      </w:r>
      <w:r w:rsidRPr="000507BA">
        <w:rPr>
          <w:noProof/>
          <w:sz w:val="18"/>
          <w:lang w:val="en-US"/>
        </w:rPr>
        <w:tab/>
        <w:t xml:space="preserve">Geisler S, Vollmer S, Golombek S, Kahle PJ. The ubiquitin-conjugating enzymes UBE2N, UBE2L3 and UBE2D2/3 are essential for Parkin-dependent mitophagy. </w:t>
      </w:r>
      <w:r w:rsidRPr="000507BA">
        <w:rPr>
          <w:i/>
          <w:iCs/>
          <w:noProof/>
          <w:sz w:val="18"/>
          <w:lang w:val="en-US"/>
        </w:rPr>
        <w:t>J Cell Sci</w:t>
      </w:r>
      <w:r w:rsidRPr="000507BA">
        <w:rPr>
          <w:noProof/>
          <w:sz w:val="18"/>
          <w:lang w:val="en-US"/>
        </w:rPr>
        <w:t>. 2014;127(Pt 15):3280-3293. doi:10.1242/jcs.146035</w:t>
      </w:r>
    </w:p>
    <w:p w14:paraId="30C4060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346. </w:t>
      </w:r>
      <w:r w:rsidRPr="000507BA">
        <w:rPr>
          <w:noProof/>
          <w:sz w:val="18"/>
          <w:lang w:val="en-US"/>
        </w:rPr>
        <w:tab/>
        <w:t xml:space="preserve">Li Y, Zou L, Li Q, et al. Amplification of LAPTM4B and YWHAZ contributes to chemotherapy resistance and recurrence of breast cancer. </w:t>
      </w:r>
      <w:r w:rsidRPr="000507BA">
        <w:rPr>
          <w:i/>
          <w:iCs/>
          <w:noProof/>
          <w:sz w:val="18"/>
          <w:lang w:val="en-US"/>
        </w:rPr>
        <w:t>Nat Med</w:t>
      </w:r>
      <w:r w:rsidRPr="000507BA">
        <w:rPr>
          <w:noProof/>
          <w:sz w:val="18"/>
          <w:lang w:val="en-US"/>
        </w:rPr>
        <w:t>. 2010;16(2):214-218. doi:10.1038/nm.2090</w:t>
      </w:r>
    </w:p>
    <w:p w14:paraId="6B284F6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347. </w:t>
      </w:r>
      <w:r w:rsidRPr="000507BA">
        <w:rPr>
          <w:noProof/>
          <w:sz w:val="18"/>
          <w:lang w:val="en-US"/>
        </w:rPr>
        <w:tab/>
        <w:t xml:space="preserve">Tarale P, Sivanesan S, Daiwile AP, et al. Global DNA methylation profiling of manganese-exposed human neuroblastoma SH-SY5Y cells reveals epigenetic alterations in Parkinson’s disease-associated genes. </w:t>
      </w:r>
      <w:r w:rsidRPr="000507BA">
        <w:rPr>
          <w:i/>
          <w:iCs/>
          <w:noProof/>
          <w:sz w:val="18"/>
          <w:lang w:val="en-US"/>
        </w:rPr>
        <w:t>Arch Toxicol</w:t>
      </w:r>
      <w:r w:rsidRPr="000507BA">
        <w:rPr>
          <w:noProof/>
          <w:sz w:val="18"/>
          <w:lang w:val="en-US"/>
        </w:rPr>
        <w:t>. 2017;91(7):2629-2641. doi:10.1007/s00204-016-1899-0</w:t>
      </w:r>
    </w:p>
    <w:p w14:paraId="047BDF5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348. </w:t>
      </w:r>
      <w:r w:rsidRPr="000507BA">
        <w:rPr>
          <w:noProof/>
          <w:sz w:val="18"/>
          <w:lang w:val="en-US"/>
        </w:rPr>
        <w:tab/>
        <w:t xml:space="preserve">Meng Y, Wang L, Chen D, et al. LAPTM4B: an oncogene in various solid tumors and its functions. </w:t>
      </w:r>
      <w:r w:rsidRPr="000507BA">
        <w:rPr>
          <w:i/>
          <w:iCs/>
          <w:noProof/>
          <w:sz w:val="18"/>
          <w:lang w:val="en-US"/>
        </w:rPr>
        <w:t>Oncogene</w:t>
      </w:r>
      <w:r w:rsidRPr="000507BA">
        <w:rPr>
          <w:noProof/>
          <w:sz w:val="18"/>
          <w:lang w:val="en-US"/>
        </w:rPr>
        <w:t>. 2016;35(50):6359-6365. doi:10.1038/onc.2016.189</w:t>
      </w:r>
    </w:p>
    <w:p w14:paraId="1F34D9D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349. </w:t>
      </w:r>
      <w:r w:rsidRPr="000507BA">
        <w:rPr>
          <w:noProof/>
          <w:sz w:val="18"/>
          <w:lang w:val="en-US"/>
        </w:rPr>
        <w:tab/>
        <w:t xml:space="preserve">Hallock P, Thomas MA. Integrating the Alzheimer’s disease proteome and transcriptome: a comprehensive network model of a complex disease. </w:t>
      </w:r>
      <w:r w:rsidRPr="000507BA">
        <w:rPr>
          <w:i/>
          <w:iCs/>
          <w:noProof/>
          <w:sz w:val="18"/>
          <w:lang w:val="en-US"/>
        </w:rPr>
        <w:t>OMICS</w:t>
      </w:r>
      <w:r w:rsidRPr="000507BA">
        <w:rPr>
          <w:noProof/>
          <w:sz w:val="18"/>
          <w:lang w:val="en-US"/>
        </w:rPr>
        <w:t>. 2012;16(1-2):37-49. doi:10.1089/omi.2011.0054</w:t>
      </w:r>
    </w:p>
    <w:p w14:paraId="4994D10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350. </w:t>
      </w:r>
      <w:r w:rsidRPr="000507BA">
        <w:rPr>
          <w:noProof/>
          <w:sz w:val="18"/>
          <w:lang w:val="en-US"/>
        </w:rPr>
        <w:tab/>
        <w:t xml:space="preserve">Ma VY, Chan L, Carruthers KJ. Incidence, prevalence, costs, and impact on disability of common conditions requiring rehabilitation in the United States: stroke, spinal cord injury, traumatic brain injury, multiple sclerosis, osteoarthritis, rheumatoid arthritis, limb loss, and back pain. </w:t>
      </w:r>
      <w:r w:rsidRPr="000507BA">
        <w:rPr>
          <w:i/>
          <w:iCs/>
          <w:noProof/>
          <w:sz w:val="18"/>
          <w:lang w:val="en-US"/>
        </w:rPr>
        <w:t>Arch Phys Med Rehabil</w:t>
      </w:r>
      <w:r w:rsidRPr="000507BA">
        <w:rPr>
          <w:noProof/>
          <w:sz w:val="18"/>
          <w:lang w:val="en-US"/>
        </w:rPr>
        <w:t>. 2014;95(5):986-995.e1. doi:10.1016/j.apmr.2013.10.032</w:t>
      </w:r>
    </w:p>
    <w:p w14:paraId="6D24234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351. </w:t>
      </w:r>
      <w:r w:rsidRPr="000507BA">
        <w:rPr>
          <w:noProof/>
          <w:sz w:val="18"/>
          <w:lang w:val="en-US"/>
        </w:rPr>
        <w:tab/>
        <w:t xml:space="preserve">Hootman JM, Helmick CG, Barbour KE, Theis KA, Boring MA. Updated Projected Prevalence of Self-Reported Doctor-Diagnosed Arthritis and Arthritis-Attributable Activity Limitation Among US Adults, 2015–2040. </w:t>
      </w:r>
      <w:r w:rsidRPr="000507BA">
        <w:rPr>
          <w:i/>
          <w:iCs/>
          <w:noProof/>
          <w:sz w:val="18"/>
          <w:lang w:val="en-US"/>
        </w:rPr>
        <w:t>ARTHRITIS Rheumatol</w:t>
      </w:r>
      <w:r w:rsidRPr="000507BA">
        <w:rPr>
          <w:noProof/>
          <w:sz w:val="18"/>
          <w:lang w:val="en-US"/>
        </w:rPr>
        <w:t>. 2016;68(7):1582-1587. doi:10.1002/art.39692</w:t>
      </w:r>
    </w:p>
    <w:p w14:paraId="1E695E6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352. </w:t>
      </w:r>
      <w:r w:rsidRPr="000507BA">
        <w:rPr>
          <w:noProof/>
          <w:sz w:val="18"/>
          <w:lang w:val="en-US"/>
        </w:rPr>
        <w:tab/>
        <w:t xml:space="preserve">Robinson WH, Lepus CM, Wang Q, et al. Low-grade inflammation as a key mediator of the pathogenesis of osteoarthritis. </w:t>
      </w:r>
      <w:r w:rsidRPr="000507BA">
        <w:rPr>
          <w:i/>
          <w:iCs/>
          <w:noProof/>
          <w:sz w:val="18"/>
          <w:lang w:val="en-US"/>
        </w:rPr>
        <w:t>Nat Rev Rheumatol</w:t>
      </w:r>
      <w:r w:rsidRPr="000507BA">
        <w:rPr>
          <w:noProof/>
          <w:sz w:val="18"/>
          <w:lang w:val="en-US"/>
        </w:rPr>
        <w:t>. 2016;12(10):580-592. doi:10.1038/nrrheum.2016.136</w:t>
      </w:r>
    </w:p>
    <w:p w14:paraId="4B57CE4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353. </w:t>
      </w:r>
      <w:r w:rsidRPr="000507BA">
        <w:rPr>
          <w:noProof/>
          <w:sz w:val="18"/>
          <w:lang w:val="en-US"/>
        </w:rPr>
        <w:tab/>
        <w:t xml:space="preserve">Persson MSM, Sarmanova A, Doherty M, Zhang W. Conventional and biologic disease-modifying anti-rheumatic drugs for osteoarthritis: a meta-analysis of randomized controlled trials. </w:t>
      </w:r>
      <w:r w:rsidRPr="000507BA">
        <w:rPr>
          <w:i/>
          <w:iCs/>
          <w:noProof/>
          <w:sz w:val="18"/>
          <w:lang w:val="en-US"/>
        </w:rPr>
        <w:t>Rheumatology</w:t>
      </w:r>
      <w:r w:rsidRPr="000507BA">
        <w:rPr>
          <w:noProof/>
          <w:sz w:val="18"/>
          <w:lang w:val="en-US"/>
        </w:rPr>
        <w:t>. 2018;57(10):1830-1837. doi:10.1093/rheumatology/key131</w:t>
      </w:r>
    </w:p>
    <w:p w14:paraId="0290E4A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354. </w:t>
      </w:r>
      <w:r w:rsidRPr="000507BA">
        <w:rPr>
          <w:noProof/>
          <w:sz w:val="18"/>
          <w:lang w:val="en-US"/>
        </w:rPr>
        <w:tab/>
        <w:t xml:space="preserve">McInnes IB, Schett G. The Pathogenesis of Rheumatoid Arthritis. </w:t>
      </w:r>
      <w:r w:rsidRPr="000507BA">
        <w:rPr>
          <w:i/>
          <w:iCs/>
          <w:noProof/>
          <w:sz w:val="18"/>
          <w:lang w:val="en-US"/>
        </w:rPr>
        <w:t>N Engl J Med</w:t>
      </w:r>
      <w:r w:rsidRPr="000507BA">
        <w:rPr>
          <w:noProof/>
          <w:sz w:val="18"/>
          <w:lang w:val="en-US"/>
        </w:rPr>
        <w:t>. 2011;365(23):2205-2219. doi:10.1056/NEJMra1004965</w:t>
      </w:r>
    </w:p>
    <w:p w14:paraId="0BA11F0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355. </w:t>
      </w:r>
      <w:r w:rsidRPr="000507BA">
        <w:rPr>
          <w:noProof/>
          <w:sz w:val="18"/>
          <w:lang w:val="en-US"/>
        </w:rPr>
        <w:tab/>
        <w:t xml:space="preserve">Källberg H, Padyukov L, Plenge RM, et al. Gene-Gene and Gene-Environment Interactions Involving HLA-DRB1, PTPN22, and Smoking in Two Subsets of Rheumatoid Arthritis. </w:t>
      </w:r>
      <w:r w:rsidRPr="000507BA">
        <w:rPr>
          <w:i/>
          <w:iCs/>
          <w:noProof/>
          <w:sz w:val="18"/>
          <w:lang w:val="en-US"/>
        </w:rPr>
        <w:t>Am J Hum Genet</w:t>
      </w:r>
      <w:r w:rsidRPr="000507BA">
        <w:rPr>
          <w:noProof/>
          <w:sz w:val="18"/>
          <w:lang w:val="en-US"/>
        </w:rPr>
        <w:t>. 2007;80(5):867-875. doi:10.1086/516736</w:t>
      </w:r>
    </w:p>
    <w:p w14:paraId="3F31390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356. </w:t>
      </w:r>
      <w:r w:rsidRPr="000507BA">
        <w:rPr>
          <w:noProof/>
          <w:sz w:val="18"/>
          <w:lang w:val="en-US"/>
        </w:rPr>
        <w:tab/>
        <w:t xml:space="preserve">Silman AJ, Pearson JE. Epidemiology and genetics of rheumatoid arthritis. </w:t>
      </w:r>
      <w:r w:rsidRPr="000507BA">
        <w:rPr>
          <w:i/>
          <w:iCs/>
          <w:noProof/>
          <w:sz w:val="18"/>
          <w:lang w:val="en-US"/>
        </w:rPr>
        <w:t>Arthritis Res</w:t>
      </w:r>
      <w:r w:rsidRPr="000507BA">
        <w:rPr>
          <w:noProof/>
          <w:sz w:val="18"/>
          <w:lang w:val="en-US"/>
        </w:rPr>
        <w:t>. 2002;4(Suppl 3):S265. doi:10.1186/ar578</w:t>
      </w:r>
    </w:p>
    <w:p w14:paraId="5E64887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357. </w:t>
      </w:r>
      <w:r w:rsidRPr="000507BA">
        <w:rPr>
          <w:noProof/>
          <w:sz w:val="18"/>
          <w:lang w:val="en-US"/>
        </w:rPr>
        <w:tab/>
        <w:t xml:space="preserve">Vlahos R, Bozinovski S, Jones JE, et al. Differential protease, innate immunity, and NF-κB induction profiles during lung inflammation induced by subchronic cigarette smoke exposure in mice. </w:t>
      </w:r>
      <w:r w:rsidRPr="000507BA">
        <w:rPr>
          <w:i/>
          <w:iCs/>
          <w:noProof/>
          <w:sz w:val="18"/>
          <w:lang w:val="en-US"/>
        </w:rPr>
        <w:t>Am J Physiol Cell Mol Physiol</w:t>
      </w:r>
      <w:r w:rsidRPr="000507BA">
        <w:rPr>
          <w:noProof/>
          <w:sz w:val="18"/>
          <w:lang w:val="en-US"/>
        </w:rPr>
        <w:t>. 2006;290(5):L931-L945. doi:10.1152/ajplung.00201.2005</w:t>
      </w:r>
    </w:p>
    <w:p w14:paraId="51D3EEC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358. </w:t>
      </w:r>
      <w:r w:rsidRPr="000507BA">
        <w:rPr>
          <w:noProof/>
          <w:sz w:val="18"/>
          <w:lang w:val="en-US"/>
        </w:rPr>
        <w:tab/>
        <w:t xml:space="preserve">Metcalfe HJ, Lea S, Hughes D, Khalaf R, Abbott-Banner K, Singh D. Effects of cigarette smoke on Toll-like receptor (TLR) activation of chronic obstructive pulmonary disease (COPD) macrophages. </w:t>
      </w:r>
      <w:r w:rsidRPr="000507BA">
        <w:rPr>
          <w:i/>
          <w:iCs/>
          <w:noProof/>
          <w:sz w:val="18"/>
          <w:lang w:val="en-US"/>
        </w:rPr>
        <w:t>Clin Exp Immunol</w:t>
      </w:r>
      <w:r w:rsidRPr="000507BA">
        <w:rPr>
          <w:noProof/>
          <w:sz w:val="18"/>
          <w:lang w:val="en-US"/>
        </w:rPr>
        <w:t>. 2014;176(3):461-472. doi:10.1111/cei.12289</w:t>
      </w:r>
    </w:p>
    <w:p w14:paraId="4A7B64C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359. </w:t>
      </w:r>
      <w:r w:rsidRPr="000507BA">
        <w:rPr>
          <w:noProof/>
          <w:sz w:val="18"/>
          <w:lang w:val="en-US"/>
        </w:rPr>
        <w:tab/>
        <w:t xml:space="preserve">Aho K, Heliövaara M, Maatela J, Tuomi T, Palosuo T. Rheumatoid factors antedating clinical </w:t>
      </w:r>
      <w:r w:rsidRPr="000507BA">
        <w:rPr>
          <w:noProof/>
          <w:sz w:val="18"/>
          <w:lang w:val="en-US"/>
        </w:rPr>
        <w:lastRenderedPageBreak/>
        <w:t xml:space="preserve">rheumatoid arthritis. </w:t>
      </w:r>
      <w:r w:rsidRPr="000507BA">
        <w:rPr>
          <w:i/>
          <w:iCs/>
          <w:noProof/>
          <w:sz w:val="18"/>
          <w:lang w:val="en-US"/>
        </w:rPr>
        <w:t>J Rheumatol</w:t>
      </w:r>
      <w:r w:rsidRPr="000507BA">
        <w:rPr>
          <w:noProof/>
          <w:sz w:val="18"/>
          <w:lang w:val="en-US"/>
        </w:rPr>
        <w:t>. 1991;18(9):1282-1284. http://www.ncbi.nlm.nih.gov/pubmed/1757925. Accessed October 23, 2018.</w:t>
      </w:r>
    </w:p>
    <w:p w14:paraId="7AD66AD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360. </w:t>
      </w:r>
      <w:r w:rsidRPr="000507BA">
        <w:rPr>
          <w:noProof/>
          <w:sz w:val="18"/>
          <w:lang w:val="en-US"/>
        </w:rPr>
        <w:tab/>
        <w:t xml:space="preserve">Brink M, Hansson M, Mathsson L, et al. Multiplex Analyses of Antibodies Against Citrullinated Peptides in Individuals Prior to Development of Rheumatoid Arthritis. </w:t>
      </w:r>
      <w:r w:rsidRPr="000507BA">
        <w:rPr>
          <w:i/>
          <w:iCs/>
          <w:noProof/>
          <w:sz w:val="18"/>
          <w:lang w:val="en-US"/>
        </w:rPr>
        <w:t>Arthritis Rheum</w:t>
      </w:r>
      <w:r w:rsidRPr="000507BA">
        <w:rPr>
          <w:noProof/>
          <w:sz w:val="18"/>
          <w:lang w:val="en-US"/>
        </w:rPr>
        <w:t>. 2013;65(4):899-910. doi:10.1002/art.37835</w:t>
      </w:r>
    </w:p>
    <w:p w14:paraId="0ECD31D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361. </w:t>
      </w:r>
      <w:r w:rsidRPr="000507BA">
        <w:rPr>
          <w:noProof/>
          <w:sz w:val="18"/>
          <w:lang w:val="en-US"/>
        </w:rPr>
        <w:tab/>
        <w:t xml:space="preserve">Frisell T, Holmqvist M, Källberg H, Klareskog L, Alfredsson L, Askling J. Familial Risks and Heritability of Rheumatoid Arthritis: Role of Rheumatoid Factor/Anti-Citrullinated Protein Antibody Status, Number and Type of Affected Relatives, Sex, and Age. </w:t>
      </w:r>
      <w:r w:rsidRPr="000507BA">
        <w:rPr>
          <w:i/>
          <w:iCs/>
          <w:noProof/>
          <w:sz w:val="18"/>
          <w:lang w:val="en-US"/>
        </w:rPr>
        <w:t>Arthritis Rheum</w:t>
      </w:r>
      <w:r w:rsidRPr="000507BA">
        <w:rPr>
          <w:noProof/>
          <w:sz w:val="18"/>
          <w:lang w:val="en-US"/>
        </w:rPr>
        <w:t>. 2013;65(11):2773-2782. doi:10.1002/art.38097</w:t>
      </w:r>
    </w:p>
    <w:p w14:paraId="70FEC605"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362. </w:t>
      </w:r>
      <w:r w:rsidRPr="000507BA">
        <w:rPr>
          <w:noProof/>
          <w:sz w:val="18"/>
          <w:lang w:val="en-US"/>
        </w:rPr>
        <w:tab/>
        <w:t xml:space="preserve">Kurkó J, Besenyei T, Laki J, Glant TT, Mikecz K, Szekanecz Z. Genetics of Rheumatoid Arthritis — A Comprehensive Review. </w:t>
      </w:r>
      <w:r w:rsidRPr="000507BA">
        <w:rPr>
          <w:i/>
          <w:iCs/>
          <w:noProof/>
          <w:sz w:val="18"/>
          <w:lang w:val="en-US"/>
        </w:rPr>
        <w:t>Clin Rev Allergy Immunol</w:t>
      </w:r>
      <w:r w:rsidRPr="000507BA">
        <w:rPr>
          <w:noProof/>
          <w:sz w:val="18"/>
          <w:lang w:val="en-US"/>
        </w:rPr>
        <w:t>. 2013;45(2):170-179. doi:10.1007/s12016-012-8346-7</w:t>
      </w:r>
    </w:p>
    <w:p w14:paraId="78FFACB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363. </w:t>
      </w:r>
      <w:r w:rsidRPr="000507BA">
        <w:rPr>
          <w:noProof/>
          <w:sz w:val="18"/>
          <w:lang w:val="en-US"/>
        </w:rPr>
        <w:tab/>
        <w:t xml:space="preserve">Kleyer A, Finzel S, Rech J, et al. Bone loss before the clinical onset of rheumatoid arthritis in subjects with anticitrullinated protein antibodies. </w:t>
      </w:r>
      <w:r w:rsidRPr="000507BA">
        <w:rPr>
          <w:i/>
          <w:iCs/>
          <w:noProof/>
          <w:sz w:val="18"/>
          <w:lang w:val="en-US"/>
        </w:rPr>
        <w:t>Ann Rheum Dis</w:t>
      </w:r>
      <w:r w:rsidRPr="000507BA">
        <w:rPr>
          <w:noProof/>
          <w:sz w:val="18"/>
          <w:lang w:val="en-US"/>
        </w:rPr>
        <w:t>. 2014;73(5):854-860. doi:10.1136/annrheumdis-2012-202958</w:t>
      </w:r>
    </w:p>
    <w:p w14:paraId="0392E9D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364. </w:t>
      </w:r>
      <w:r w:rsidRPr="000507BA">
        <w:rPr>
          <w:noProof/>
          <w:sz w:val="18"/>
          <w:lang w:val="en-US"/>
        </w:rPr>
        <w:tab/>
        <w:t xml:space="preserve">Snir O, Widhe M, Hermansson M, et al. Antibodies to several citrullinated antigens are enriched in the joints of rheumatoid arthritis patients. </w:t>
      </w:r>
      <w:r w:rsidRPr="000507BA">
        <w:rPr>
          <w:i/>
          <w:iCs/>
          <w:noProof/>
          <w:sz w:val="18"/>
          <w:lang w:val="en-US"/>
        </w:rPr>
        <w:t>Arthritis Rheum</w:t>
      </w:r>
      <w:r w:rsidRPr="000507BA">
        <w:rPr>
          <w:noProof/>
          <w:sz w:val="18"/>
          <w:lang w:val="en-US"/>
        </w:rPr>
        <w:t>. 2010;62(1):44-52. doi:10.1002/art.25036</w:t>
      </w:r>
    </w:p>
    <w:p w14:paraId="3621977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365. </w:t>
      </w:r>
      <w:r w:rsidRPr="000507BA">
        <w:rPr>
          <w:noProof/>
          <w:sz w:val="18"/>
          <w:lang w:val="en-US"/>
        </w:rPr>
        <w:tab/>
        <w:t xml:space="preserve">Weissmann G, Korchak H. Rheumatoid arthritis. The role of neutrophil activation. </w:t>
      </w:r>
      <w:r w:rsidRPr="000507BA">
        <w:rPr>
          <w:i/>
          <w:iCs/>
          <w:noProof/>
          <w:sz w:val="18"/>
          <w:lang w:val="en-US"/>
        </w:rPr>
        <w:t>Inflammation</w:t>
      </w:r>
      <w:r w:rsidRPr="000507BA">
        <w:rPr>
          <w:noProof/>
          <w:sz w:val="18"/>
          <w:lang w:val="en-US"/>
        </w:rPr>
        <w:t>. 1984;8 Suppl:S3-14. http://www.ncbi.nlm.nih.gov/pubmed/6090313. Accessed October 23, 2018.</w:t>
      </w:r>
    </w:p>
    <w:p w14:paraId="41BCE9E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366. </w:t>
      </w:r>
      <w:r w:rsidRPr="000507BA">
        <w:rPr>
          <w:noProof/>
          <w:sz w:val="18"/>
          <w:lang w:val="en-US"/>
        </w:rPr>
        <w:tab/>
        <w:t xml:space="preserve">Ospelt C, Neidhart M, Gay RE, Gay S. </w:t>
      </w:r>
      <w:r w:rsidRPr="000507BA">
        <w:rPr>
          <w:i/>
          <w:iCs/>
          <w:noProof/>
          <w:sz w:val="18"/>
          <w:lang w:val="en-US"/>
        </w:rPr>
        <w:t>SYNOVIAL ACTIVATION IN RHEUMATOID ARTHRITIS</w:t>
      </w:r>
      <w:r w:rsidRPr="000507BA">
        <w:rPr>
          <w:noProof/>
          <w:sz w:val="18"/>
          <w:lang w:val="en-US"/>
        </w:rPr>
        <w:t>. Vol 9.; 2004. https://pdfs.semanticscholar.org/c8eb/70e6a9aad3bfdc8fb2efbcfc35b75d2857f0.pdf. Accessed October 23, 2018.</w:t>
      </w:r>
    </w:p>
    <w:p w14:paraId="076620C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367. </w:t>
      </w:r>
      <w:r w:rsidRPr="000507BA">
        <w:rPr>
          <w:noProof/>
          <w:sz w:val="18"/>
          <w:lang w:val="en-US"/>
        </w:rPr>
        <w:tab/>
        <w:t xml:space="preserve">Fernandez-Madrid F, Karvonen RL, Teitge RA, Miller PR, An T, Negendank WG. Synovial thickening detected by MR imaging in osteoarthritis of the knee confirmed by biopsy as synovitis. </w:t>
      </w:r>
      <w:r w:rsidRPr="000507BA">
        <w:rPr>
          <w:i/>
          <w:iCs/>
          <w:noProof/>
          <w:sz w:val="18"/>
          <w:lang w:val="en-US"/>
        </w:rPr>
        <w:t>Magn Reson Imaging</w:t>
      </w:r>
      <w:r w:rsidRPr="000507BA">
        <w:rPr>
          <w:noProof/>
          <w:sz w:val="18"/>
          <w:lang w:val="en-US"/>
        </w:rPr>
        <w:t>. 1995;13(2):177-183. doi:10.1016/0730-725X(94)00119-N</w:t>
      </w:r>
    </w:p>
    <w:p w14:paraId="7405492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368. </w:t>
      </w:r>
      <w:r w:rsidRPr="000507BA">
        <w:rPr>
          <w:noProof/>
          <w:sz w:val="18"/>
          <w:lang w:val="en-US"/>
        </w:rPr>
        <w:tab/>
        <w:t xml:space="preserve">Karmakar S, Kay J, Gravallese EM. Bone damage in rheumatoid arthritis: mechanistic insights and approaches to prevention. </w:t>
      </w:r>
      <w:r w:rsidRPr="000507BA">
        <w:rPr>
          <w:i/>
          <w:iCs/>
          <w:noProof/>
          <w:sz w:val="18"/>
          <w:lang w:val="en-US"/>
        </w:rPr>
        <w:t>Rheum Dis Clin North Am</w:t>
      </w:r>
      <w:r w:rsidRPr="000507BA">
        <w:rPr>
          <w:noProof/>
          <w:sz w:val="18"/>
          <w:lang w:val="en-US"/>
        </w:rPr>
        <w:t>. 2010;36(2):385-404. doi:10.1016/j.rdc.2010.03.003</w:t>
      </w:r>
    </w:p>
    <w:p w14:paraId="09D4B14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369. </w:t>
      </w:r>
      <w:r w:rsidRPr="000507BA">
        <w:rPr>
          <w:noProof/>
          <w:sz w:val="18"/>
          <w:lang w:val="en-US"/>
        </w:rPr>
        <w:tab/>
        <w:t xml:space="preserve">Gravallese EM, Manning C, Tsay A, et al. Synovial tissue in rheumatoid arthritis is a source of osteoclast differentiation factor. </w:t>
      </w:r>
      <w:r w:rsidRPr="000507BA">
        <w:rPr>
          <w:i/>
          <w:iCs/>
          <w:noProof/>
          <w:sz w:val="18"/>
          <w:lang w:val="en-US"/>
        </w:rPr>
        <w:t>Arthritis Rheum</w:t>
      </w:r>
      <w:r w:rsidRPr="000507BA">
        <w:rPr>
          <w:noProof/>
          <w:sz w:val="18"/>
          <w:lang w:val="en-US"/>
        </w:rPr>
        <w:t>. 2000;43(2):250. doi:10.1002/1529-0131(200002)43:2&lt;250::AID-ANR3&gt;3.0.CO;2-P</w:t>
      </w:r>
    </w:p>
    <w:p w14:paraId="3FA2466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370. </w:t>
      </w:r>
      <w:r w:rsidRPr="000507BA">
        <w:rPr>
          <w:noProof/>
          <w:sz w:val="18"/>
          <w:lang w:val="en-US"/>
        </w:rPr>
        <w:tab/>
        <w:t xml:space="preserve">McInnes IB, Schett G. Cytokines in the pathogenesis of rheumatoid arthritis. </w:t>
      </w:r>
      <w:r w:rsidRPr="000507BA">
        <w:rPr>
          <w:i/>
          <w:iCs/>
          <w:noProof/>
          <w:sz w:val="18"/>
          <w:lang w:val="en-US"/>
        </w:rPr>
        <w:t>Nat Rev Immunol</w:t>
      </w:r>
      <w:r w:rsidRPr="000507BA">
        <w:rPr>
          <w:noProof/>
          <w:sz w:val="18"/>
          <w:lang w:val="en-US"/>
        </w:rPr>
        <w:t>. 2007;7(6):429-442. doi:10.1038/nri2094</w:t>
      </w:r>
    </w:p>
    <w:p w14:paraId="4F7424E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371. </w:t>
      </w:r>
      <w:r w:rsidRPr="000507BA">
        <w:rPr>
          <w:noProof/>
          <w:sz w:val="18"/>
          <w:lang w:val="en-US"/>
        </w:rPr>
        <w:tab/>
        <w:t xml:space="preserve">Cárdenas-Roldán J, Rojas-Villarraga A, Anaya J-M. How do autoimmune diseases cluster in families? A systematic review and meta-analysis. </w:t>
      </w:r>
      <w:r w:rsidRPr="000507BA">
        <w:rPr>
          <w:i/>
          <w:iCs/>
          <w:noProof/>
          <w:sz w:val="18"/>
          <w:lang w:val="en-US"/>
        </w:rPr>
        <w:t>BMC Med</w:t>
      </w:r>
      <w:r w:rsidRPr="000507BA">
        <w:rPr>
          <w:noProof/>
          <w:sz w:val="18"/>
          <w:lang w:val="en-US"/>
        </w:rPr>
        <w:t>. 2013;11(1):73. doi:10.1186/1741-7015-11-73</w:t>
      </w:r>
    </w:p>
    <w:p w14:paraId="35B7937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372. </w:t>
      </w:r>
      <w:r w:rsidRPr="000507BA">
        <w:rPr>
          <w:noProof/>
          <w:sz w:val="18"/>
          <w:lang w:val="en-US"/>
        </w:rPr>
        <w:tab/>
        <w:t>Barcellos LF, Kamdar BB, Ramsay PP, et al. Clustering of autoimmune diseases in families with a high-risk for multiple sclerosis: a descriptive study. 2006;5. doi:10.1016/S1474</w:t>
      </w:r>
    </w:p>
    <w:p w14:paraId="5EA04FB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373. </w:t>
      </w:r>
      <w:r w:rsidRPr="000507BA">
        <w:rPr>
          <w:noProof/>
          <w:sz w:val="18"/>
          <w:lang w:val="en-US"/>
        </w:rPr>
        <w:tab/>
        <w:t xml:space="preserve">Reveille JD, Wilson RW, Provost TT, Bias WB, Arnett FC. Primary Sjögren’s Syndrome and Other Autoimmune Diseases in Families. </w:t>
      </w:r>
      <w:r w:rsidRPr="000507BA">
        <w:rPr>
          <w:i/>
          <w:iCs/>
          <w:noProof/>
          <w:sz w:val="18"/>
          <w:lang w:val="en-US"/>
        </w:rPr>
        <w:t>Ann Intern Med</w:t>
      </w:r>
      <w:r w:rsidRPr="000507BA">
        <w:rPr>
          <w:noProof/>
          <w:sz w:val="18"/>
          <w:lang w:val="en-US"/>
        </w:rPr>
        <w:t>. 1984;101(6):748. doi:10.7326/0003-4819-101-6-748</w:t>
      </w:r>
    </w:p>
    <w:p w14:paraId="471FB88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374. </w:t>
      </w:r>
      <w:r w:rsidRPr="000507BA">
        <w:rPr>
          <w:noProof/>
          <w:sz w:val="18"/>
          <w:lang w:val="en-US"/>
        </w:rPr>
        <w:tab/>
        <w:t xml:space="preserve">Helmick CG, Felson DT, Lawrence RC, et al. Estimates of the prevalence of arthritis and other rheumatic conditions in the United States: Part I. </w:t>
      </w:r>
      <w:r w:rsidRPr="000507BA">
        <w:rPr>
          <w:i/>
          <w:iCs/>
          <w:noProof/>
          <w:sz w:val="18"/>
          <w:lang w:val="en-US"/>
        </w:rPr>
        <w:t>Arthritis Rheum</w:t>
      </w:r>
      <w:r w:rsidRPr="000507BA">
        <w:rPr>
          <w:noProof/>
          <w:sz w:val="18"/>
          <w:lang w:val="en-US"/>
        </w:rPr>
        <w:t>. 2008;58(1):15-25. doi:10.1002/art.23177</w:t>
      </w:r>
    </w:p>
    <w:p w14:paraId="26F7466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375. </w:t>
      </w:r>
      <w:r w:rsidRPr="000507BA">
        <w:rPr>
          <w:noProof/>
          <w:sz w:val="18"/>
          <w:lang w:val="en-US"/>
        </w:rPr>
        <w:tab/>
        <w:t xml:space="preserve">MacGregor AJ, Snieder H, Rigby AS, et al. Characterizing the quantitative genetic contribution to rheumatoid arthritis using data from twins. </w:t>
      </w:r>
      <w:r w:rsidRPr="000507BA">
        <w:rPr>
          <w:i/>
          <w:iCs/>
          <w:noProof/>
          <w:sz w:val="18"/>
          <w:lang w:val="en-US"/>
        </w:rPr>
        <w:t>Arthritis Rheum</w:t>
      </w:r>
      <w:r w:rsidRPr="000507BA">
        <w:rPr>
          <w:noProof/>
          <w:sz w:val="18"/>
          <w:lang w:val="en-US"/>
        </w:rPr>
        <w:t>. 2000;43(1):30-37. doi:10.1002/1529-0131(200001)43:1&lt;30::AID-ANR5&gt;3.0.CO;2-B</w:t>
      </w:r>
    </w:p>
    <w:p w14:paraId="7755713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lastRenderedPageBreak/>
        <w:t xml:space="preserve">376. </w:t>
      </w:r>
      <w:r w:rsidRPr="000507BA">
        <w:rPr>
          <w:noProof/>
          <w:sz w:val="18"/>
          <w:lang w:val="en-US"/>
        </w:rPr>
        <w:tab/>
        <w:t xml:space="preserve">Shbeeb M, Uramoto KM, Gibson LE, O’Fallon WM, Gabriel SE. The epidemiology of psoriatic arthritis in Olmsted County, Minnesota, USA, 1982-1991. </w:t>
      </w:r>
      <w:r w:rsidRPr="000507BA">
        <w:rPr>
          <w:i/>
          <w:iCs/>
          <w:noProof/>
          <w:sz w:val="18"/>
          <w:lang w:val="en-US"/>
        </w:rPr>
        <w:t>J Rheumatol</w:t>
      </w:r>
      <w:r w:rsidRPr="000507BA">
        <w:rPr>
          <w:noProof/>
          <w:sz w:val="18"/>
          <w:lang w:val="en-US"/>
        </w:rPr>
        <w:t>. 2000;27(5):1247-1250. http://www.ncbi.nlm.nih.gov/pubmed/10813295. Accessed October 23, 2018.</w:t>
      </w:r>
    </w:p>
    <w:p w14:paraId="23E5AFA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377. </w:t>
      </w:r>
      <w:r w:rsidRPr="000507BA">
        <w:rPr>
          <w:noProof/>
          <w:sz w:val="18"/>
          <w:lang w:val="en-US"/>
        </w:rPr>
        <w:tab/>
        <w:t xml:space="preserve">Lowes MA, Bowcock AM, Krueger JG. Pathogenesis and therapy of psoriasis. </w:t>
      </w:r>
      <w:r w:rsidRPr="000507BA">
        <w:rPr>
          <w:i/>
          <w:iCs/>
          <w:noProof/>
          <w:sz w:val="18"/>
          <w:lang w:val="en-US"/>
        </w:rPr>
        <w:t>Nature</w:t>
      </w:r>
      <w:r w:rsidRPr="000507BA">
        <w:rPr>
          <w:noProof/>
          <w:sz w:val="18"/>
          <w:lang w:val="en-US"/>
        </w:rPr>
        <w:t>. 2007;445(7130):866-873. doi:10.1038/nature05663</w:t>
      </w:r>
    </w:p>
    <w:p w14:paraId="3D90CE5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378. </w:t>
      </w:r>
      <w:r w:rsidRPr="000507BA">
        <w:rPr>
          <w:noProof/>
          <w:sz w:val="18"/>
          <w:lang w:val="en-US"/>
        </w:rPr>
        <w:tab/>
        <w:t xml:space="preserve">Menon B, Gullick NJ, Walter GJ, et al. Interleukin-17+CD8+ T Cells Are Enriched in the Joints of Patients With Psoriatic Arthritis and Correlate With Disease Activity and Joint Damage Progression. </w:t>
      </w:r>
      <w:r w:rsidRPr="000507BA">
        <w:rPr>
          <w:i/>
          <w:iCs/>
          <w:noProof/>
          <w:sz w:val="18"/>
          <w:lang w:val="en-US"/>
        </w:rPr>
        <w:t>Arthritis Rheumatol</w:t>
      </w:r>
      <w:r w:rsidRPr="000507BA">
        <w:rPr>
          <w:noProof/>
          <w:sz w:val="18"/>
          <w:lang w:val="en-US"/>
        </w:rPr>
        <w:t>. 2014;66(5):1272-1281. doi:10.1002/art.38376</w:t>
      </w:r>
    </w:p>
    <w:p w14:paraId="7747F72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379. </w:t>
      </w:r>
      <w:r w:rsidRPr="000507BA">
        <w:rPr>
          <w:noProof/>
          <w:sz w:val="18"/>
          <w:lang w:val="en-US"/>
        </w:rPr>
        <w:tab/>
        <w:t xml:space="preserve">Danning CL, Illei GG, Hitchon C, Greer MR, Boumpas DT, Mcinnes IB. </w:t>
      </w:r>
      <w:r w:rsidRPr="000507BA">
        <w:rPr>
          <w:i/>
          <w:iCs/>
          <w:noProof/>
          <w:sz w:val="18"/>
          <w:lang w:val="en-US"/>
        </w:rPr>
        <w:t>Macrophage-Derived Cytokine and Nuclear Factor B P65 Expression in Synovial Membrane and Skin of Patients with Psoriatic Arthritis</w:t>
      </w:r>
      <w:r w:rsidRPr="000507BA">
        <w:rPr>
          <w:noProof/>
          <w:sz w:val="18"/>
          <w:lang w:val="en-US"/>
        </w:rPr>
        <w:t>. Vol 43.; 2000. https://onlinelibrary.wiley.com/doi/pdf/10.1002/1529-0131(200006)43:6%3C1244::AID-ANR7%3E3.0.CO;2-2. Accessed October 23, 2018.</w:t>
      </w:r>
    </w:p>
    <w:p w14:paraId="1EE18B6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380. </w:t>
      </w:r>
      <w:r w:rsidRPr="000507BA">
        <w:rPr>
          <w:noProof/>
          <w:sz w:val="18"/>
          <w:lang w:val="en-US"/>
        </w:rPr>
        <w:tab/>
        <w:t xml:space="preserve">Schafer P. Apremilast mechanism of action and application to psoriasis and psoriatic arthritis. </w:t>
      </w:r>
      <w:r w:rsidRPr="000507BA">
        <w:rPr>
          <w:i/>
          <w:iCs/>
          <w:noProof/>
          <w:sz w:val="18"/>
          <w:lang w:val="en-US"/>
        </w:rPr>
        <w:t>Biochem Pharmacol</w:t>
      </w:r>
      <w:r w:rsidRPr="000507BA">
        <w:rPr>
          <w:noProof/>
          <w:sz w:val="18"/>
          <w:lang w:val="en-US"/>
        </w:rPr>
        <w:t>. 2012;83(12):1583-1590. doi:10.1016/J.BCP.2012.01.001</w:t>
      </w:r>
    </w:p>
    <w:p w14:paraId="4DAEC2F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381. </w:t>
      </w:r>
      <w:r w:rsidRPr="000507BA">
        <w:rPr>
          <w:noProof/>
          <w:sz w:val="18"/>
          <w:lang w:val="en-US"/>
        </w:rPr>
        <w:tab/>
        <w:t xml:space="preserve">Ritchlin CT, Haas-Smith SA, Li P, Hicks DG, Schwarz EM. Mechanisms of TNF-alpha- and RANKL-mediated osteoclastogenesis and bone resorption in psoriatic arthritis. </w:t>
      </w:r>
      <w:r w:rsidRPr="000507BA">
        <w:rPr>
          <w:i/>
          <w:iCs/>
          <w:noProof/>
          <w:sz w:val="18"/>
          <w:lang w:val="en-US"/>
        </w:rPr>
        <w:t>J Clin Invest</w:t>
      </w:r>
      <w:r w:rsidRPr="000507BA">
        <w:rPr>
          <w:noProof/>
          <w:sz w:val="18"/>
          <w:lang w:val="en-US"/>
        </w:rPr>
        <w:t>. 2003;111(6):821-831. doi:10.1172/JCI16069</w:t>
      </w:r>
    </w:p>
    <w:p w14:paraId="447A6CE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382. </w:t>
      </w:r>
      <w:r w:rsidRPr="000507BA">
        <w:rPr>
          <w:noProof/>
          <w:sz w:val="18"/>
          <w:lang w:val="en-US"/>
        </w:rPr>
        <w:tab/>
        <w:t xml:space="preserve">Braun J, Sieper J. </w:t>
      </w:r>
      <w:r w:rsidRPr="000507BA">
        <w:rPr>
          <w:i/>
          <w:iCs/>
          <w:noProof/>
          <w:sz w:val="18"/>
          <w:lang w:val="en-US"/>
        </w:rPr>
        <w:t>Ankylosing Spondylitis</w:t>
      </w:r>
      <w:r w:rsidRPr="000507BA">
        <w:rPr>
          <w:noProof/>
          <w:sz w:val="18"/>
          <w:lang w:val="en-US"/>
        </w:rPr>
        <w:t>. Vol 369.; 2007. www.thelancet.com. Accessed September 27, 2018.</w:t>
      </w:r>
    </w:p>
    <w:p w14:paraId="27B188D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383. </w:t>
      </w:r>
      <w:r w:rsidRPr="000507BA">
        <w:rPr>
          <w:noProof/>
          <w:sz w:val="18"/>
          <w:lang w:val="en-US"/>
        </w:rPr>
        <w:tab/>
        <w:t xml:space="preserve">Brophy S, Calin A. Ankylosing spondylitis: interaction between genes, joints, age at onset, and disease expression. </w:t>
      </w:r>
      <w:r w:rsidRPr="000507BA">
        <w:rPr>
          <w:i/>
          <w:iCs/>
          <w:noProof/>
          <w:sz w:val="18"/>
          <w:lang w:val="en-US"/>
        </w:rPr>
        <w:t>J Rheumatol</w:t>
      </w:r>
      <w:r w:rsidRPr="000507BA">
        <w:rPr>
          <w:noProof/>
          <w:sz w:val="18"/>
          <w:lang w:val="en-US"/>
        </w:rPr>
        <w:t>. 2001;28(10):2283-2288. http://www.ncbi.nlm.nih.gov/pubmed/11669170. Accessed October 23, 2018.</w:t>
      </w:r>
    </w:p>
    <w:p w14:paraId="60DBFB5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384. </w:t>
      </w:r>
      <w:r w:rsidRPr="000507BA">
        <w:rPr>
          <w:noProof/>
          <w:sz w:val="18"/>
          <w:lang w:val="en-US"/>
        </w:rPr>
        <w:tab/>
        <w:t xml:space="preserve">Hermann E, Meyer zum Büschenfelde K-H, Fleischer B, Yu DTY. HLA-B27-restricted CD8 T cells derived from synovial fluids of patients with reactive arthritis and ankylosing spondylitis. </w:t>
      </w:r>
      <w:r w:rsidRPr="000507BA">
        <w:rPr>
          <w:i/>
          <w:iCs/>
          <w:noProof/>
          <w:sz w:val="18"/>
          <w:lang w:val="en-US"/>
        </w:rPr>
        <w:t>Lancet</w:t>
      </w:r>
      <w:r w:rsidRPr="000507BA">
        <w:rPr>
          <w:noProof/>
          <w:sz w:val="18"/>
          <w:lang w:val="en-US"/>
        </w:rPr>
        <w:t>. 1993;342(8872):646-650. doi:10.1016/0140-6736(93)91760-J</w:t>
      </w:r>
    </w:p>
    <w:p w14:paraId="72464B3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385. </w:t>
      </w:r>
      <w:r w:rsidRPr="000507BA">
        <w:rPr>
          <w:noProof/>
          <w:sz w:val="18"/>
          <w:lang w:val="en-US"/>
        </w:rPr>
        <w:tab/>
        <w:t xml:space="preserve">Marhoffer W, Stracke H, Masoud I, et al. </w:t>
      </w:r>
      <w:r w:rsidRPr="000507BA">
        <w:rPr>
          <w:i/>
          <w:iCs/>
          <w:noProof/>
          <w:sz w:val="18"/>
          <w:lang w:val="en-US"/>
        </w:rPr>
        <w:t>Evidence of Impaired Cartilage/Bone Turnover in Patients with Active Ankylosing Spondylitis</w:t>
      </w:r>
      <w:r w:rsidRPr="000507BA">
        <w:rPr>
          <w:noProof/>
          <w:sz w:val="18"/>
          <w:lang w:val="en-US"/>
        </w:rPr>
        <w:t>. Vol 54.; 1995. https://www.ncbi.nlm.nih.gov/pmc/articles/PMC1009934/pdf/annrheumd00340-0026.pdf. Accessed October 23, 2018.</w:t>
      </w:r>
    </w:p>
    <w:p w14:paraId="0DC14F0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386. </w:t>
      </w:r>
      <w:r w:rsidRPr="000507BA">
        <w:rPr>
          <w:noProof/>
          <w:sz w:val="18"/>
          <w:lang w:val="en-US"/>
        </w:rPr>
        <w:tab/>
        <w:t xml:space="preserve">Brewerton DA, Hart FD, Nicholls A, Caffrey M, James DCO, Sturrock RD. Ankylosing Spondylitis and HL-A 27. </w:t>
      </w:r>
      <w:r w:rsidRPr="000507BA">
        <w:rPr>
          <w:i/>
          <w:iCs/>
          <w:noProof/>
          <w:sz w:val="18"/>
          <w:lang w:val="en-US"/>
        </w:rPr>
        <w:t>Lancet</w:t>
      </w:r>
      <w:r w:rsidRPr="000507BA">
        <w:rPr>
          <w:noProof/>
          <w:sz w:val="18"/>
          <w:lang w:val="en-US"/>
        </w:rPr>
        <w:t>. 1973;301(7809):904-907. doi:10.1016/S0140-6736(73)91360-3</w:t>
      </w:r>
    </w:p>
    <w:p w14:paraId="4C02BB8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387. </w:t>
      </w:r>
      <w:r w:rsidRPr="000507BA">
        <w:rPr>
          <w:noProof/>
          <w:sz w:val="18"/>
          <w:lang w:val="en-US"/>
        </w:rPr>
        <w:tab/>
        <w:t xml:space="preserve">Robinson PC, Brown MA. Genetics of ankylosing spondylitis. </w:t>
      </w:r>
      <w:r w:rsidRPr="000507BA">
        <w:rPr>
          <w:i/>
          <w:iCs/>
          <w:noProof/>
          <w:sz w:val="18"/>
          <w:lang w:val="en-US"/>
        </w:rPr>
        <w:t>Mol Immunol</w:t>
      </w:r>
      <w:r w:rsidRPr="000507BA">
        <w:rPr>
          <w:noProof/>
          <w:sz w:val="18"/>
          <w:lang w:val="en-US"/>
        </w:rPr>
        <w:t>. 2014;57(1):2-11. doi:10.1016/J.MOLIMM.2013.06.013</w:t>
      </w:r>
    </w:p>
    <w:p w14:paraId="1FE0218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388. </w:t>
      </w:r>
      <w:r w:rsidRPr="000507BA">
        <w:rPr>
          <w:noProof/>
          <w:sz w:val="18"/>
          <w:lang w:val="en-US"/>
        </w:rPr>
        <w:tab/>
        <w:t xml:space="preserve">Prakken B, Albani S, Martini A. Juvenile idiopathic arthritis. </w:t>
      </w:r>
      <w:r w:rsidRPr="000507BA">
        <w:rPr>
          <w:i/>
          <w:iCs/>
          <w:noProof/>
          <w:sz w:val="18"/>
          <w:lang w:val="en-US"/>
        </w:rPr>
        <w:t>Lancet</w:t>
      </w:r>
      <w:r w:rsidRPr="000507BA">
        <w:rPr>
          <w:noProof/>
          <w:sz w:val="18"/>
          <w:lang w:val="en-US"/>
        </w:rPr>
        <w:t>. 2011;377(9783):2138-2149. doi:10.1016/S0140-6736(11)60244-4</w:t>
      </w:r>
    </w:p>
    <w:p w14:paraId="7472ED7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389. </w:t>
      </w:r>
      <w:r w:rsidRPr="000507BA">
        <w:rPr>
          <w:noProof/>
          <w:sz w:val="18"/>
          <w:lang w:val="en-US"/>
        </w:rPr>
        <w:tab/>
        <w:t xml:space="preserve">Heiligenhaus A, Niewerth M, Ganser G, Heinz C, Minden K. Prevalence and complications of uveitis in juvenile idiopathic arthritis in a population-based nation-wide study in Germany: suggested modification of the current screening guidelines. </w:t>
      </w:r>
      <w:r w:rsidRPr="000507BA">
        <w:rPr>
          <w:i/>
          <w:iCs/>
          <w:noProof/>
          <w:sz w:val="18"/>
          <w:lang w:val="en-US"/>
        </w:rPr>
        <w:t>Rheumatology</w:t>
      </w:r>
      <w:r w:rsidRPr="000507BA">
        <w:rPr>
          <w:noProof/>
          <w:sz w:val="18"/>
          <w:lang w:val="en-US"/>
        </w:rPr>
        <w:t>. 2007;46(6):1015-1019. doi:10.1093/rheumatology/kem053</w:t>
      </w:r>
    </w:p>
    <w:p w14:paraId="780CDB9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390. </w:t>
      </w:r>
      <w:r w:rsidRPr="000507BA">
        <w:rPr>
          <w:noProof/>
          <w:sz w:val="18"/>
          <w:lang w:val="en-US"/>
        </w:rPr>
        <w:tab/>
        <w:t xml:space="preserve">Thorne JE, Woreta F, Kedhar SR, Dunn JP, Jabs DA. Juvenile Idiopathic Arthritis-Associated Uveitis: Incidence of Ocular Complications and Visual Acuity Loss. </w:t>
      </w:r>
      <w:r w:rsidRPr="000507BA">
        <w:rPr>
          <w:i/>
          <w:iCs/>
          <w:noProof/>
          <w:sz w:val="18"/>
          <w:lang w:val="en-US"/>
        </w:rPr>
        <w:t>Am J Ophthalmol</w:t>
      </w:r>
      <w:r w:rsidRPr="000507BA">
        <w:rPr>
          <w:noProof/>
          <w:sz w:val="18"/>
          <w:lang w:val="en-US"/>
        </w:rPr>
        <w:t>. 2007;143(5):840-846.e2. doi:10.1016/J.AJO.2007.01.033</w:t>
      </w:r>
    </w:p>
    <w:p w14:paraId="20526A7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391. </w:t>
      </w:r>
      <w:r w:rsidRPr="000507BA">
        <w:rPr>
          <w:noProof/>
          <w:sz w:val="18"/>
          <w:lang w:val="en-US"/>
        </w:rPr>
        <w:tab/>
        <w:t xml:space="preserve">Thierry S, Fautrel B, Lemelle I, Guillemin F. Prevalence and incidence of juvenile idiopathic arthritis: A systematic review. </w:t>
      </w:r>
      <w:r w:rsidRPr="000507BA">
        <w:rPr>
          <w:i/>
          <w:iCs/>
          <w:noProof/>
          <w:sz w:val="18"/>
          <w:lang w:val="en-US"/>
        </w:rPr>
        <w:t>Jt Bone Spine</w:t>
      </w:r>
      <w:r w:rsidRPr="000507BA">
        <w:rPr>
          <w:noProof/>
          <w:sz w:val="18"/>
          <w:lang w:val="en-US"/>
        </w:rPr>
        <w:t>. 2014;81(2):112-117. doi:10.1016/J.JBSPIN.2013.09.003</w:t>
      </w:r>
    </w:p>
    <w:p w14:paraId="14CAE28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392. </w:t>
      </w:r>
      <w:r w:rsidRPr="000507BA">
        <w:rPr>
          <w:noProof/>
          <w:sz w:val="18"/>
          <w:lang w:val="en-US"/>
        </w:rPr>
        <w:tab/>
        <w:t xml:space="preserve">Lin Y-T, Wang C-T, Gershwin ME, Chiang B-L. The pathogenesis of oligoarticular/polyarticular vs systemic juvenile idiopathic arthritis. </w:t>
      </w:r>
      <w:r w:rsidRPr="000507BA">
        <w:rPr>
          <w:i/>
          <w:iCs/>
          <w:noProof/>
          <w:sz w:val="18"/>
          <w:lang w:val="en-US"/>
        </w:rPr>
        <w:t>Autoimmun Rev</w:t>
      </w:r>
      <w:r w:rsidRPr="000507BA">
        <w:rPr>
          <w:noProof/>
          <w:sz w:val="18"/>
          <w:lang w:val="en-US"/>
        </w:rPr>
        <w:t xml:space="preserve">. 2011;10(8):482-489. </w:t>
      </w:r>
      <w:r w:rsidRPr="000507BA">
        <w:rPr>
          <w:noProof/>
          <w:sz w:val="18"/>
          <w:lang w:val="en-US"/>
        </w:rPr>
        <w:lastRenderedPageBreak/>
        <w:t>doi:10.1016/J.AUTREV.2011.02.001</w:t>
      </w:r>
    </w:p>
    <w:p w14:paraId="4661D8B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393. </w:t>
      </w:r>
      <w:r w:rsidRPr="000507BA">
        <w:rPr>
          <w:noProof/>
          <w:sz w:val="18"/>
          <w:lang w:val="en-US"/>
        </w:rPr>
        <w:tab/>
        <w:t xml:space="preserve">Prahalad S, Glass DN. A comprehensive review of the genetics of juvenile idiopathic arthritis. </w:t>
      </w:r>
      <w:r w:rsidRPr="000507BA">
        <w:rPr>
          <w:i/>
          <w:iCs/>
          <w:noProof/>
          <w:sz w:val="18"/>
          <w:lang w:val="en-US"/>
        </w:rPr>
        <w:t>Pediatr Rheumatol Online J</w:t>
      </w:r>
      <w:r w:rsidRPr="000507BA">
        <w:rPr>
          <w:noProof/>
          <w:sz w:val="18"/>
          <w:lang w:val="en-US"/>
        </w:rPr>
        <w:t>. 2008;6:11. doi:10.1186/1546-0096-6-11</w:t>
      </w:r>
    </w:p>
    <w:p w14:paraId="32C4E09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394. </w:t>
      </w:r>
      <w:r w:rsidRPr="000507BA">
        <w:rPr>
          <w:noProof/>
          <w:sz w:val="18"/>
          <w:lang w:val="en-US"/>
        </w:rPr>
        <w:tab/>
        <w:t xml:space="preserve">Gerfaud-Valentin M, Maucort-Boulch D, Hot A, et al. Adult-Onset Still Disease: Manifestations, Treatment, Outcome, and Prognostic Factors in 57 Patients. </w:t>
      </w:r>
      <w:r w:rsidRPr="000507BA">
        <w:rPr>
          <w:i/>
          <w:iCs/>
          <w:noProof/>
          <w:sz w:val="18"/>
          <w:lang w:val="en-US"/>
        </w:rPr>
        <w:t>Medicine (Baltimore)</w:t>
      </w:r>
      <w:r w:rsidRPr="000507BA">
        <w:rPr>
          <w:noProof/>
          <w:sz w:val="18"/>
          <w:lang w:val="en-US"/>
        </w:rPr>
        <w:t>. 2014;93(2). doi:10.1097/MD.0000000000000021</w:t>
      </w:r>
    </w:p>
    <w:p w14:paraId="45E8EC7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395. </w:t>
      </w:r>
      <w:r w:rsidRPr="000507BA">
        <w:rPr>
          <w:noProof/>
          <w:sz w:val="18"/>
          <w:lang w:val="en-US"/>
        </w:rPr>
        <w:tab/>
        <w:t xml:space="preserve">Sugiura T, Kawaguchi Y, Harigai M, et al. Association between adult-onset Still’s disease and interleukin-18 gene polymorphisms. </w:t>
      </w:r>
      <w:r w:rsidRPr="000507BA">
        <w:rPr>
          <w:i/>
          <w:iCs/>
          <w:noProof/>
          <w:sz w:val="18"/>
          <w:lang w:val="en-US"/>
        </w:rPr>
        <w:t>Genes Immun</w:t>
      </w:r>
      <w:r w:rsidRPr="000507BA">
        <w:rPr>
          <w:noProof/>
          <w:sz w:val="18"/>
          <w:lang w:val="en-US"/>
        </w:rPr>
        <w:t>. 2002;3(7):394-399. doi:10.1038/sj.gene.6363922</w:t>
      </w:r>
    </w:p>
    <w:p w14:paraId="13C3F1B0"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396. </w:t>
      </w:r>
      <w:r w:rsidRPr="000507BA">
        <w:rPr>
          <w:noProof/>
          <w:sz w:val="18"/>
          <w:lang w:val="en-US"/>
        </w:rPr>
        <w:tab/>
        <w:t xml:space="preserve">Fujita Y, Furukawa H, Asano T, et al. HLA-DQB1 DPB1 alleles in Japanese patients with adult-onset Still’s disease. </w:t>
      </w:r>
      <w:r w:rsidRPr="000507BA">
        <w:rPr>
          <w:i/>
          <w:iCs/>
          <w:noProof/>
          <w:sz w:val="18"/>
          <w:lang w:val="en-US"/>
        </w:rPr>
        <w:t>Mod Rheumatol</w:t>
      </w:r>
      <w:r w:rsidRPr="000507BA">
        <w:rPr>
          <w:noProof/>
          <w:sz w:val="18"/>
          <w:lang w:val="en-US"/>
        </w:rPr>
        <w:t>. October 2018:1-5. doi:10.1080/14397595.2018.1514999</w:t>
      </w:r>
    </w:p>
    <w:p w14:paraId="5F1BB4B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397. </w:t>
      </w:r>
      <w:r w:rsidRPr="000507BA">
        <w:rPr>
          <w:noProof/>
          <w:sz w:val="18"/>
          <w:lang w:val="en-US"/>
        </w:rPr>
        <w:tab/>
        <w:t xml:space="preserve">Kuhn A, Bonsmann G, Anders H-J, Herzer P, Tenbrock K, Schneider M. The Diagnosis and Treatment of Systemic Lupus Erythematosus. </w:t>
      </w:r>
      <w:r w:rsidRPr="000507BA">
        <w:rPr>
          <w:i/>
          <w:iCs/>
          <w:noProof/>
          <w:sz w:val="18"/>
          <w:lang w:val="en-US"/>
        </w:rPr>
        <w:t>Dtsch Arztebl Int</w:t>
      </w:r>
      <w:r w:rsidRPr="000507BA">
        <w:rPr>
          <w:noProof/>
          <w:sz w:val="18"/>
          <w:lang w:val="en-US"/>
        </w:rPr>
        <w:t>. 2015;112(25):423-432. doi:10.3238/arztebl.2015.0423</w:t>
      </w:r>
    </w:p>
    <w:p w14:paraId="44F0D12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398. </w:t>
      </w:r>
      <w:r w:rsidRPr="000507BA">
        <w:rPr>
          <w:noProof/>
          <w:sz w:val="18"/>
          <w:lang w:val="en-US"/>
        </w:rPr>
        <w:tab/>
        <w:t xml:space="preserve">Bertsias GK, Ioannidis JPA, Aringer M, et al. EULAR recommendations for the management of systemic lupus erythematosus with neuropsychiatric manifestations: report of a task force of the EULAR standing committee for clinical affairs. </w:t>
      </w:r>
      <w:r w:rsidRPr="000507BA">
        <w:rPr>
          <w:i/>
          <w:iCs/>
          <w:noProof/>
          <w:sz w:val="18"/>
          <w:lang w:val="en-US"/>
        </w:rPr>
        <w:t>Ann Rheum Dis</w:t>
      </w:r>
      <w:r w:rsidRPr="000507BA">
        <w:rPr>
          <w:noProof/>
          <w:sz w:val="18"/>
          <w:lang w:val="en-US"/>
        </w:rPr>
        <w:t>. 2010;69(12):2074-2082. doi:10.1136/ard.2010.130476</w:t>
      </w:r>
    </w:p>
    <w:p w14:paraId="6593DA7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399. </w:t>
      </w:r>
      <w:r w:rsidRPr="000507BA">
        <w:rPr>
          <w:noProof/>
          <w:sz w:val="18"/>
          <w:lang w:val="en-US"/>
        </w:rPr>
        <w:tab/>
        <w:t xml:space="preserve">Michet CJ, McKenna CH, Elveback LR, Kaslow RA, Kurland LT. Epidemiology of systemic lupus erythematosus and other connective tissue diseases in Rochester, Minnesota, 1950 through 1979. </w:t>
      </w:r>
      <w:r w:rsidRPr="000507BA">
        <w:rPr>
          <w:i/>
          <w:iCs/>
          <w:noProof/>
          <w:sz w:val="18"/>
          <w:lang w:val="en-US"/>
        </w:rPr>
        <w:t>Mayo Clin Proc</w:t>
      </w:r>
      <w:r w:rsidRPr="000507BA">
        <w:rPr>
          <w:noProof/>
          <w:sz w:val="18"/>
          <w:lang w:val="en-US"/>
        </w:rPr>
        <w:t>. 1985;60(2):105-113. http://www.ncbi.nlm.nih.gov/pubmed/3974288. Accessed October 23, 2018.</w:t>
      </w:r>
    </w:p>
    <w:p w14:paraId="7431149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400. </w:t>
      </w:r>
      <w:r w:rsidRPr="000507BA">
        <w:rPr>
          <w:noProof/>
          <w:sz w:val="18"/>
          <w:lang w:val="en-US"/>
        </w:rPr>
        <w:tab/>
        <w:t xml:space="preserve">Balluz L, Philen R, Ortega L, et al. Investigation of systemic lupus erythematosus in Nogales, Arizona. </w:t>
      </w:r>
      <w:r w:rsidRPr="000507BA">
        <w:rPr>
          <w:i/>
          <w:iCs/>
          <w:noProof/>
          <w:sz w:val="18"/>
          <w:lang w:val="en-US"/>
        </w:rPr>
        <w:t>Am J Epidemiol</w:t>
      </w:r>
      <w:r w:rsidRPr="000507BA">
        <w:rPr>
          <w:noProof/>
          <w:sz w:val="18"/>
          <w:lang w:val="en-US"/>
        </w:rPr>
        <w:t>. 2001;154(11):1029-1036. http://www.ncbi.nlm.nih.gov/pubmed/11724719. Accessed October 23, 2018.</w:t>
      </w:r>
    </w:p>
    <w:p w14:paraId="19F0E83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401. </w:t>
      </w:r>
      <w:r w:rsidRPr="000507BA">
        <w:rPr>
          <w:noProof/>
          <w:sz w:val="18"/>
          <w:lang w:val="en-US"/>
        </w:rPr>
        <w:tab/>
        <w:t xml:space="preserve">Maskarinec G, Katz AR. Prevalence of systemic lupus erythematosus in Hawaii: is there a difference between ethnic groups? </w:t>
      </w:r>
      <w:r w:rsidRPr="000507BA">
        <w:rPr>
          <w:i/>
          <w:iCs/>
          <w:noProof/>
          <w:sz w:val="18"/>
          <w:lang w:val="en-US"/>
        </w:rPr>
        <w:t>Hawaii Med J</w:t>
      </w:r>
      <w:r w:rsidRPr="000507BA">
        <w:rPr>
          <w:noProof/>
          <w:sz w:val="18"/>
          <w:lang w:val="en-US"/>
        </w:rPr>
        <w:t>. 1995;54(2):406-409. http://www.ncbi.nlm.nih.gov/pubmed/7737852. Accessed October 23, 2018.</w:t>
      </w:r>
    </w:p>
    <w:p w14:paraId="4A0A22EF"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402. </w:t>
      </w:r>
      <w:r w:rsidRPr="000507BA">
        <w:rPr>
          <w:noProof/>
          <w:sz w:val="18"/>
          <w:lang w:val="en-US"/>
        </w:rPr>
        <w:tab/>
        <w:t xml:space="preserve">Alarcón-Segovia D, Alarcón-Riquelme ME, Cardiel MH, et al. Familial aggregation of systemic lupus erythematosus, rheumatoid arthritis, and other autoimmune diseases in 1,177 lupus patients from the GLADEL cohort. </w:t>
      </w:r>
      <w:r w:rsidRPr="000507BA">
        <w:rPr>
          <w:i/>
          <w:iCs/>
          <w:noProof/>
          <w:sz w:val="18"/>
          <w:lang w:val="en-US"/>
        </w:rPr>
        <w:t>Arthritis Rheum</w:t>
      </w:r>
      <w:r w:rsidRPr="000507BA">
        <w:rPr>
          <w:noProof/>
          <w:sz w:val="18"/>
          <w:lang w:val="en-US"/>
        </w:rPr>
        <w:t>. 2005;52(4):1138-1147. doi:10.1002/art.20999</w:t>
      </w:r>
    </w:p>
    <w:p w14:paraId="01EAFC3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403. </w:t>
      </w:r>
      <w:r w:rsidRPr="000507BA">
        <w:rPr>
          <w:noProof/>
          <w:sz w:val="18"/>
          <w:lang w:val="en-US"/>
        </w:rPr>
        <w:tab/>
        <w:t xml:space="preserve">Niewold TB. Advances in lupus genetics. </w:t>
      </w:r>
      <w:r w:rsidRPr="000507BA">
        <w:rPr>
          <w:i/>
          <w:iCs/>
          <w:noProof/>
          <w:sz w:val="18"/>
          <w:lang w:val="en-US"/>
        </w:rPr>
        <w:t>Curr Opin Rheumatol</w:t>
      </w:r>
      <w:r w:rsidRPr="000507BA">
        <w:rPr>
          <w:noProof/>
          <w:sz w:val="18"/>
          <w:lang w:val="en-US"/>
        </w:rPr>
        <w:t>. 2015;27(5):440-447. doi:10.1097/BOR.0000000000000205</w:t>
      </w:r>
    </w:p>
    <w:p w14:paraId="2ED9EE0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404. </w:t>
      </w:r>
      <w:r w:rsidRPr="000507BA">
        <w:rPr>
          <w:noProof/>
          <w:sz w:val="18"/>
          <w:lang w:val="en-US"/>
        </w:rPr>
        <w:tab/>
        <w:t xml:space="preserve">Navarra S V, Guzmán RM, Gallacher AE, et al. Efficacy and safety of belimumab in patients with active systemic lupus erythematosus: a randomised, placebo-controlled, phase 3 trial. </w:t>
      </w:r>
      <w:r w:rsidRPr="000507BA">
        <w:rPr>
          <w:i/>
          <w:iCs/>
          <w:noProof/>
          <w:sz w:val="18"/>
          <w:lang w:val="en-US"/>
        </w:rPr>
        <w:t>Lancet</w:t>
      </w:r>
      <w:r w:rsidRPr="000507BA">
        <w:rPr>
          <w:noProof/>
          <w:sz w:val="18"/>
          <w:lang w:val="en-US"/>
        </w:rPr>
        <w:t>. 2011;377(9767):721-731. doi:10.1016/S0140-6736(10)61354-2</w:t>
      </w:r>
    </w:p>
    <w:p w14:paraId="798DFAB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405. </w:t>
      </w:r>
      <w:r w:rsidRPr="000507BA">
        <w:rPr>
          <w:noProof/>
          <w:sz w:val="18"/>
          <w:lang w:val="en-US"/>
        </w:rPr>
        <w:tab/>
        <w:t xml:space="preserve">Möller B, Pruijm M, Adler S, et al. Chronic NSAID use and long-term decline of renal function in a prospective rheumatoid arthritis cohort study. </w:t>
      </w:r>
      <w:r w:rsidRPr="000507BA">
        <w:rPr>
          <w:i/>
          <w:iCs/>
          <w:noProof/>
          <w:sz w:val="18"/>
          <w:lang w:val="en-US"/>
        </w:rPr>
        <w:t>Ann Rheum Dis</w:t>
      </w:r>
      <w:r w:rsidRPr="000507BA">
        <w:rPr>
          <w:noProof/>
          <w:sz w:val="18"/>
          <w:lang w:val="en-US"/>
        </w:rPr>
        <w:t>. 2015;74(4):718-723. doi:10.1136/annrheumdis-2013-204078</w:t>
      </w:r>
    </w:p>
    <w:p w14:paraId="56D7D30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406. </w:t>
      </w:r>
      <w:r w:rsidRPr="000507BA">
        <w:rPr>
          <w:noProof/>
          <w:sz w:val="18"/>
          <w:lang w:val="en-US"/>
        </w:rPr>
        <w:tab/>
        <w:t xml:space="preserve">Blower AL, Brooks A, Fenn GC, et al. </w:t>
      </w:r>
      <w:r w:rsidRPr="000507BA">
        <w:rPr>
          <w:i/>
          <w:iCs/>
          <w:noProof/>
          <w:sz w:val="18"/>
          <w:lang w:val="en-US"/>
        </w:rPr>
        <w:t>Emergency Admissions for Upper Gastrointestinal Disease and Their Relation to NSAID Use</w:t>
      </w:r>
      <w:r w:rsidRPr="000507BA">
        <w:rPr>
          <w:noProof/>
          <w:sz w:val="18"/>
          <w:lang w:val="en-US"/>
        </w:rPr>
        <w:t>. Vol 11.; 1997. https://onlinelibrary.wiley.com/doi/pdf/10.1046/j.1365-2036.1997.d01-604.x. Accessed October 23, 2018.</w:t>
      </w:r>
    </w:p>
    <w:p w14:paraId="30C6EB3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407. </w:t>
      </w:r>
      <w:r w:rsidRPr="000507BA">
        <w:rPr>
          <w:noProof/>
          <w:sz w:val="18"/>
          <w:lang w:val="en-US"/>
        </w:rPr>
        <w:tab/>
        <w:t xml:space="preserve">Gabriel SE, Jaakkimainen L, Bombardier C. Risk for serious gastrointestinal complications related to use of nonsteroidal anti-inflammatory drugs. A meta-analysis. </w:t>
      </w:r>
      <w:r w:rsidRPr="000507BA">
        <w:rPr>
          <w:i/>
          <w:iCs/>
          <w:noProof/>
          <w:sz w:val="18"/>
          <w:lang w:val="en-US"/>
        </w:rPr>
        <w:t>Ann Intern Med</w:t>
      </w:r>
      <w:r w:rsidRPr="000507BA">
        <w:rPr>
          <w:noProof/>
          <w:sz w:val="18"/>
          <w:lang w:val="en-US"/>
        </w:rPr>
        <w:t>. 1991;115(10):787-796. http://www.ncbi.nlm.nih.gov/pubmed/1834002. Accessed October 24, 2018.</w:t>
      </w:r>
    </w:p>
    <w:p w14:paraId="5A3B522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408. </w:t>
      </w:r>
      <w:r w:rsidRPr="000507BA">
        <w:rPr>
          <w:noProof/>
          <w:sz w:val="18"/>
          <w:lang w:val="en-US"/>
        </w:rPr>
        <w:tab/>
        <w:t xml:space="preserve">Björnsson ES, Gunnarsson BI, Gröndal G, et al. Risk of Drug-Induced Liver Injury From Tumor Necrosis Factor Antagonists. </w:t>
      </w:r>
      <w:r w:rsidRPr="000507BA">
        <w:rPr>
          <w:i/>
          <w:iCs/>
          <w:noProof/>
          <w:sz w:val="18"/>
          <w:lang w:val="en-US"/>
        </w:rPr>
        <w:t>Clin Gastroenterol Hepatol</w:t>
      </w:r>
      <w:r w:rsidRPr="000507BA">
        <w:rPr>
          <w:noProof/>
          <w:sz w:val="18"/>
          <w:lang w:val="en-US"/>
        </w:rPr>
        <w:t xml:space="preserve">. 2015;13(3):602-608. </w:t>
      </w:r>
      <w:r w:rsidRPr="000507BA">
        <w:rPr>
          <w:noProof/>
          <w:sz w:val="18"/>
          <w:lang w:val="en-US"/>
        </w:rPr>
        <w:lastRenderedPageBreak/>
        <w:t>doi:10.1016/j.cgh.2014.07.062</w:t>
      </w:r>
    </w:p>
    <w:p w14:paraId="30CACD6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409. </w:t>
      </w:r>
      <w:r w:rsidRPr="000507BA">
        <w:rPr>
          <w:noProof/>
          <w:sz w:val="18"/>
          <w:lang w:val="en-US"/>
        </w:rPr>
        <w:tab/>
        <w:t xml:space="preserve">Sokolove J, Strand V, Greenberg JD, et al. Risk of elevated liver enzymes associated with TNF inhibitor utilisation in patients with rheumatoid arthritis. </w:t>
      </w:r>
      <w:r w:rsidRPr="000507BA">
        <w:rPr>
          <w:i/>
          <w:iCs/>
          <w:noProof/>
          <w:sz w:val="18"/>
          <w:lang w:val="en-US"/>
        </w:rPr>
        <w:t>Ann Rheum Dis</w:t>
      </w:r>
      <w:r w:rsidRPr="000507BA">
        <w:rPr>
          <w:noProof/>
          <w:sz w:val="18"/>
          <w:lang w:val="en-US"/>
        </w:rPr>
        <w:t>. 2010;69(9):1612-1617. doi:10.1136/ard.2009.112136</w:t>
      </w:r>
    </w:p>
    <w:p w14:paraId="6F3797B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410. </w:t>
      </w:r>
      <w:r w:rsidRPr="000507BA">
        <w:rPr>
          <w:noProof/>
          <w:sz w:val="18"/>
          <w:lang w:val="en-US"/>
        </w:rPr>
        <w:tab/>
        <w:t xml:space="preserve">Hirabayashi Y, Shimizu H, Kobayashi N, Kudo K. Leflunomide-induced pneumonitis in a patient with rheumatoid arthritis. </w:t>
      </w:r>
      <w:r w:rsidRPr="000507BA">
        <w:rPr>
          <w:i/>
          <w:iCs/>
          <w:noProof/>
          <w:sz w:val="18"/>
          <w:lang w:val="en-US"/>
        </w:rPr>
        <w:t>Intern Med</w:t>
      </w:r>
      <w:r w:rsidRPr="000507BA">
        <w:rPr>
          <w:noProof/>
          <w:sz w:val="18"/>
          <w:lang w:val="en-US"/>
        </w:rPr>
        <w:t>. 2006;45(10):689-691. http://www.ncbi.nlm.nih.gov/pubmed/16778342. Accessed October 24, 2018.</w:t>
      </w:r>
    </w:p>
    <w:p w14:paraId="42C49F3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411. </w:t>
      </w:r>
      <w:r w:rsidRPr="000507BA">
        <w:rPr>
          <w:noProof/>
          <w:sz w:val="18"/>
          <w:lang w:val="en-US"/>
        </w:rPr>
        <w:tab/>
        <w:t xml:space="preserve">Antoni C, Braun J. Side effects of anti-TNF therapy: current knowledge. </w:t>
      </w:r>
      <w:r w:rsidRPr="000507BA">
        <w:rPr>
          <w:i/>
          <w:iCs/>
          <w:noProof/>
          <w:sz w:val="18"/>
          <w:lang w:val="en-US"/>
        </w:rPr>
        <w:t>Clin Exp Rheumatol</w:t>
      </w:r>
      <w:r w:rsidRPr="000507BA">
        <w:rPr>
          <w:noProof/>
          <w:sz w:val="18"/>
          <w:lang w:val="en-US"/>
        </w:rPr>
        <w:t>. 2002;20(6 Suppl 28):S152-7. http://www.ncbi.nlm.nih.gov/pubmed/12463468. Accessed October 24, 2018.</w:t>
      </w:r>
    </w:p>
    <w:p w14:paraId="0C1C3F4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412. </w:t>
      </w:r>
      <w:r w:rsidRPr="000507BA">
        <w:rPr>
          <w:noProof/>
          <w:sz w:val="18"/>
          <w:lang w:val="en-US"/>
        </w:rPr>
        <w:tab/>
        <w:t xml:space="preserve">Visser M, Bouter LM, McQuillan GM, Wener MH, Harris TB. Elevated C-Reactive Protein Levels in Overweight and Obese Adults. </w:t>
      </w:r>
      <w:r w:rsidRPr="000507BA">
        <w:rPr>
          <w:i/>
          <w:iCs/>
          <w:noProof/>
          <w:sz w:val="18"/>
          <w:lang w:val="en-US"/>
        </w:rPr>
        <w:t>JAMA</w:t>
      </w:r>
      <w:r w:rsidRPr="000507BA">
        <w:rPr>
          <w:noProof/>
          <w:sz w:val="18"/>
          <w:lang w:val="en-US"/>
        </w:rPr>
        <w:t>. 1999;282(22):2131. doi:10.1001/jama.282.22.2131</w:t>
      </w:r>
    </w:p>
    <w:p w14:paraId="32B4087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413. </w:t>
      </w:r>
      <w:r w:rsidRPr="000507BA">
        <w:rPr>
          <w:noProof/>
          <w:sz w:val="18"/>
          <w:lang w:val="en-US"/>
        </w:rPr>
        <w:tab/>
        <w:t xml:space="preserve">Watts DH, Krohn MA, Wener MH, Eschenbach DA. C-reactive protein in normal pregnancy. </w:t>
      </w:r>
      <w:r w:rsidRPr="000507BA">
        <w:rPr>
          <w:i/>
          <w:iCs/>
          <w:noProof/>
          <w:sz w:val="18"/>
          <w:lang w:val="en-US"/>
        </w:rPr>
        <w:t>Obstet Gynecol</w:t>
      </w:r>
      <w:r w:rsidRPr="000507BA">
        <w:rPr>
          <w:noProof/>
          <w:sz w:val="18"/>
          <w:lang w:val="en-US"/>
        </w:rPr>
        <w:t>. 1991;77(2):176-180. doi:10.1097/00006250-199102000-00002</w:t>
      </w:r>
    </w:p>
    <w:p w14:paraId="3FB4B0B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414. </w:t>
      </w:r>
      <w:r w:rsidRPr="000507BA">
        <w:rPr>
          <w:noProof/>
          <w:sz w:val="18"/>
          <w:lang w:val="en-US"/>
        </w:rPr>
        <w:tab/>
        <w:t xml:space="preserve">Dreon D, Slavin J, Phinney S. Oral contraceptive use and increased plasma concentration of C-reactive protein. </w:t>
      </w:r>
      <w:r w:rsidRPr="000507BA">
        <w:rPr>
          <w:i/>
          <w:iCs/>
          <w:noProof/>
          <w:sz w:val="18"/>
          <w:lang w:val="en-US"/>
        </w:rPr>
        <w:t>Life Sci</w:t>
      </w:r>
      <w:r w:rsidRPr="000507BA">
        <w:rPr>
          <w:noProof/>
          <w:sz w:val="18"/>
          <w:lang w:val="en-US"/>
        </w:rPr>
        <w:t>. 2003;73(10):1245-1252. https://www-sciencedirect-com.sheffield.idm.oclc.org/science/article/pii/S0024320503004259.</w:t>
      </w:r>
    </w:p>
    <w:p w14:paraId="11ED2CC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415. </w:t>
      </w:r>
      <w:r w:rsidRPr="000507BA">
        <w:rPr>
          <w:noProof/>
          <w:sz w:val="18"/>
          <w:lang w:val="en-US"/>
        </w:rPr>
        <w:tab/>
        <w:t xml:space="preserve">van Baal M, Kenemans P, van der Mooren M, Kessel H, Emeis J, Stehouwer C. Increased C-reactive Protein Levels during Short-term Hormone Replacement Therapy in Healthy Postmenopausal Women. </w:t>
      </w:r>
      <w:r w:rsidRPr="000507BA">
        <w:rPr>
          <w:i/>
          <w:iCs/>
          <w:noProof/>
          <w:sz w:val="18"/>
          <w:lang w:val="en-US"/>
        </w:rPr>
        <w:t>Thromb Haemost</w:t>
      </w:r>
      <w:r w:rsidRPr="000507BA">
        <w:rPr>
          <w:noProof/>
          <w:sz w:val="18"/>
          <w:lang w:val="en-US"/>
        </w:rPr>
        <w:t>. 1999;81(06):925-928. doi:10.1055/s-0037-1614600</w:t>
      </w:r>
    </w:p>
    <w:p w14:paraId="52DAF01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416. </w:t>
      </w:r>
      <w:r w:rsidRPr="000507BA">
        <w:rPr>
          <w:noProof/>
          <w:sz w:val="18"/>
          <w:lang w:val="en-US"/>
        </w:rPr>
        <w:tab/>
        <w:t xml:space="preserve">Gough SCL, Simmonds MJ. The HLA Region and Autoimmune Disease: Associations and Mechanisms of Action. </w:t>
      </w:r>
      <w:r w:rsidRPr="000507BA">
        <w:rPr>
          <w:i/>
          <w:iCs/>
          <w:noProof/>
          <w:sz w:val="18"/>
          <w:lang w:val="en-US"/>
        </w:rPr>
        <w:t>Curr Genomics</w:t>
      </w:r>
      <w:r w:rsidRPr="000507BA">
        <w:rPr>
          <w:noProof/>
          <w:sz w:val="18"/>
          <w:lang w:val="en-US"/>
        </w:rPr>
        <w:t>. 2007;8(7):453-465. doi:10.2174/138920207783591690</w:t>
      </w:r>
    </w:p>
    <w:p w14:paraId="343A2FA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417. </w:t>
      </w:r>
      <w:r w:rsidRPr="000507BA">
        <w:rPr>
          <w:noProof/>
          <w:sz w:val="18"/>
          <w:lang w:val="en-US"/>
        </w:rPr>
        <w:tab/>
        <w:t>Cruz-Tapias P, Castiblanco J, Anaya J-M. HLA Association with Autoimmune Diseases. July 2013. https://www.ncbi.nlm.nih.gov/books/NBK459459/. Accessed October 24, 2018.</w:t>
      </w:r>
    </w:p>
    <w:p w14:paraId="3742C61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418. </w:t>
      </w:r>
      <w:r w:rsidRPr="000507BA">
        <w:rPr>
          <w:noProof/>
          <w:sz w:val="18"/>
          <w:lang w:val="en-US"/>
        </w:rPr>
        <w:tab/>
        <w:t xml:space="preserve">Bodis G, Toth V, Schwarting A. Role of Human Leukocyte Antigens (HLA) in Autoimmune Diseases. </w:t>
      </w:r>
      <w:r w:rsidRPr="000507BA">
        <w:rPr>
          <w:i/>
          <w:iCs/>
          <w:noProof/>
          <w:sz w:val="18"/>
          <w:lang w:val="en-US"/>
        </w:rPr>
        <w:t>Rheumatol Ther</w:t>
      </w:r>
      <w:r w:rsidRPr="000507BA">
        <w:rPr>
          <w:noProof/>
          <w:sz w:val="18"/>
          <w:lang w:val="en-US"/>
        </w:rPr>
        <w:t>. 2018;5(1):5-20. doi:10.1007/s40744-018-0100-z</w:t>
      </w:r>
    </w:p>
    <w:p w14:paraId="17B6A246"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419. </w:t>
      </w:r>
      <w:r w:rsidRPr="000507BA">
        <w:rPr>
          <w:noProof/>
          <w:sz w:val="18"/>
          <w:lang w:val="en-US"/>
        </w:rPr>
        <w:tab/>
        <w:t xml:space="preserve">Pykäläinen M, Kinos R, Valkonen S, et al. Association analysis of common variants of STAT6, GATA3, and STAT4 to asthma and high serum IgE phenotypes. </w:t>
      </w:r>
      <w:r w:rsidRPr="000507BA">
        <w:rPr>
          <w:i/>
          <w:iCs/>
          <w:noProof/>
          <w:sz w:val="18"/>
          <w:lang w:val="en-US"/>
        </w:rPr>
        <w:t>J Allergy Clin Immunol</w:t>
      </w:r>
      <w:r w:rsidRPr="000507BA">
        <w:rPr>
          <w:noProof/>
          <w:sz w:val="18"/>
          <w:lang w:val="en-US"/>
        </w:rPr>
        <w:t>. 2005;115(1):80-87. doi:10.1016/j.jaci.2004.10.006</w:t>
      </w:r>
    </w:p>
    <w:p w14:paraId="547C0E3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420. </w:t>
      </w:r>
      <w:r w:rsidRPr="000507BA">
        <w:rPr>
          <w:noProof/>
          <w:sz w:val="18"/>
          <w:lang w:val="en-US"/>
        </w:rPr>
        <w:tab/>
        <w:t xml:space="preserve">Remmers EF, Plenge RM, Lee AT, et al. STAT4 and the risk of rheumatoid arthritis and systemic lupus erythematosus. </w:t>
      </w:r>
      <w:r w:rsidRPr="000507BA">
        <w:rPr>
          <w:i/>
          <w:iCs/>
          <w:noProof/>
          <w:sz w:val="18"/>
          <w:lang w:val="en-US"/>
        </w:rPr>
        <w:t>N Engl J Med</w:t>
      </w:r>
      <w:r w:rsidRPr="000507BA">
        <w:rPr>
          <w:noProof/>
          <w:sz w:val="18"/>
          <w:lang w:val="en-US"/>
        </w:rPr>
        <w:t>. 2007;357(10):977-986. doi:10.1056/NEJMoa073003</w:t>
      </w:r>
    </w:p>
    <w:p w14:paraId="3639B24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421. </w:t>
      </w:r>
      <w:r w:rsidRPr="000507BA">
        <w:rPr>
          <w:noProof/>
          <w:sz w:val="18"/>
          <w:lang w:val="en-US"/>
        </w:rPr>
        <w:tab/>
        <w:t xml:space="preserve">Korman B, Korman BD, Alba MI, et al. Variant form of STAT4 is associated with primary Sjö gren’s syndrome. </w:t>
      </w:r>
      <w:r w:rsidRPr="000507BA">
        <w:rPr>
          <w:i/>
          <w:iCs/>
          <w:noProof/>
          <w:sz w:val="18"/>
          <w:lang w:val="en-US"/>
        </w:rPr>
        <w:t>Artic Genes Immun</w:t>
      </w:r>
      <w:r w:rsidRPr="000507BA">
        <w:rPr>
          <w:noProof/>
          <w:sz w:val="18"/>
          <w:lang w:val="en-US"/>
        </w:rPr>
        <w:t>. 2008;9:267-270. doi:10.1038/gene.2008.1</w:t>
      </w:r>
    </w:p>
    <w:p w14:paraId="5E78983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422. </w:t>
      </w:r>
      <w:r w:rsidRPr="000507BA">
        <w:rPr>
          <w:noProof/>
          <w:sz w:val="18"/>
          <w:lang w:val="en-US"/>
        </w:rPr>
        <w:tab/>
        <w:t xml:space="preserve">Prahalad S, Hansen S, Whiting A, et al. Variants in TNFAIP3, STAT4, and C12orf30 loci associated with multiple autoimmune diseases are also associated with juvenile idiopathic arthritis. </w:t>
      </w:r>
      <w:r w:rsidRPr="000507BA">
        <w:rPr>
          <w:i/>
          <w:iCs/>
          <w:noProof/>
          <w:sz w:val="18"/>
          <w:lang w:val="en-US"/>
        </w:rPr>
        <w:t>Arthritis Rheum</w:t>
      </w:r>
      <w:r w:rsidRPr="000507BA">
        <w:rPr>
          <w:noProof/>
          <w:sz w:val="18"/>
          <w:lang w:val="en-US"/>
        </w:rPr>
        <w:t>. 2009;60(7):2124-2130. doi:10.1002/art.24618</w:t>
      </w:r>
    </w:p>
    <w:p w14:paraId="53747B0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423. </w:t>
      </w:r>
      <w:r w:rsidRPr="000507BA">
        <w:rPr>
          <w:noProof/>
          <w:sz w:val="18"/>
          <w:lang w:val="en-US"/>
        </w:rPr>
        <w:tab/>
        <w:t xml:space="preserve">Seidl C, Donner H, Fischer B, et al. CTLA4 codon 17 dimorphism in patients with rheumatoid arthritis. </w:t>
      </w:r>
      <w:r w:rsidRPr="000507BA">
        <w:rPr>
          <w:i/>
          <w:iCs/>
          <w:noProof/>
          <w:sz w:val="18"/>
          <w:lang w:val="en-US"/>
        </w:rPr>
        <w:t>Tissue Antigens</w:t>
      </w:r>
      <w:r w:rsidRPr="000507BA">
        <w:rPr>
          <w:noProof/>
          <w:sz w:val="18"/>
          <w:lang w:val="en-US"/>
        </w:rPr>
        <w:t>. 1998;51(1):62-66. doi:10.1111/j.1399-0039.1998.tb02947.x</w:t>
      </w:r>
    </w:p>
    <w:p w14:paraId="36A1925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424. </w:t>
      </w:r>
      <w:r w:rsidRPr="000507BA">
        <w:rPr>
          <w:noProof/>
          <w:sz w:val="18"/>
          <w:lang w:val="en-US"/>
        </w:rPr>
        <w:tab/>
        <w:t xml:space="preserve">Gonzalez-Escribano MF, Rodriguez R, Valenzuela A, Garcia A, Garcia-Lozano JR, Nunez-Roldan A. CTLA4 polymorphisms in Spanish patients with rheumatoid arthritis. </w:t>
      </w:r>
      <w:r w:rsidRPr="000507BA">
        <w:rPr>
          <w:i/>
          <w:iCs/>
          <w:noProof/>
          <w:sz w:val="18"/>
          <w:lang w:val="en-US"/>
        </w:rPr>
        <w:t>Tissue Antigens</w:t>
      </w:r>
      <w:r w:rsidRPr="000507BA">
        <w:rPr>
          <w:noProof/>
          <w:sz w:val="18"/>
          <w:lang w:val="en-US"/>
        </w:rPr>
        <w:t>. 1999;53(3):296-300. doi:10.1034/j.1399-0039.1999.530311.x</w:t>
      </w:r>
    </w:p>
    <w:p w14:paraId="6F77EDA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425. </w:t>
      </w:r>
      <w:r w:rsidRPr="000507BA">
        <w:rPr>
          <w:noProof/>
          <w:sz w:val="18"/>
          <w:lang w:val="en-US"/>
        </w:rPr>
        <w:tab/>
        <w:t xml:space="preserve">Lei C, Dongqing Z, Yeqing S, et al. Association of the CTLA-4 gene with rheumatoid arthritis in Chinese Han population. </w:t>
      </w:r>
      <w:r w:rsidRPr="000507BA">
        <w:rPr>
          <w:i/>
          <w:iCs/>
          <w:noProof/>
          <w:sz w:val="18"/>
          <w:lang w:val="en-US"/>
        </w:rPr>
        <w:t>Eur J Hum Genet</w:t>
      </w:r>
      <w:r w:rsidRPr="000507BA">
        <w:rPr>
          <w:noProof/>
          <w:sz w:val="18"/>
          <w:lang w:val="en-US"/>
        </w:rPr>
        <w:t>. 2005;13(7):823-828. doi:10.1038/sj.ejhg.5201423</w:t>
      </w:r>
    </w:p>
    <w:p w14:paraId="66E59FB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426. </w:t>
      </w:r>
      <w:r w:rsidRPr="000507BA">
        <w:rPr>
          <w:noProof/>
          <w:sz w:val="18"/>
          <w:lang w:val="en-US"/>
        </w:rPr>
        <w:tab/>
        <w:t xml:space="preserve">Plenge RM, Padyukov L, Remmers EF, et al. Replication of Putative Candidate-Gene Associations with Rheumatoid Arthritis in &amp;gt;4,000 Samples from North America and Sweden: Association of Susceptibility with PTPN22, CTLA4, and PADI4. </w:t>
      </w:r>
      <w:r w:rsidRPr="000507BA">
        <w:rPr>
          <w:i/>
          <w:iCs/>
          <w:noProof/>
          <w:sz w:val="18"/>
          <w:lang w:val="en-US"/>
        </w:rPr>
        <w:t>Am J Hum Genet</w:t>
      </w:r>
      <w:r w:rsidRPr="000507BA">
        <w:rPr>
          <w:noProof/>
          <w:sz w:val="18"/>
          <w:lang w:val="en-US"/>
        </w:rPr>
        <w:t>. 2005;77(6):1044-1060. doi:10.1086/498651</w:t>
      </w:r>
    </w:p>
    <w:p w14:paraId="122C632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lastRenderedPageBreak/>
        <w:t xml:space="preserve">427. </w:t>
      </w:r>
      <w:r w:rsidRPr="000507BA">
        <w:rPr>
          <w:noProof/>
          <w:sz w:val="18"/>
          <w:lang w:val="en-US"/>
        </w:rPr>
        <w:tab/>
        <w:t xml:space="preserve">Kalden JR. Emerging role of anti-tumor necrosis factor therapy in rheumatic diseases. </w:t>
      </w:r>
      <w:r w:rsidRPr="000507BA">
        <w:rPr>
          <w:i/>
          <w:iCs/>
          <w:noProof/>
          <w:sz w:val="18"/>
          <w:lang w:val="en-US"/>
        </w:rPr>
        <w:t>Arthritis Res</w:t>
      </w:r>
      <w:r w:rsidRPr="000507BA">
        <w:rPr>
          <w:noProof/>
          <w:sz w:val="18"/>
          <w:lang w:val="en-US"/>
        </w:rPr>
        <w:t>. 2002;4 Suppl 2(Suppl 2):S34-40. doi:10.1186/ar552</w:t>
      </w:r>
    </w:p>
    <w:p w14:paraId="4BE3BF4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428. </w:t>
      </w:r>
      <w:r w:rsidRPr="000507BA">
        <w:rPr>
          <w:noProof/>
          <w:sz w:val="18"/>
          <w:lang w:val="en-US"/>
        </w:rPr>
        <w:tab/>
        <w:t xml:space="preserve">Canet LM, Filipescu I, Cáliz R, et al. Genetic variants within the TNFRSF1B gene and susceptibility to rheumatoid arthritis and response to anti-TNF drugs. </w:t>
      </w:r>
      <w:r w:rsidRPr="000507BA">
        <w:rPr>
          <w:i/>
          <w:iCs/>
          <w:noProof/>
          <w:sz w:val="18"/>
          <w:lang w:val="en-US"/>
        </w:rPr>
        <w:t>Pharmacogenet Genomics</w:t>
      </w:r>
      <w:r w:rsidRPr="000507BA">
        <w:rPr>
          <w:noProof/>
          <w:sz w:val="18"/>
          <w:lang w:val="en-US"/>
        </w:rPr>
        <w:t>. 2015;25(7):323-333. doi:10.1097/FPC.0000000000000140</w:t>
      </w:r>
    </w:p>
    <w:p w14:paraId="7B2EF6C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429. </w:t>
      </w:r>
      <w:r w:rsidRPr="000507BA">
        <w:rPr>
          <w:noProof/>
          <w:sz w:val="18"/>
          <w:lang w:val="en-US"/>
        </w:rPr>
        <w:tab/>
        <w:t xml:space="preserve">Xing-Rong W, Sheng-Qian X, Wen L, Shan Q, Fa-Ming P, Jian-Hua X. Role of TNFRSF1A and TNFRSF1B polymorphisms in susceptibility, severity, and therapeutic efficacy of etanercept in human leukocyte antigen-B27-positive Chinese Han patients with ankylosing spondylitis. </w:t>
      </w:r>
      <w:r w:rsidRPr="000507BA">
        <w:rPr>
          <w:i/>
          <w:iCs/>
          <w:noProof/>
          <w:sz w:val="18"/>
          <w:lang w:val="en-US"/>
        </w:rPr>
        <w:t>Medicine (Baltimore)</w:t>
      </w:r>
      <w:r w:rsidRPr="000507BA">
        <w:rPr>
          <w:noProof/>
          <w:sz w:val="18"/>
          <w:lang w:val="en-US"/>
        </w:rPr>
        <w:t>. 2018;97(31):e11677. doi:10.1097/MD.0000000000011677</w:t>
      </w:r>
    </w:p>
    <w:p w14:paraId="53BD987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430. </w:t>
      </w:r>
      <w:r w:rsidRPr="000507BA">
        <w:rPr>
          <w:noProof/>
          <w:sz w:val="18"/>
          <w:lang w:val="en-US"/>
        </w:rPr>
        <w:tab/>
        <w:t xml:space="preserve">Hong Y, Wang R. </w:t>
      </w:r>
      <w:r w:rsidRPr="000507BA">
        <w:rPr>
          <w:i/>
          <w:iCs/>
          <w:noProof/>
          <w:sz w:val="18"/>
          <w:lang w:val="en-US"/>
        </w:rPr>
        <w:t>The Potential of TNF and TNFRSF1B Gene Polymorphism in Predicting the Clinical Response of Anti-TNF Therapy in Patients with Juvenile Idiopathic Arthritis</w:t>
      </w:r>
      <w:r w:rsidRPr="000507BA">
        <w:rPr>
          <w:noProof/>
          <w:sz w:val="18"/>
          <w:lang w:val="en-US"/>
        </w:rPr>
        <w:t>. Vol 9.; 2016. www.ijcep.com/. Accessed October 24, 2018.</w:t>
      </w:r>
    </w:p>
    <w:p w14:paraId="2B8EF05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431. </w:t>
      </w:r>
      <w:r w:rsidRPr="000507BA">
        <w:rPr>
          <w:noProof/>
          <w:sz w:val="18"/>
          <w:lang w:val="en-US"/>
        </w:rPr>
        <w:tab/>
        <w:t xml:space="preserve">Berner B, Wolf G, Hummel KM, Müller GA, Reuss-Borst MA. Increased expression of CD40 ligand (CD154) on CD4+ T cells as a marker of disease activity in rheumatoid arthritis. </w:t>
      </w:r>
      <w:r w:rsidRPr="000507BA">
        <w:rPr>
          <w:i/>
          <w:iCs/>
          <w:noProof/>
          <w:sz w:val="18"/>
          <w:lang w:val="en-US"/>
        </w:rPr>
        <w:t>Ann Rheum Dis</w:t>
      </w:r>
      <w:r w:rsidRPr="000507BA">
        <w:rPr>
          <w:noProof/>
          <w:sz w:val="18"/>
          <w:lang w:val="en-US"/>
        </w:rPr>
        <w:t>. 2000;59(3):190-195. doi:10.1136/ARD.59.3.190</w:t>
      </w:r>
    </w:p>
    <w:p w14:paraId="25A7DF2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432. </w:t>
      </w:r>
      <w:r w:rsidRPr="000507BA">
        <w:rPr>
          <w:noProof/>
          <w:sz w:val="18"/>
          <w:lang w:val="en-US"/>
        </w:rPr>
        <w:tab/>
        <w:t xml:space="preserve">Tsitsikov EN, Laouini D, Dunn IF, et al. TRAF1 Is a Negative Regulator of TNF Signaling: Enhanced TNF Signaling in TRAF1-Deficient Mice. </w:t>
      </w:r>
      <w:r w:rsidRPr="000507BA">
        <w:rPr>
          <w:i/>
          <w:iCs/>
          <w:noProof/>
          <w:sz w:val="18"/>
          <w:lang w:val="en-US"/>
        </w:rPr>
        <w:t>Immunity</w:t>
      </w:r>
      <w:r w:rsidRPr="000507BA">
        <w:rPr>
          <w:noProof/>
          <w:sz w:val="18"/>
          <w:lang w:val="en-US"/>
        </w:rPr>
        <w:t>. 2001;15(4):647-657. doi:10.1016/S1074-7613(01)00207-2</w:t>
      </w:r>
    </w:p>
    <w:p w14:paraId="34298E7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433. </w:t>
      </w:r>
      <w:r w:rsidRPr="000507BA">
        <w:rPr>
          <w:noProof/>
          <w:sz w:val="18"/>
          <w:lang w:val="en-US"/>
        </w:rPr>
        <w:tab/>
        <w:t xml:space="preserve">Carpentier I, Beyaert R. TRAF1 is a TNF inducible regulator of NF-κB activation. </w:t>
      </w:r>
      <w:r w:rsidRPr="000507BA">
        <w:rPr>
          <w:i/>
          <w:iCs/>
          <w:noProof/>
          <w:sz w:val="18"/>
          <w:lang w:val="en-US"/>
        </w:rPr>
        <w:t>FEBS Lett</w:t>
      </w:r>
      <w:r w:rsidRPr="000507BA">
        <w:rPr>
          <w:noProof/>
          <w:sz w:val="18"/>
          <w:lang w:val="en-US"/>
        </w:rPr>
        <w:t>. 1999;460(2):246-250. doi:10.1016/S0014-5793(99)01356-3</w:t>
      </w:r>
    </w:p>
    <w:p w14:paraId="394AA81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434. </w:t>
      </w:r>
      <w:r w:rsidRPr="000507BA">
        <w:rPr>
          <w:noProof/>
          <w:sz w:val="18"/>
          <w:lang w:val="en-US"/>
        </w:rPr>
        <w:tab/>
        <w:t xml:space="preserve">Schwenzer R, Siemienski K, Liptay S, et al. The human tumor necrosis factor (TNF) receptor-associated factor 1 gene (TRAF1) is up-regulated by cytokines of the TNF ligand family and modulates TNF-induced activation of NF-kappaB and c-Jun N-terminal kinase. </w:t>
      </w:r>
      <w:r w:rsidRPr="000507BA">
        <w:rPr>
          <w:i/>
          <w:iCs/>
          <w:noProof/>
          <w:sz w:val="18"/>
          <w:lang w:val="en-US"/>
        </w:rPr>
        <w:t>J Biol Chem</w:t>
      </w:r>
      <w:r w:rsidRPr="000507BA">
        <w:rPr>
          <w:noProof/>
          <w:sz w:val="18"/>
          <w:lang w:val="en-US"/>
        </w:rPr>
        <w:t>. 1999;274(27):19368-19374. doi:10.1074/JBC.274.27.19368</w:t>
      </w:r>
    </w:p>
    <w:p w14:paraId="001F8427"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435. </w:t>
      </w:r>
      <w:r w:rsidRPr="000507BA">
        <w:rPr>
          <w:noProof/>
          <w:sz w:val="18"/>
          <w:lang w:val="en-US"/>
        </w:rPr>
        <w:tab/>
        <w:t xml:space="preserve">Speiser DE, Lee SY, Wong B, et al. A regulatory role for TRAF1 in antigen-induced apoptosis of T cells. </w:t>
      </w:r>
      <w:r w:rsidRPr="000507BA">
        <w:rPr>
          <w:i/>
          <w:iCs/>
          <w:noProof/>
          <w:sz w:val="18"/>
          <w:lang w:val="en-US"/>
        </w:rPr>
        <w:t>J Exp Med</w:t>
      </w:r>
      <w:r w:rsidRPr="000507BA">
        <w:rPr>
          <w:noProof/>
          <w:sz w:val="18"/>
          <w:lang w:val="en-US"/>
        </w:rPr>
        <w:t>. 1997;185(10):1777-1783. doi:10.1084/JEM.185.10.1777</w:t>
      </w:r>
    </w:p>
    <w:p w14:paraId="541D811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436. </w:t>
      </w:r>
      <w:r w:rsidRPr="000507BA">
        <w:rPr>
          <w:noProof/>
          <w:sz w:val="18"/>
          <w:lang w:val="en-US"/>
        </w:rPr>
        <w:tab/>
        <w:t xml:space="preserve">Plenge RM, Seielstad M, Padyukov L, et al. </w:t>
      </w:r>
      <w:r w:rsidRPr="000507BA">
        <w:rPr>
          <w:i/>
          <w:iCs/>
          <w:noProof/>
          <w:sz w:val="18"/>
          <w:lang w:val="en-US"/>
        </w:rPr>
        <w:t>TRAF1–C5</w:t>
      </w:r>
      <w:r w:rsidRPr="000507BA">
        <w:rPr>
          <w:noProof/>
          <w:sz w:val="18"/>
          <w:lang w:val="en-US"/>
        </w:rPr>
        <w:t xml:space="preserve"> as a Risk Locus for Rheumatoid Arthritis — A Genomewide Study. </w:t>
      </w:r>
      <w:r w:rsidRPr="000507BA">
        <w:rPr>
          <w:i/>
          <w:iCs/>
          <w:noProof/>
          <w:sz w:val="18"/>
          <w:lang w:val="en-US"/>
        </w:rPr>
        <w:t>N Engl J Med</w:t>
      </w:r>
      <w:r w:rsidRPr="000507BA">
        <w:rPr>
          <w:noProof/>
          <w:sz w:val="18"/>
          <w:lang w:val="en-US"/>
        </w:rPr>
        <w:t>. 2007;357(12):1199-1209. doi:10.1056/NEJMoa073491</w:t>
      </w:r>
    </w:p>
    <w:p w14:paraId="0AED4C2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437. </w:t>
      </w:r>
      <w:r w:rsidRPr="000507BA">
        <w:rPr>
          <w:noProof/>
          <w:sz w:val="18"/>
          <w:lang w:val="en-US"/>
        </w:rPr>
        <w:tab/>
        <w:t xml:space="preserve">Zhang X, Li W, Zhang X, et al. Association between polymorphism in TRAF1/C5 gene and risk of rheumatoid arthritis: a meta-analysis. </w:t>
      </w:r>
      <w:r w:rsidRPr="000507BA">
        <w:rPr>
          <w:i/>
          <w:iCs/>
          <w:noProof/>
          <w:sz w:val="18"/>
          <w:lang w:val="en-US"/>
        </w:rPr>
        <w:t>Mol Biol Rep</w:t>
      </w:r>
      <w:r w:rsidRPr="000507BA">
        <w:rPr>
          <w:noProof/>
          <w:sz w:val="18"/>
          <w:lang w:val="en-US"/>
        </w:rPr>
        <w:t>. 2014;41(1):317-324. doi:10.1007/s11033-013-2864-0</w:t>
      </w:r>
    </w:p>
    <w:p w14:paraId="4C8F80BC"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438. </w:t>
      </w:r>
      <w:r w:rsidRPr="000507BA">
        <w:rPr>
          <w:noProof/>
          <w:sz w:val="18"/>
          <w:lang w:val="en-US"/>
        </w:rPr>
        <w:tab/>
        <w:t xml:space="preserve">Fotin-Mleczek M, Henkler F, Hausser A, et al. Tumor Necrosis Factor Receptor-associated Factor (TRAF) 1 Regulates CD40-induced TRAF2-mediated NF-κB Activation. </w:t>
      </w:r>
      <w:r w:rsidRPr="000507BA">
        <w:rPr>
          <w:i/>
          <w:iCs/>
          <w:noProof/>
          <w:sz w:val="18"/>
          <w:lang w:val="en-US"/>
        </w:rPr>
        <w:t>J Biol Chem</w:t>
      </w:r>
      <w:r w:rsidRPr="000507BA">
        <w:rPr>
          <w:noProof/>
          <w:sz w:val="18"/>
          <w:lang w:val="en-US"/>
        </w:rPr>
        <w:t>. 2004;279(1):677-685. doi:10.1074/jbc.M310969200</w:t>
      </w:r>
    </w:p>
    <w:p w14:paraId="384A7CD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439. </w:t>
      </w:r>
      <w:r w:rsidRPr="000507BA">
        <w:rPr>
          <w:noProof/>
          <w:sz w:val="18"/>
          <w:lang w:val="en-US"/>
        </w:rPr>
        <w:tab/>
        <w:t xml:space="preserve">Manzotti CN, Tipping H, Perry LCA, et al. </w:t>
      </w:r>
      <w:r w:rsidRPr="000507BA">
        <w:rPr>
          <w:i/>
          <w:iCs/>
          <w:noProof/>
          <w:sz w:val="18"/>
          <w:lang w:val="en-US"/>
        </w:rPr>
        <w:t>Inhibition of Human T Cell Proliferation by CTLA-4 Utilizes CD80 and Requires CD25 + Regulatory T Cells</w:t>
      </w:r>
      <w:r w:rsidRPr="000507BA">
        <w:rPr>
          <w:noProof/>
          <w:sz w:val="18"/>
          <w:lang w:val="en-US"/>
        </w:rPr>
        <w:t>.; 2002. https://onlinelibrary.wiley.com/doi/pdf/10.1002/1521-4141(2002010)32:10%3C2888::AID-IMMU2888%3E3.0.CO;2-F. Accessed November 1, 2018.</w:t>
      </w:r>
    </w:p>
    <w:p w14:paraId="1CA44E6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440. </w:t>
      </w:r>
      <w:r w:rsidRPr="000507BA">
        <w:rPr>
          <w:noProof/>
          <w:sz w:val="18"/>
          <w:lang w:val="en-US"/>
        </w:rPr>
        <w:tab/>
        <w:t xml:space="preserve">Kremer JM, Dougados M, Emery P, et al. Treatment of rheumatoid arthritis with the selective costimulation modulator abatacept: Twelve-month results of a phase iib, double-blind, randomized, placebo-controlled trial. </w:t>
      </w:r>
      <w:r w:rsidRPr="000507BA">
        <w:rPr>
          <w:i/>
          <w:iCs/>
          <w:noProof/>
          <w:sz w:val="18"/>
          <w:lang w:val="en-US"/>
        </w:rPr>
        <w:t>Arthritis Rheum</w:t>
      </w:r>
      <w:r w:rsidRPr="000507BA">
        <w:rPr>
          <w:noProof/>
          <w:sz w:val="18"/>
          <w:lang w:val="en-US"/>
        </w:rPr>
        <w:t>. 2005;52(8):2263-2271. doi:10.1002/art.21201</w:t>
      </w:r>
    </w:p>
    <w:p w14:paraId="66616AE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441. </w:t>
      </w:r>
      <w:r w:rsidRPr="000507BA">
        <w:rPr>
          <w:noProof/>
          <w:sz w:val="18"/>
          <w:lang w:val="en-US"/>
        </w:rPr>
        <w:tab/>
        <w:t xml:space="preserve">Honma K, Udono H, Kohno T, et al. Interferon regulatory factor 4 negatively regulates the production of proinflammatory cytokines by macrophages in response to LPS. </w:t>
      </w:r>
      <w:r w:rsidRPr="000507BA">
        <w:rPr>
          <w:i/>
          <w:iCs/>
          <w:noProof/>
          <w:sz w:val="18"/>
          <w:lang w:val="en-US"/>
        </w:rPr>
        <w:t>Proc Natl Acad Sci U S A</w:t>
      </w:r>
      <w:r w:rsidRPr="000507BA">
        <w:rPr>
          <w:noProof/>
          <w:sz w:val="18"/>
          <w:lang w:val="en-US"/>
        </w:rPr>
        <w:t>. 2005;102(44):16001-16006. doi:10.1073/pnas.0504226102</w:t>
      </w:r>
    </w:p>
    <w:p w14:paraId="424F592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442. </w:t>
      </w:r>
      <w:r w:rsidRPr="000507BA">
        <w:rPr>
          <w:noProof/>
          <w:sz w:val="18"/>
          <w:lang w:val="en-US"/>
        </w:rPr>
        <w:tab/>
        <w:t xml:space="preserve">Rettino A, Clarke NM. Genome-wide Identification of IRF1 Binding Sites Reveals Extensive Occupancy at Cell Death Associated Genes. </w:t>
      </w:r>
      <w:r w:rsidRPr="000507BA">
        <w:rPr>
          <w:i/>
          <w:iCs/>
          <w:noProof/>
          <w:sz w:val="18"/>
          <w:lang w:val="en-US"/>
        </w:rPr>
        <w:t>J Carcinog Mutagen</w:t>
      </w:r>
      <w:r w:rsidRPr="000507BA">
        <w:rPr>
          <w:noProof/>
          <w:sz w:val="18"/>
          <w:lang w:val="en-US"/>
        </w:rPr>
        <w:t>. 2013;(Spec Iss Apoptosis). doi:10.4172/2157-2518.S6-009</w:t>
      </w:r>
    </w:p>
    <w:p w14:paraId="791B948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lastRenderedPageBreak/>
        <w:t xml:space="preserve">443. </w:t>
      </w:r>
      <w:r w:rsidRPr="000507BA">
        <w:rPr>
          <w:noProof/>
          <w:sz w:val="18"/>
          <w:lang w:val="en-US"/>
        </w:rPr>
        <w:tab/>
        <w:t xml:space="preserve">Kim PKM, Armstrong M, Liu Y, et al. IRF-1 expression induces apoptosis and inhibits tumor growth in mouse mammary cancer cells in vitro and in vivo. </w:t>
      </w:r>
      <w:r w:rsidRPr="000507BA">
        <w:rPr>
          <w:i/>
          <w:iCs/>
          <w:noProof/>
          <w:sz w:val="18"/>
          <w:lang w:val="en-US"/>
        </w:rPr>
        <w:t>Oncogene</w:t>
      </w:r>
      <w:r w:rsidRPr="000507BA">
        <w:rPr>
          <w:noProof/>
          <w:sz w:val="18"/>
          <w:lang w:val="en-US"/>
        </w:rPr>
        <w:t>. 2004;23(5):1125-1135. doi:10.1038/sj.onc.1207023</w:t>
      </w:r>
    </w:p>
    <w:p w14:paraId="321D6F02"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444. </w:t>
      </w:r>
      <w:r w:rsidRPr="000507BA">
        <w:rPr>
          <w:noProof/>
          <w:sz w:val="18"/>
          <w:lang w:val="en-US"/>
        </w:rPr>
        <w:tab/>
        <w:t xml:space="preserve">Tamura T, Ishihara M, Lamphier MS, et al. An IRF-1-dependent pathway of DNA damage-induced apoptosis in mitogen-activated T lymphocytes. </w:t>
      </w:r>
      <w:r w:rsidRPr="000507BA">
        <w:rPr>
          <w:i/>
          <w:iCs/>
          <w:noProof/>
          <w:sz w:val="18"/>
          <w:lang w:val="en-US"/>
        </w:rPr>
        <w:t>Nature</w:t>
      </w:r>
      <w:r w:rsidRPr="000507BA">
        <w:rPr>
          <w:noProof/>
          <w:sz w:val="18"/>
          <w:lang w:val="en-US"/>
        </w:rPr>
        <w:t>. 1995;376(6541):596-599. doi:10.1038/376596a0</w:t>
      </w:r>
    </w:p>
    <w:p w14:paraId="2E387EA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445. </w:t>
      </w:r>
      <w:r w:rsidRPr="000507BA">
        <w:rPr>
          <w:noProof/>
          <w:sz w:val="18"/>
          <w:lang w:val="en-US"/>
        </w:rPr>
        <w:tab/>
        <w:t xml:space="preserve">Li J, Zhao S, Yi M, et al. Activation of JAK-STAT1 signal transduction pathway in lesional skin and monocytes from patients with systemic lupus erythematosus. </w:t>
      </w:r>
      <w:r w:rsidRPr="000507BA">
        <w:rPr>
          <w:i/>
          <w:iCs/>
          <w:noProof/>
          <w:sz w:val="18"/>
          <w:lang w:val="en-US"/>
        </w:rPr>
        <w:t>Zhong Nan Da Xue Xue Bao Yi Xue Ban</w:t>
      </w:r>
      <w:r w:rsidRPr="000507BA">
        <w:rPr>
          <w:noProof/>
          <w:sz w:val="18"/>
          <w:lang w:val="en-US"/>
        </w:rPr>
        <w:t>. 2011;36(2):109-115. doi:10.3969/j.issn.1672-7347.2011.02.003</w:t>
      </w:r>
    </w:p>
    <w:p w14:paraId="485FF88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446. </w:t>
      </w:r>
      <w:r w:rsidRPr="000507BA">
        <w:rPr>
          <w:noProof/>
          <w:sz w:val="18"/>
          <w:lang w:val="en-US"/>
        </w:rPr>
        <w:tab/>
        <w:t xml:space="preserve">Walker JG, Ahern MJ, Coleman M, et al. Expression of Jak3, STAT1, STAT4, and STAT6 in inflammatory arthritis: unique Jak3 and STAT4 expression in dendritic cells in seropositive rheumatoid arthritis. </w:t>
      </w:r>
      <w:r w:rsidRPr="000507BA">
        <w:rPr>
          <w:i/>
          <w:iCs/>
          <w:noProof/>
          <w:sz w:val="18"/>
          <w:lang w:val="en-US"/>
        </w:rPr>
        <w:t>Ann Rheum Dis</w:t>
      </w:r>
      <w:r w:rsidRPr="000507BA">
        <w:rPr>
          <w:noProof/>
          <w:sz w:val="18"/>
          <w:lang w:val="en-US"/>
        </w:rPr>
        <w:t>. 2006;65(2):149-156. doi:10.1136/ard.2005.037929</w:t>
      </w:r>
    </w:p>
    <w:p w14:paraId="24CF2D4A"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447. </w:t>
      </w:r>
      <w:r w:rsidRPr="000507BA">
        <w:rPr>
          <w:noProof/>
          <w:sz w:val="18"/>
          <w:lang w:val="en-US"/>
        </w:rPr>
        <w:tab/>
        <w:t xml:space="preserve">Conigliaro P, Ciccacci C, Politi C, et al. Polymorphisms in STAT4, PTPN2, PSORS1C1 and TRAF3IP2 Genes Are Associated with the Response to TNF Inhibitors in Patients with Rheumatoid Arthritis. Ahuja SK, ed. </w:t>
      </w:r>
      <w:r w:rsidRPr="000507BA">
        <w:rPr>
          <w:i/>
          <w:iCs/>
          <w:noProof/>
          <w:sz w:val="18"/>
          <w:lang w:val="en-US"/>
        </w:rPr>
        <w:t>PLoS One</w:t>
      </w:r>
      <w:r w:rsidRPr="000507BA">
        <w:rPr>
          <w:noProof/>
          <w:sz w:val="18"/>
          <w:lang w:val="en-US"/>
        </w:rPr>
        <w:t>. 2017;12(1):e0169956. doi:10.1371/journal.pone.0169956</w:t>
      </w:r>
    </w:p>
    <w:p w14:paraId="3B09313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448. </w:t>
      </w:r>
      <w:r w:rsidRPr="000507BA">
        <w:rPr>
          <w:noProof/>
          <w:sz w:val="18"/>
          <w:lang w:val="en-US"/>
        </w:rPr>
        <w:tab/>
        <w:t xml:space="preserve">Prieto-Pérez R, Llamas-Velasco M, Cabaleiro T, et al. Pharmacogenetics of ustekinumab in patients with moderate-to-severe plaque psoriasis. </w:t>
      </w:r>
      <w:r w:rsidRPr="000507BA">
        <w:rPr>
          <w:i/>
          <w:iCs/>
          <w:noProof/>
          <w:sz w:val="18"/>
          <w:lang w:val="en-US"/>
        </w:rPr>
        <w:t>Pharmacogenomics</w:t>
      </w:r>
      <w:r w:rsidRPr="000507BA">
        <w:rPr>
          <w:noProof/>
          <w:sz w:val="18"/>
          <w:lang w:val="en-US"/>
        </w:rPr>
        <w:t>. 2017;18(2):157-164. doi:10.2217/pgs-2016-0122</w:t>
      </w:r>
    </w:p>
    <w:p w14:paraId="6AB21A2B"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449. </w:t>
      </w:r>
      <w:r w:rsidRPr="000507BA">
        <w:rPr>
          <w:noProof/>
          <w:sz w:val="18"/>
          <w:lang w:val="en-US"/>
        </w:rPr>
        <w:tab/>
        <w:t xml:space="preserve">Cui J, Saevarsdottir S, Thomson B, et al. Rheumatoid arthritis risk allele PTPRC is also associated with response to anti-tumor necrosis factor alpha therapy. </w:t>
      </w:r>
      <w:r w:rsidRPr="000507BA">
        <w:rPr>
          <w:i/>
          <w:iCs/>
          <w:noProof/>
          <w:sz w:val="18"/>
          <w:lang w:val="en-US"/>
        </w:rPr>
        <w:t>Arthritis Rheum</w:t>
      </w:r>
      <w:r w:rsidRPr="000507BA">
        <w:rPr>
          <w:noProof/>
          <w:sz w:val="18"/>
          <w:lang w:val="en-US"/>
        </w:rPr>
        <w:t>. 2010;62(7):1849-1861. doi:10.1002/art.27457</w:t>
      </w:r>
    </w:p>
    <w:p w14:paraId="4DA2C1E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450. </w:t>
      </w:r>
      <w:r w:rsidRPr="000507BA">
        <w:rPr>
          <w:noProof/>
          <w:sz w:val="18"/>
          <w:lang w:val="en-US"/>
        </w:rPr>
        <w:tab/>
        <w:t xml:space="preserve">Pappas DA, Oh C, Plenge RM, Kremer JM, Greenberg JD. Association of rheumatoid arthritis risk alleles with response to anti-TNF biologics: results from the CORRONA registry and meta-analysis. </w:t>
      </w:r>
      <w:r w:rsidRPr="000507BA">
        <w:rPr>
          <w:i/>
          <w:iCs/>
          <w:noProof/>
          <w:sz w:val="18"/>
          <w:lang w:val="en-US"/>
        </w:rPr>
        <w:t>Inflammation</w:t>
      </w:r>
      <w:r w:rsidRPr="000507BA">
        <w:rPr>
          <w:noProof/>
          <w:sz w:val="18"/>
          <w:lang w:val="en-US"/>
        </w:rPr>
        <w:t>. 2013;36(2):279-284. doi:10.1007/s10753-012-9544-4</w:t>
      </w:r>
    </w:p>
    <w:p w14:paraId="77F4C1E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451. </w:t>
      </w:r>
      <w:r w:rsidRPr="000507BA">
        <w:rPr>
          <w:noProof/>
          <w:sz w:val="18"/>
          <w:lang w:val="en-US"/>
        </w:rPr>
        <w:tab/>
        <w:t xml:space="preserve">Avouac J, Fürnrohr BG, Tomcik M, et al. Inactivation of the Transcription Factor STAT-4 Prevents Inflammation-Driven Fibrosis in Animal Models of Systemic Sclerosis. </w:t>
      </w:r>
      <w:r w:rsidRPr="000507BA">
        <w:rPr>
          <w:i/>
          <w:iCs/>
          <w:noProof/>
          <w:sz w:val="18"/>
          <w:lang w:val="en-US"/>
        </w:rPr>
        <w:t>ARTHRITIS Rheum</w:t>
      </w:r>
      <w:r w:rsidRPr="000507BA">
        <w:rPr>
          <w:noProof/>
          <w:sz w:val="18"/>
          <w:lang w:val="en-US"/>
        </w:rPr>
        <w:t>. 2011;63(3):800-809. doi:10.1002/art.30171</w:t>
      </w:r>
    </w:p>
    <w:p w14:paraId="03BFD41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452. </w:t>
      </w:r>
      <w:r w:rsidRPr="000507BA">
        <w:rPr>
          <w:noProof/>
          <w:sz w:val="18"/>
          <w:lang w:val="en-US"/>
        </w:rPr>
        <w:tab/>
        <w:t xml:space="preserve">Duan Q, Reid SP, Clark NR, et al. L1000CDS2: LINCS L1000 characteristic direction signatures search engine. </w:t>
      </w:r>
      <w:r w:rsidRPr="000507BA">
        <w:rPr>
          <w:i/>
          <w:iCs/>
          <w:noProof/>
          <w:sz w:val="18"/>
          <w:lang w:val="en-US"/>
        </w:rPr>
        <w:t>npj Syst Biol Appl</w:t>
      </w:r>
      <w:r w:rsidRPr="000507BA">
        <w:rPr>
          <w:noProof/>
          <w:sz w:val="18"/>
          <w:lang w:val="en-US"/>
        </w:rPr>
        <w:t>. 2016;2(1):16015. doi:10.1038/npjsba.2016.15</w:t>
      </w:r>
    </w:p>
    <w:p w14:paraId="71379ADE"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453. </w:t>
      </w:r>
      <w:r w:rsidRPr="000507BA">
        <w:rPr>
          <w:noProof/>
          <w:sz w:val="18"/>
          <w:lang w:val="en-US"/>
        </w:rPr>
        <w:tab/>
        <w:t xml:space="preserve">Yoo M, Shin J, Kim J, et al. DSigDB: drug signatures database for gene set analysis: Fig. 1. </w:t>
      </w:r>
      <w:r w:rsidRPr="000507BA">
        <w:rPr>
          <w:i/>
          <w:iCs/>
          <w:noProof/>
          <w:sz w:val="18"/>
          <w:lang w:val="en-US"/>
        </w:rPr>
        <w:t>Bioinformatics</w:t>
      </w:r>
      <w:r w:rsidRPr="000507BA">
        <w:rPr>
          <w:noProof/>
          <w:sz w:val="18"/>
          <w:lang w:val="en-US"/>
        </w:rPr>
        <w:t>. 2015;31(18):3069-3071. doi:10.1093/bioinformatics/btv313</w:t>
      </w:r>
    </w:p>
    <w:p w14:paraId="7D3D18CD"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454. </w:t>
      </w:r>
      <w:r w:rsidRPr="000507BA">
        <w:rPr>
          <w:noProof/>
          <w:sz w:val="18"/>
          <w:lang w:val="en-US"/>
        </w:rPr>
        <w:tab/>
        <w:t xml:space="preserve">Wu H, Huang J, Zhong Y, Huang Q. DrugSig: A resource for computational drug repositioning utilizing gene expression signatures. </w:t>
      </w:r>
      <w:r w:rsidRPr="000507BA">
        <w:rPr>
          <w:i/>
          <w:iCs/>
          <w:noProof/>
          <w:sz w:val="18"/>
          <w:lang w:val="en-US"/>
        </w:rPr>
        <w:t>PLoS One</w:t>
      </w:r>
      <w:r w:rsidRPr="000507BA">
        <w:rPr>
          <w:noProof/>
          <w:sz w:val="18"/>
          <w:lang w:val="en-US"/>
        </w:rPr>
        <w:t>. 2017;12(5):e0177743. doi:10.1371/journal.pone.0177743</w:t>
      </w:r>
    </w:p>
    <w:p w14:paraId="2BED6EE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455. </w:t>
      </w:r>
      <w:r w:rsidRPr="000507BA">
        <w:rPr>
          <w:noProof/>
          <w:sz w:val="18"/>
          <w:lang w:val="en-US"/>
        </w:rPr>
        <w:tab/>
        <w:t xml:space="preserve">Dalman MR, Deeter A, Nimishakavi G, Duan Z-H. Fold change and p-value cutoffs significantly alter microarray interpretations. </w:t>
      </w:r>
      <w:r w:rsidRPr="000507BA">
        <w:rPr>
          <w:i/>
          <w:iCs/>
          <w:noProof/>
          <w:sz w:val="18"/>
          <w:lang w:val="en-US"/>
        </w:rPr>
        <w:t>BMC Bioinformatics</w:t>
      </w:r>
      <w:r w:rsidRPr="000507BA">
        <w:rPr>
          <w:noProof/>
          <w:sz w:val="18"/>
          <w:lang w:val="en-US"/>
        </w:rPr>
        <w:t>. 2012;13 Suppl 2(Suppl 2):S11. doi:10.1186/1471-2105-13-S2-S11</w:t>
      </w:r>
    </w:p>
    <w:p w14:paraId="4EC371B3"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456. </w:t>
      </w:r>
      <w:r w:rsidRPr="000507BA">
        <w:rPr>
          <w:noProof/>
          <w:sz w:val="18"/>
          <w:lang w:val="en-US"/>
        </w:rPr>
        <w:tab/>
        <w:t xml:space="preserve">Venters HD, Dantzer R, Kelley KW. A new concept in neurodegeneration: TNFα is a silencer of survival signals. </w:t>
      </w:r>
      <w:r w:rsidRPr="000507BA">
        <w:rPr>
          <w:i/>
          <w:iCs/>
          <w:noProof/>
          <w:sz w:val="18"/>
          <w:lang w:val="en-US"/>
        </w:rPr>
        <w:t>Trends Neurosci</w:t>
      </w:r>
      <w:r w:rsidRPr="000507BA">
        <w:rPr>
          <w:noProof/>
          <w:sz w:val="18"/>
          <w:lang w:val="en-US"/>
        </w:rPr>
        <w:t>. 2000;23(4):175-180.</w:t>
      </w:r>
    </w:p>
    <w:p w14:paraId="3AEDB034"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457. </w:t>
      </w:r>
      <w:r w:rsidRPr="000507BA">
        <w:rPr>
          <w:noProof/>
          <w:sz w:val="18"/>
          <w:lang w:val="en-US"/>
        </w:rPr>
        <w:tab/>
        <w:t xml:space="preserve">McGeer PL, McGreer EG. Inflammation and neurodegeneration in Parkinson’s disease. </w:t>
      </w:r>
      <w:r w:rsidRPr="000507BA">
        <w:rPr>
          <w:i/>
          <w:iCs/>
          <w:noProof/>
          <w:sz w:val="18"/>
          <w:lang w:val="en-US"/>
        </w:rPr>
        <w:t>Parkinsonism Relat Disord</w:t>
      </w:r>
      <w:r w:rsidRPr="000507BA">
        <w:rPr>
          <w:noProof/>
          <w:sz w:val="18"/>
          <w:lang w:val="en-US"/>
        </w:rPr>
        <w:t>. 2004;10(1):S3-S7.</w:t>
      </w:r>
    </w:p>
    <w:p w14:paraId="4B8D7C01"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458. </w:t>
      </w:r>
      <w:r w:rsidRPr="000507BA">
        <w:rPr>
          <w:noProof/>
          <w:sz w:val="18"/>
          <w:lang w:val="en-US"/>
        </w:rPr>
        <w:tab/>
        <w:t xml:space="preserve">Lang SC, Harre U, Purohit P, et al. Neurodegeneration Enhances the Development of Arthritis. </w:t>
      </w:r>
      <w:r w:rsidRPr="000507BA">
        <w:rPr>
          <w:i/>
          <w:iCs/>
          <w:noProof/>
          <w:sz w:val="18"/>
          <w:lang w:val="en-US"/>
        </w:rPr>
        <w:t>J Immunol</w:t>
      </w:r>
      <w:r w:rsidRPr="000507BA">
        <w:rPr>
          <w:noProof/>
          <w:sz w:val="18"/>
          <w:lang w:val="en-US"/>
        </w:rPr>
        <w:t>. 2017;198(6):2394-2402. doi:10.4049/jimmunol.1601472</w:t>
      </w:r>
    </w:p>
    <w:p w14:paraId="0DDB0649"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459. </w:t>
      </w:r>
      <w:r w:rsidRPr="000507BA">
        <w:rPr>
          <w:noProof/>
          <w:sz w:val="18"/>
          <w:lang w:val="en-US"/>
        </w:rPr>
        <w:tab/>
        <w:t xml:space="preserve">Domon B, Aebersold R. Challenges and opportunities in proteomics data analysis. </w:t>
      </w:r>
      <w:r w:rsidRPr="000507BA">
        <w:rPr>
          <w:i/>
          <w:iCs/>
          <w:noProof/>
          <w:sz w:val="18"/>
          <w:lang w:val="en-US"/>
        </w:rPr>
        <w:t>Mol Cell Proteomics</w:t>
      </w:r>
      <w:r w:rsidRPr="000507BA">
        <w:rPr>
          <w:noProof/>
          <w:sz w:val="18"/>
          <w:lang w:val="en-US"/>
        </w:rPr>
        <w:t>. 2006;5(10):1921-1926. doi:10.1074/mcp.R600012-MCP200</w:t>
      </w:r>
    </w:p>
    <w:p w14:paraId="268CE2C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t xml:space="preserve">460. </w:t>
      </w:r>
      <w:r w:rsidRPr="000507BA">
        <w:rPr>
          <w:noProof/>
          <w:sz w:val="18"/>
          <w:lang w:val="en-US"/>
        </w:rPr>
        <w:tab/>
        <w:t xml:space="preserve">Christensen KD, Dukhovny D, Siebert U, Green RC. Assessing the Costs and Cost-Effectiveness of Genomic Sequencing. </w:t>
      </w:r>
      <w:r w:rsidRPr="000507BA">
        <w:rPr>
          <w:i/>
          <w:iCs/>
          <w:noProof/>
          <w:sz w:val="18"/>
          <w:lang w:val="en-US"/>
        </w:rPr>
        <w:t>J Pers Med</w:t>
      </w:r>
      <w:r w:rsidRPr="000507BA">
        <w:rPr>
          <w:noProof/>
          <w:sz w:val="18"/>
          <w:lang w:val="en-US"/>
        </w:rPr>
        <w:t>. 2015;5(4):470-486. doi:10.3390/jpm5040470</w:t>
      </w:r>
    </w:p>
    <w:p w14:paraId="05E4D858" w14:textId="77777777" w:rsidR="000507BA" w:rsidRPr="000507BA" w:rsidRDefault="000507BA" w:rsidP="000507BA">
      <w:pPr>
        <w:widowControl w:val="0"/>
        <w:autoSpaceDE w:val="0"/>
        <w:autoSpaceDN w:val="0"/>
        <w:adjustRightInd w:val="0"/>
        <w:ind w:left="640" w:hanging="640"/>
        <w:rPr>
          <w:noProof/>
          <w:sz w:val="18"/>
          <w:lang w:val="en-US"/>
        </w:rPr>
      </w:pPr>
      <w:r w:rsidRPr="000507BA">
        <w:rPr>
          <w:noProof/>
          <w:sz w:val="18"/>
          <w:lang w:val="en-US"/>
        </w:rPr>
        <w:lastRenderedPageBreak/>
        <w:t xml:space="preserve">461. </w:t>
      </w:r>
      <w:r w:rsidRPr="000507BA">
        <w:rPr>
          <w:noProof/>
          <w:sz w:val="18"/>
          <w:lang w:val="en-US"/>
        </w:rPr>
        <w:tab/>
        <w:t xml:space="preserve">Cirulli ET, Lasseigne BN, Petrovski S, et al. Exome sequencing in amyotrophic lateral sclerosis identifies risk genes and pathways. </w:t>
      </w:r>
      <w:r w:rsidRPr="000507BA">
        <w:rPr>
          <w:i/>
          <w:iCs/>
          <w:noProof/>
          <w:sz w:val="18"/>
          <w:lang w:val="en-US"/>
        </w:rPr>
        <w:t>Science</w:t>
      </w:r>
      <w:r w:rsidRPr="000507BA">
        <w:rPr>
          <w:noProof/>
          <w:sz w:val="18"/>
          <w:lang w:val="en-US"/>
        </w:rPr>
        <w:t>. 2015;347(6229):1436-1441. doi:10.1126/science.aaa3650</w:t>
      </w:r>
    </w:p>
    <w:p w14:paraId="374C5899" w14:textId="77777777" w:rsidR="000507BA" w:rsidRPr="000507BA" w:rsidRDefault="000507BA" w:rsidP="000507BA">
      <w:pPr>
        <w:widowControl w:val="0"/>
        <w:autoSpaceDE w:val="0"/>
        <w:autoSpaceDN w:val="0"/>
        <w:adjustRightInd w:val="0"/>
        <w:ind w:left="640" w:hanging="640"/>
        <w:rPr>
          <w:noProof/>
          <w:sz w:val="18"/>
        </w:rPr>
      </w:pPr>
      <w:r w:rsidRPr="000507BA">
        <w:rPr>
          <w:noProof/>
          <w:sz w:val="18"/>
          <w:lang w:val="en-US"/>
        </w:rPr>
        <w:t xml:space="preserve">462. </w:t>
      </w:r>
      <w:r w:rsidRPr="000507BA">
        <w:rPr>
          <w:noProof/>
          <w:sz w:val="18"/>
          <w:lang w:val="en-US"/>
        </w:rPr>
        <w:tab/>
        <w:t xml:space="preserve">Joachim RB, Altschuler GM, Hutchinson JN, Wong HR, Hide WA, Kobzik L. The relative resistance of children to sepsis mortality: from pathways to drug candidates. </w:t>
      </w:r>
      <w:r w:rsidRPr="000507BA">
        <w:rPr>
          <w:i/>
          <w:iCs/>
          <w:noProof/>
          <w:sz w:val="18"/>
          <w:lang w:val="en-US"/>
        </w:rPr>
        <w:t>Mol Syst Biol</w:t>
      </w:r>
      <w:r w:rsidRPr="000507BA">
        <w:rPr>
          <w:noProof/>
          <w:sz w:val="18"/>
          <w:lang w:val="en-US"/>
        </w:rPr>
        <w:t>. 2018;14(5):e7998. doi:10.15252/msb.20177998</w:t>
      </w:r>
    </w:p>
    <w:p w14:paraId="53B7C15D" w14:textId="2384074D" w:rsidR="00147D6C" w:rsidRPr="0082680A" w:rsidRDefault="00AC0BF3" w:rsidP="000507BA">
      <w:pPr>
        <w:widowControl w:val="0"/>
        <w:autoSpaceDE w:val="0"/>
        <w:autoSpaceDN w:val="0"/>
        <w:adjustRightInd w:val="0"/>
        <w:ind w:left="640" w:hanging="640"/>
        <w:rPr>
          <w:lang w:val="en-GB"/>
        </w:rPr>
      </w:pPr>
      <w:r w:rsidRPr="0082680A">
        <w:rPr>
          <w:sz w:val="18"/>
          <w:szCs w:val="18"/>
          <w:lang w:val="en-GB"/>
        </w:rPr>
        <w:fldChar w:fldCharType="end"/>
      </w:r>
    </w:p>
    <w:sectPr w:rsidR="00147D6C" w:rsidRPr="0082680A" w:rsidSect="001B61BC">
      <w:footerReference w:type="default" r:id="rId283"/>
      <w:pgSz w:w="11906" w:h="16838"/>
      <w:pgMar w:top="1418" w:right="1985" w:bottom="1416" w:left="1985"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690AE5" w14:textId="77777777" w:rsidR="004D1B17" w:rsidRDefault="004D1B17">
      <w:pPr>
        <w:spacing w:after="0" w:line="240" w:lineRule="auto"/>
      </w:pPr>
      <w:r>
        <w:separator/>
      </w:r>
    </w:p>
  </w:endnote>
  <w:endnote w:type="continuationSeparator" w:id="0">
    <w:p w14:paraId="301CAA41" w14:textId="77777777" w:rsidR="004D1B17" w:rsidRDefault="004D1B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UOS Pro Blake">
    <w:altName w:val="Microsoft YaHei"/>
    <w:panose1 w:val="020B0604020202020204"/>
    <w:charset w:val="4D"/>
    <w:family w:val="swiss"/>
    <w:notTrueType/>
    <w:pitch w:val="variable"/>
    <w:sig w:usb0="00000001" w:usb1="4000004A" w:usb2="00000000" w:usb3="00000000" w:csb0="00000011" w:csb1="00000000"/>
  </w:font>
  <w:font w:name="TUOS Blake">
    <w:altName w:val="Calibri"/>
    <w:panose1 w:val="020B0604020202020204"/>
    <w:charset w:val="00"/>
    <w:family w:val="swiss"/>
    <w:pitch w:val="variable"/>
    <w:sig w:usb0="8000002F" w:usb1="4000004A" w:usb2="00000000" w:usb3="00000000" w:csb0="0000001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65955228"/>
      <w:docPartObj>
        <w:docPartGallery w:val="Page Numbers (Bottom of Page)"/>
        <w:docPartUnique/>
      </w:docPartObj>
    </w:sdtPr>
    <w:sdtContent>
      <w:p w14:paraId="1AD5B9C3" w14:textId="188A8663" w:rsidR="00C2072C" w:rsidRDefault="00C2072C" w:rsidP="0084461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ACBA03" w14:textId="77777777" w:rsidR="00C2072C" w:rsidRDefault="00C2072C" w:rsidP="002E60F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1830C1" w14:textId="77777777" w:rsidR="00C2072C" w:rsidRDefault="00C2072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EBB2B" w14:textId="77777777" w:rsidR="00C2072C" w:rsidRDefault="00C2072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9259067"/>
      <w:docPartObj>
        <w:docPartGallery w:val="Page Numbers (Bottom of Page)"/>
        <w:docPartUnique/>
      </w:docPartObj>
    </w:sdtPr>
    <w:sdtContent>
      <w:p w14:paraId="4057738C" w14:textId="4C64AC56" w:rsidR="00C2072C" w:rsidRDefault="00C2072C" w:rsidP="0084461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FB58301" w14:textId="77777777" w:rsidR="00C2072C" w:rsidRDefault="00C2072C" w:rsidP="002E60F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C30188" w14:textId="77777777" w:rsidR="004D1B17" w:rsidRDefault="004D1B17">
      <w:pPr>
        <w:spacing w:after="0" w:line="240" w:lineRule="auto"/>
      </w:pPr>
      <w:r>
        <w:separator/>
      </w:r>
    </w:p>
  </w:footnote>
  <w:footnote w:type="continuationSeparator" w:id="0">
    <w:p w14:paraId="281628C5" w14:textId="77777777" w:rsidR="004D1B17" w:rsidRDefault="004D1B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0DE04" w14:textId="77777777" w:rsidR="00C2072C" w:rsidRDefault="00C207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494D4D" w14:textId="77777777" w:rsidR="00C2072C" w:rsidRDefault="00C2072C">
    <w:pPr>
      <w:contextualSpacing w:val="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37112F" w14:textId="77777777" w:rsidR="00C2072C" w:rsidRDefault="00C2072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9AA5B7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94E178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820725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D1061C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D08C77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2F0257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0C8FE3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31A677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66C456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FA66B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216FC7"/>
    <w:multiLevelType w:val="hybridMultilevel"/>
    <w:tmpl w:val="CF7E9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E55935"/>
    <w:multiLevelType w:val="multilevel"/>
    <w:tmpl w:val="F74CD9DA"/>
    <w:lvl w:ilvl="0">
      <w:start w:val="1"/>
      <w:numFmt w:val="decimal"/>
      <w:pStyle w:val="Heading1"/>
      <w:suff w:val="space"/>
      <w:lvlText w:val="%1"/>
      <w:lvlJc w:val="left"/>
      <w:pPr>
        <w:ind w:left="432" w:hanging="432"/>
      </w:pPr>
      <w:rPr>
        <w:rFonts w:hint="default"/>
        <w:color w:val="FFFFFF" w:themeColor="background1"/>
      </w:rPr>
    </w:lvl>
    <w:lvl w:ilvl="1">
      <w:start w:val="1"/>
      <w:numFmt w:val="decimal"/>
      <w:pStyle w:val="Heading2"/>
      <w:suff w:val="space"/>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1.%2.%3"/>
      <w:lvlJc w:val="left"/>
      <w:pPr>
        <w:ind w:left="720" w:hanging="720"/>
      </w:pPr>
      <w:rPr>
        <w:rFonts w:hint="default"/>
      </w:rPr>
    </w:lvl>
    <w:lvl w:ilvl="3">
      <w:start w:val="1"/>
      <w:numFmt w:val="decimal"/>
      <w:pStyle w:val="Heading4"/>
      <w:suff w:val="space"/>
      <w:lvlText w:val="%1.%2.%3.%4"/>
      <w:lvlJc w:val="left"/>
      <w:pPr>
        <w:ind w:left="864" w:hanging="864"/>
      </w:pPr>
      <w:rPr>
        <w:rFonts w:hint="default"/>
      </w:rPr>
    </w:lvl>
    <w:lvl w:ilvl="4">
      <w:start w:val="1"/>
      <w:numFmt w:val="decimal"/>
      <w:pStyle w:val="Heading5"/>
      <w:suff w:val="space"/>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0F33586B"/>
    <w:multiLevelType w:val="multilevel"/>
    <w:tmpl w:val="CF06C74A"/>
    <w:styleLink w:val="Style1"/>
    <w:lvl w:ilvl="0">
      <w:start w:val="1"/>
      <w:numFmt w:val="none"/>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8A65187"/>
    <w:multiLevelType w:val="multilevel"/>
    <w:tmpl w:val="511E62E0"/>
    <w:lvl w:ilvl="0">
      <w:start w:val="1"/>
      <w:numFmt w:val="decimal"/>
      <w:lvlText w:val="%1"/>
      <w:lvlJc w:val="left"/>
      <w:pPr>
        <w:ind w:left="432" w:hanging="432"/>
      </w:pPr>
      <w:rPr>
        <w:rFonts w:hint="default"/>
        <w:color w:val="FFFFFF" w:themeColor="background1"/>
        <w14:textFill>
          <w14:noFill/>
        </w14:textFill>
      </w:rPr>
    </w:lvl>
    <w:lvl w:ilvl="1">
      <w:start w:val="1"/>
      <w:numFmt w:val="decimal"/>
      <w:suff w:val="space"/>
      <w:lvlText w:val="%1.%2"/>
      <w:lvlJc w:val="left"/>
      <w:pPr>
        <w:ind w:left="576" w:hanging="576"/>
      </w:pPr>
      <w:rPr>
        <w:rFonts w:hint="default"/>
        <w:i w:val="0"/>
      </w:rPr>
    </w:lvl>
    <w:lvl w:ilvl="2">
      <w:start w:val="1"/>
      <w:numFmt w:val="decimal"/>
      <w:suff w:val="space"/>
      <w:lvlText w:val="%1.%2.%3"/>
      <w:lvlJc w:val="left"/>
      <w:pPr>
        <w:ind w:left="720" w:hanging="720"/>
      </w:pPr>
      <w:rPr>
        <w:rFonts w:hint="default"/>
        <w:i w:val="0"/>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20B91D42"/>
    <w:multiLevelType w:val="multilevel"/>
    <w:tmpl w:val="C4C091CE"/>
    <w:lvl w:ilvl="0">
      <w:start w:val="1"/>
      <w:numFmt w:val="decimal"/>
      <w:lvlText w:val="%1"/>
      <w:lvlJc w:val="left"/>
      <w:pPr>
        <w:ind w:left="432" w:hanging="432"/>
      </w:pPr>
      <w:rPr>
        <w:rFonts w:hint="default"/>
        <w:color w:val="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227637F2"/>
    <w:multiLevelType w:val="hybridMultilevel"/>
    <w:tmpl w:val="E5241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7D6DCB"/>
    <w:multiLevelType w:val="multilevel"/>
    <w:tmpl w:val="511E62E0"/>
    <w:lvl w:ilvl="0">
      <w:start w:val="1"/>
      <w:numFmt w:val="decimal"/>
      <w:lvlText w:val="%1"/>
      <w:lvlJc w:val="left"/>
      <w:pPr>
        <w:ind w:left="432" w:hanging="432"/>
      </w:pPr>
      <w:rPr>
        <w:rFonts w:hint="default"/>
        <w:color w:val="FFFFFF" w:themeColor="background1"/>
        <w14:textFill>
          <w14:noFill/>
        </w14:textFill>
      </w:rPr>
    </w:lvl>
    <w:lvl w:ilvl="1">
      <w:start w:val="1"/>
      <w:numFmt w:val="decimal"/>
      <w:suff w:val="space"/>
      <w:lvlText w:val="%1.%2"/>
      <w:lvlJc w:val="left"/>
      <w:pPr>
        <w:ind w:left="576" w:hanging="576"/>
      </w:pPr>
      <w:rPr>
        <w:rFonts w:hint="default"/>
        <w:i w:val="0"/>
      </w:rPr>
    </w:lvl>
    <w:lvl w:ilvl="2">
      <w:start w:val="1"/>
      <w:numFmt w:val="decimal"/>
      <w:suff w:val="space"/>
      <w:lvlText w:val="%1.%2.%3"/>
      <w:lvlJc w:val="left"/>
      <w:pPr>
        <w:ind w:left="720" w:hanging="720"/>
      </w:pPr>
      <w:rPr>
        <w:rFonts w:hint="default"/>
        <w:i w:val="0"/>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2DA60178"/>
    <w:multiLevelType w:val="hybridMultilevel"/>
    <w:tmpl w:val="38B01492"/>
    <w:lvl w:ilvl="0" w:tplc="0409000F">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48D54F4"/>
    <w:multiLevelType w:val="multilevel"/>
    <w:tmpl w:val="DBA28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CB24616"/>
    <w:multiLevelType w:val="hybridMultilevel"/>
    <w:tmpl w:val="B80C4672"/>
    <w:lvl w:ilvl="0" w:tplc="FFB8E4DE">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9C543CB"/>
    <w:multiLevelType w:val="hybridMultilevel"/>
    <w:tmpl w:val="F2B01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09588E"/>
    <w:multiLevelType w:val="multilevel"/>
    <w:tmpl w:val="CB58A664"/>
    <w:styleLink w:val="Style2"/>
    <w:lvl w:ilvl="0">
      <w:start w:val="1"/>
      <w:numFmt w:val="decimal"/>
      <w:lvlText w:val="%1"/>
      <w:lvlJc w:val="left"/>
      <w:pPr>
        <w:ind w:left="432" w:hanging="432"/>
      </w:pPr>
      <w:rPr>
        <w:color w:val="FFFFFF" w:themeColor="background1"/>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4B58229F"/>
    <w:multiLevelType w:val="multilevel"/>
    <w:tmpl w:val="511E62E0"/>
    <w:lvl w:ilvl="0">
      <w:start w:val="1"/>
      <w:numFmt w:val="decimal"/>
      <w:lvlText w:val="%1"/>
      <w:lvlJc w:val="left"/>
      <w:pPr>
        <w:ind w:left="432" w:hanging="432"/>
      </w:pPr>
      <w:rPr>
        <w:rFonts w:hint="default"/>
        <w:color w:val="FFFFFF" w:themeColor="background1"/>
        <w14:textFill>
          <w14:noFill/>
        </w14:textFill>
      </w:rPr>
    </w:lvl>
    <w:lvl w:ilvl="1">
      <w:start w:val="1"/>
      <w:numFmt w:val="decimal"/>
      <w:suff w:val="space"/>
      <w:lvlText w:val="%1.%2"/>
      <w:lvlJc w:val="left"/>
      <w:pPr>
        <w:ind w:left="576" w:hanging="576"/>
      </w:pPr>
      <w:rPr>
        <w:rFonts w:hint="default"/>
        <w:i w:val="0"/>
      </w:rPr>
    </w:lvl>
    <w:lvl w:ilvl="2">
      <w:start w:val="1"/>
      <w:numFmt w:val="decimal"/>
      <w:suff w:val="space"/>
      <w:lvlText w:val="%1.%2.%3"/>
      <w:lvlJc w:val="left"/>
      <w:pPr>
        <w:ind w:left="720" w:hanging="720"/>
      </w:pPr>
      <w:rPr>
        <w:rFonts w:hint="default"/>
        <w:i w:val="0"/>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522522E6"/>
    <w:multiLevelType w:val="hybridMultilevel"/>
    <w:tmpl w:val="54C21B92"/>
    <w:lvl w:ilvl="0" w:tplc="FF9ED9DC">
      <w:start w:val="1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F477B4E"/>
    <w:multiLevelType w:val="multilevel"/>
    <w:tmpl w:val="119A801A"/>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60AA2190"/>
    <w:multiLevelType w:val="hybridMultilevel"/>
    <w:tmpl w:val="7C6A6E00"/>
    <w:lvl w:ilvl="0" w:tplc="FFB8E4DE">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0CC47F3"/>
    <w:multiLevelType w:val="multilevel"/>
    <w:tmpl w:val="C4C091CE"/>
    <w:lvl w:ilvl="0">
      <w:start w:val="1"/>
      <w:numFmt w:val="decimal"/>
      <w:lvlText w:val="%1"/>
      <w:lvlJc w:val="left"/>
      <w:pPr>
        <w:ind w:left="432" w:hanging="432"/>
      </w:pPr>
      <w:rPr>
        <w:rFonts w:hint="default"/>
        <w:color w:val="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639770A7"/>
    <w:multiLevelType w:val="multilevel"/>
    <w:tmpl w:val="C4C091CE"/>
    <w:styleLink w:val="Style3"/>
    <w:lvl w:ilvl="0">
      <w:start w:val="1"/>
      <w:numFmt w:val="decimal"/>
      <w:lvlText w:val="%1"/>
      <w:lvlJc w:val="left"/>
      <w:pPr>
        <w:ind w:left="432" w:hanging="432"/>
      </w:pPr>
      <w:rPr>
        <w:rFonts w:hint="default"/>
        <w:color w:val="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68E72DF0"/>
    <w:multiLevelType w:val="multilevel"/>
    <w:tmpl w:val="511E62E0"/>
    <w:lvl w:ilvl="0">
      <w:start w:val="1"/>
      <w:numFmt w:val="decimal"/>
      <w:lvlText w:val="%1"/>
      <w:lvlJc w:val="left"/>
      <w:pPr>
        <w:ind w:left="432" w:hanging="432"/>
      </w:pPr>
      <w:rPr>
        <w:rFonts w:hint="default"/>
        <w:color w:val="FFFFFF" w:themeColor="background1"/>
        <w14:textFill>
          <w14:noFill/>
        </w14:textFill>
      </w:rPr>
    </w:lvl>
    <w:lvl w:ilvl="1">
      <w:start w:val="1"/>
      <w:numFmt w:val="decimal"/>
      <w:suff w:val="space"/>
      <w:lvlText w:val="%1.%2"/>
      <w:lvlJc w:val="left"/>
      <w:pPr>
        <w:ind w:left="576" w:hanging="576"/>
      </w:pPr>
      <w:rPr>
        <w:rFonts w:hint="default"/>
        <w:i w:val="0"/>
      </w:rPr>
    </w:lvl>
    <w:lvl w:ilvl="2">
      <w:start w:val="1"/>
      <w:numFmt w:val="decimal"/>
      <w:suff w:val="space"/>
      <w:lvlText w:val="%1.%2.%3"/>
      <w:lvlJc w:val="left"/>
      <w:pPr>
        <w:ind w:left="720" w:hanging="720"/>
      </w:pPr>
      <w:rPr>
        <w:rFonts w:hint="default"/>
        <w:i w:val="0"/>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6BCE04E3"/>
    <w:multiLevelType w:val="multilevel"/>
    <w:tmpl w:val="C4C091CE"/>
    <w:lvl w:ilvl="0">
      <w:start w:val="1"/>
      <w:numFmt w:val="decimal"/>
      <w:lvlText w:val="%1"/>
      <w:lvlJc w:val="left"/>
      <w:pPr>
        <w:ind w:left="432" w:hanging="432"/>
      </w:pPr>
      <w:rPr>
        <w:rFonts w:hint="default"/>
        <w:color w:val="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6C1B27DD"/>
    <w:multiLevelType w:val="multilevel"/>
    <w:tmpl w:val="119A801A"/>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6FAC5D74"/>
    <w:multiLevelType w:val="hybridMultilevel"/>
    <w:tmpl w:val="CED20638"/>
    <w:lvl w:ilvl="0" w:tplc="98A6B998">
      <w:start w:val="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BC2D06"/>
    <w:multiLevelType w:val="hybridMultilevel"/>
    <w:tmpl w:val="75B4024A"/>
    <w:lvl w:ilvl="0" w:tplc="98A6B998">
      <w:start w:val="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443021"/>
    <w:multiLevelType w:val="multilevel"/>
    <w:tmpl w:val="511E62E0"/>
    <w:lvl w:ilvl="0">
      <w:start w:val="1"/>
      <w:numFmt w:val="decimal"/>
      <w:lvlText w:val="%1"/>
      <w:lvlJc w:val="left"/>
      <w:pPr>
        <w:ind w:left="432" w:hanging="432"/>
      </w:pPr>
      <w:rPr>
        <w:rFonts w:hint="default"/>
        <w:color w:val="FFFFFF" w:themeColor="background1"/>
        <w14:textFill>
          <w14:noFill/>
        </w14:textFill>
      </w:rPr>
    </w:lvl>
    <w:lvl w:ilvl="1">
      <w:start w:val="1"/>
      <w:numFmt w:val="decimal"/>
      <w:suff w:val="space"/>
      <w:lvlText w:val="%1.%2"/>
      <w:lvlJc w:val="left"/>
      <w:pPr>
        <w:ind w:left="576" w:hanging="576"/>
      </w:pPr>
      <w:rPr>
        <w:rFonts w:hint="default"/>
        <w:i w:val="0"/>
      </w:rPr>
    </w:lvl>
    <w:lvl w:ilvl="2">
      <w:start w:val="1"/>
      <w:numFmt w:val="decimal"/>
      <w:suff w:val="space"/>
      <w:lvlText w:val="%1.%2.%3"/>
      <w:lvlJc w:val="left"/>
      <w:pPr>
        <w:ind w:left="720" w:hanging="720"/>
      </w:pPr>
      <w:rPr>
        <w:rFonts w:hint="default"/>
        <w:i w:val="0"/>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7EEB638A"/>
    <w:multiLevelType w:val="multilevel"/>
    <w:tmpl w:val="511E62E0"/>
    <w:lvl w:ilvl="0">
      <w:start w:val="1"/>
      <w:numFmt w:val="decimal"/>
      <w:lvlText w:val="%1"/>
      <w:lvlJc w:val="left"/>
      <w:pPr>
        <w:ind w:left="432" w:hanging="432"/>
      </w:pPr>
      <w:rPr>
        <w:rFonts w:hint="default"/>
        <w:color w:val="FFFFFF" w:themeColor="background1"/>
        <w14:textFill>
          <w14:noFill/>
        </w14:textFill>
      </w:rPr>
    </w:lvl>
    <w:lvl w:ilvl="1">
      <w:start w:val="1"/>
      <w:numFmt w:val="decimal"/>
      <w:suff w:val="space"/>
      <w:lvlText w:val="%1.%2"/>
      <w:lvlJc w:val="left"/>
      <w:pPr>
        <w:ind w:left="576" w:hanging="576"/>
      </w:pPr>
      <w:rPr>
        <w:rFonts w:hint="default"/>
        <w:i w:val="0"/>
      </w:rPr>
    </w:lvl>
    <w:lvl w:ilvl="2">
      <w:start w:val="1"/>
      <w:numFmt w:val="decimal"/>
      <w:suff w:val="space"/>
      <w:lvlText w:val="%1.%2.%3"/>
      <w:lvlJc w:val="left"/>
      <w:pPr>
        <w:ind w:left="720" w:hanging="720"/>
      </w:pPr>
      <w:rPr>
        <w:rFonts w:hint="default"/>
        <w:i w:val="0"/>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12"/>
  </w:num>
  <w:num w:numId="2">
    <w:abstractNumId w:val="21"/>
  </w:num>
  <w:num w:numId="3">
    <w:abstractNumId w:val="26"/>
  </w:num>
  <w:num w:numId="4">
    <w:abstractNumId w:val="29"/>
  </w:num>
  <w:num w:numId="5">
    <w:abstractNumId w:val="22"/>
  </w:num>
  <w:num w:numId="6">
    <w:abstractNumId w:val="33"/>
  </w:num>
  <w:num w:numId="7">
    <w:abstractNumId w:val="27"/>
  </w:num>
  <w:num w:numId="8">
    <w:abstractNumId w:val="19"/>
  </w:num>
  <w:num w:numId="9">
    <w:abstractNumId w:val="18"/>
  </w:num>
  <w:num w:numId="10">
    <w:abstractNumId w:val="15"/>
  </w:num>
  <w:num w:numId="11">
    <w:abstractNumId w:val="14"/>
  </w:num>
  <w:num w:numId="12">
    <w:abstractNumId w:val="16"/>
  </w:num>
  <w:num w:numId="13">
    <w:abstractNumId w:val="23"/>
  </w:num>
  <w:num w:numId="14">
    <w:abstractNumId w:val="32"/>
  </w:num>
  <w:num w:numId="15">
    <w:abstractNumId w:val="31"/>
  </w:num>
  <w:num w:numId="16">
    <w:abstractNumId w:val="0"/>
  </w:num>
  <w:num w:numId="17">
    <w:abstractNumId w:val="1"/>
  </w:num>
  <w:num w:numId="18">
    <w:abstractNumId w:val="2"/>
  </w:num>
  <w:num w:numId="19">
    <w:abstractNumId w:val="3"/>
  </w:num>
  <w:num w:numId="20">
    <w:abstractNumId w:val="8"/>
  </w:num>
  <w:num w:numId="21">
    <w:abstractNumId w:val="4"/>
  </w:num>
  <w:num w:numId="22">
    <w:abstractNumId w:val="5"/>
  </w:num>
  <w:num w:numId="23">
    <w:abstractNumId w:val="6"/>
  </w:num>
  <w:num w:numId="24">
    <w:abstractNumId w:val="7"/>
  </w:num>
  <w:num w:numId="25">
    <w:abstractNumId w:val="9"/>
  </w:num>
  <w:num w:numId="26">
    <w:abstractNumId w:val="20"/>
  </w:num>
  <w:num w:numId="27">
    <w:abstractNumId w:val="25"/>
  </w:num>
  <w:num w:numId="28">
    <w:abstractNumId w:val="17"/>
  </w:num>
  <w:num w:numId="29">
    <w:abstractNumId w:val="28"/>
  </w:num>
  <w:num w:numId="30">
    <w:abstractNumId w:val="13"/>
  </w:num>
  <w:num w:numId="31">
    <w:abstractNumId w:val="34"/>
  </w:num>
  <w:num w:numId="32">
    <w:abstractNumId w:val="11"/>
  </w:num>
  <w:num w:numId="33">
    <w:abstractNumId w:val="30"/>
  </w:num>
  <w:num w:numId="34">
    <w:abstractNumId w:val="24"/>
  </w:num>
  <w:num w:numId="35">
    <w:abstractNumId w:val="10"/>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6"/>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630F"/>
    <w:rsid w:val="00000BF9"/>
    <w:rsid w:val="00002735"/>
    <w:rsid w:val="00002B74"/>
    <w:rsid w:val="00003A7A"/>
    <w:rsid w:val="000065C1"/>
    <w:rsid w:val="00010B70"/>
    <w:rsid w:val="0001121F"/>
    <w:rsid w:val="00011CAA"/>
    <w:rsid w:val="00016930"/>
    <w:rsid w:val="00016F33"/>
    <w:rsid w:val="00017155"/>
    <w:rsid w:val="00020A6C"/>
    <w:rsid w:val="00022448"/>
    <w:rsid w:val="000242E0"/>
    <w:rsid w:val="000243D7"/>
    <w:rsid w:val="00026688"/>
    <w:rsid w:val="00027037"/>
    <w:rsid w:val="00030D44"/>
    <w:rsid w:val="00035010"/>
    <w:rsid w:val="00036191"/>
    <w:rsid w:val="00036714"/>
    <w:rsid w:val="00037073"/>
    <w:rsid w:val="000370AE"/>
    <w:rsid w:val="00037B9C"/>
    <w:rsid w:val="00040750"/>
    <w:rsid w:val="0004445B"/>
    <w:rsid w:val="00044BE3"/>
    <w:rsid w:val="00044C25"/>
    <w:rsid w:val="00045FF4"/>
    <w:rsid w:val="000462F7"/>
    <w:rsid w:val="0004707C"/>
    <w:rsid w:val="0004743B"/>
    <w:rsid w:val="000507BA"/>
    <w:rsid w:val="00051A35"/>
    <w:rsid w:val="000522F6"/>
    <w:rsid w:val="00053336"/>
    <w:rsid w:val="00053AFE"/>
    <w:rsid w:val="000544CA"/>
    <w:rsid w:val="00054728"/>
    <w:rsid w:val="00054D49"/>
    <w:rsid w:val="000563FF"/>
    <w:rsid w:val="00056B99"/>
    <w:rsid w:val="00057CB0"/>
    <w:rsid w:val="00057DBE"/>
    <w:rsid w:val="0006045B"/>
    <w:rsid w:val="00060986"/>
    <w:rsid w:val="00064504"/>
    <w:rsid w:val="000656D3"/>
    <w:rsid w:val="0006578C"/>
    <w:rsid w:val="00066B5A"/>
    <w:rsid w:val="00067135"/>
    <w:rsid w:val="00067F33"/>
    <w:rsid w:val="0007049A"/>
    <w:rsid w:val="000707E1"/>
    <w:rsid w:val="00070DE1"/>
    <w:rsid w:val="00072B88"/>
    <w:rsid w:val="0007470B"/>
    <w:rsid w:val="00075624"/>
    <w:rsid w:val="00076A3D"/>
    <w:rsid w:val="00076E39"/>
    <w:rsid w:val="00076E3C"/>
    <w:rsid w:val="00081BD9"/>
    <w:rsid w:val="00081D1A"/>
    <w:rsid w:val="00082419"/>
    <w:rsid w:val="0008311C"/>
    <w:rsid w:val="00083B7A"/>
    <w:rsid w:val="00083C53"/>
    <w:rsid w:val="00083E78"/>
    <w:rsid w:val="00084FBD"/>
    <w:rsid w:val="00085B24"/>
    <w:rsid w:val="00086D4B"/>
    <w:rsid w:val="00087EED"/>
    <w:rsid w:val="00087FE7"/>
    <w:rsid w:val="00091626"/>
    <w:rsid w:val="00091827"/>
    <w:rsid w:val="0009403C"/>
    <w:rsid w:val="000944E2"/>
    <w:rsid w:val="00096F47"/>
    <w:rsid w:val="00097A65"/>
    <w:rsid w:val="000A00E5"/>
    <w:rsid w:val="000A072B"/>
    <w:rsid w:val="000A1E9A"/>
    <w:rsid w:val="000A291B"/>
    <w:rsid w:val="000A31BF"/>
    <w:rsid w:val="000A6820"/>
    <w:rsid w:val="000B19CA"/>
    <w:rsid w:val="000B22BD"/>
    <w:rsid w:val="000B3E5E"/>
    <w:rsid w:val="000B4424"/>
    <w:rsid w:val="000B6046"/>
    <w:rsid w:val="000B76D5"/>
    <w:rsid w:val="000C23ED"/>
    <w:rsid w:val="000C2A64"/>
    <w:rsid w:val="000C2C63"/>
    <w:rsid w:val="000C2D26"/>
    <w:rsid w:val="000C453D"/>
    <w:rsid w:val="000C54A3"/>
    <w:rsid w:val="000C5F3E"/>
    <w:rsid w:val="000C7180"/>
    <w:rsid w:val="000D03B2"/>
    <w:rsid w:val="000D0BED"/>
    <w:rsid w:val="000D1FD6"/>
    <w:rsid w:val="000D27A7"/>
    <w:rsid w:val="000D7724"/>
    <w:rsid w:val="000E0429"/>
    <w:rsid w:val="000E262B"/>
    <w:rsid w:val="000E46C0"/>
    <w:rsid w:val="000E5EF8"/>
    <w:rsid w:val="000E7FC5"/>
    <w:rsid w:val="000F08B3"/>
    <w:rsid w:val="000F32F3"/>
    <w:rsid w:val="000F3A19"/>
    <w:rsid w:val="000F4662"/>
    <w:rsid w:val="000F4807"/>
    <w:rsid w:val="000F4881"/>
    <w:rsid w:val="000F4CF3"/>
    <w:rsid w:val="000F649D"/>
    <w:rsid w:val="000F64CE"/>
    <w:rsid w:val="00101398"/>
    <w:rsid w:val="0010319F"/>
    <w:rsid w:val="001049B0"/>
    <w:rsid w:val="00107399"/>
    <w:rsid w:val="00117180"/>
    <w:rsid w:val="001200FB"/>
    <w:rsid w:val="00122332"/>
    <w:rsid w:val="0012248F"/>
    <w:rsid w:val="0012425E"/>
    <w:rsid w:val="00124E91"/>
    <w:rsid w:val="0013042A"/>
    <w:rsid w:val="00131D06"/>
    <w:rsid w:val="00132144"/>
    <w:rsid w:val="00133A97"/>
    <w:rsid w:val="00134189"/>
    <w:rsid w:val="00135A27"/>
    <w:rsid w:val="0013659A"/>
    <w:rsid w:val="00141BC9"/>
    <w:rsid w:val="001421C0"/>
    <w:rsid w:val="00143ECA"/>
    <w:rsid w:val="00146CD2"/>
    <w:rsid w:val="00147D6C"/>
    <w:rsid w:val="001502C1"/>
    <w:rsid w:val="00150CA0"/>
    <w:rsid w:val="00152DCD"/>
    <w:rsid w:val="00153770"/>
    <w:rsid w:val="0015565A"/>
    <w:rsid w:val="00155A1D"/>
    <w:rsid w:val="00155D8D"/>
    <w:rsid w:val="00155E8B"/>
    <w:rsid w:val="001600D2"/>
    <w:rsid w:val="00163F98"/>
    <w:rsid w:val="0016433D"/>
    <w:rsid w:val="001645C6"/>
    <w:rsid w:val="001653DA"/>
    <w:rsid w:val="00167DFD"/>
    <w:rsid w:val="00174CAD"/>
    <w:rsid w:val="00174D80"/>
    <w:rsid w:val="0017696C"/>
    <w:rsid w:val="0017702E"/>
    <w:rsid w:val="00177D22"/>
    <w:rsid w:val="00181404"/>
    <w:rsid w:val="001817CD"/>
    <w:rsid w:val="00184E5B"/>
    <w:rsid w:val="001851F5"/>
    <w:rsid w:val="00190120"/>
    <w:rsid w:val="0019054D"/>
    <w:rsid w:val="00190948"/>
    <w:rsid w:val="00190AC4"/>
    <w:rsid w:val="001946CC"/>
    <w:rsid w:val="0019495D"/>
    <w:rsid w:val="00194EFC"/>
    <w:rsid w:val="00194FEA"/>
    <w:rsid w:val="00196235"/>
    <w:rsid w:val="001967B4"/>
    <w:rsid w:val="001973CF"/>
    <w:rsid w:val="001977BE"/>
    <w:rsid w:val="001A0E19"/>
    <w:rsid w:val="001A132E"/>
    <w:rsid w:val="001A3024"/>
    <w:rsid w:val="001A6528"/>
    <w:rsid w:val="001A7348"/>
    <w:rsid w:val="001A7E63"/>
    <w:rsid w:val="001A7FDB"/>
    <w:rsid w:val="001B0E50"/>
    <w:rsid w:val="001B3550"/>
    <w:rsid w:val="001B566A"/>
    <w:rsid w:val="001B61BC"/>
    <w:rsid w:val="001B6AA4"/>
    <w:rsid w:val="001B7A2B"/>
    <w:rsid w:val="001C00C6"/>
    <w:rsid w:val="001C0591"/>
    <w:rsid w:val="001C0BEE"/>
    <w:rsid w:val="001C1608"/>
    <w:rsid w:val="001C2728"/>
    <w:rsid w:val="001C4661"/>
    <w:rsid w:val="001C6FA1"/>
    <w:rsid w:val="001D1517"/>
    <w:rsid w:val="001D1D75"/>
    <w:rsid w:val="001D20E5"/>
    <w:rsid w:val="001D2F5F"/>
    <w:rsid w:val="001D380B"/>
    <w:rsid w:val="001D76D9"/>
    <w:rsid w:val="001E0AC4"/>
    <w:rsid w:val="001E1637"/>
    <w:rsid w:val="001E295C"/>
    <w:rsid w:val="001F3A8F"/>
    <w:rsid w:val="001F415A"/>
    <w:rsid w:val="001F643F"/>
    <w:rsid w:val="001F7366"/>
    <w:rsid w:val="001F7D4A"/>
    <w:rsid w:val="001F7E07"/>
    <w:rsid w:val="002019B0"/>
    <w:rsid w:val="00201AB2"/>
    <w:rsid w:val="00201D12"/>
    <w:rsid w:val="002040A3"/>
    <w:rsid w:val="0020487E"/>
    <w:rsid w:val="00205CDD"/>
    <w:rsid w:val="002077CF"/>
    <w:rsid w:val="0020797A"/>
    <w:rsid w:val="00211679"/>
    <w:rsid w:val="00212959"/>
    <w:rsid w:val="00216F3E"/>
    <w:rsid w:val="002218BE"/>
    <w:rsid w:val="00222235"/>
    <w:rsid w:val="002229B7"/>
    <w:rsid w:val="002239FC"/>
    <w:rsid w:val="00224934"/>
    <w:rsid w:val="002304B0"/>
    <w:rsid w:val="00230CAC"/>
    <w:rsid w:val="002318B2"/>
    <w:rsid w:val="00232616"/>
    <w:rsid w:val="002345F2"/>
    <w:rsid w:val="002365CE"/>
    <w:rsid w:val="00236AFB"/>
    <w:rsid w:val="0023702D"/>
    <w:rsid w:val="00237F1E"/>
    <w:rsid w:val="00240CC1"/>
    <w:rsid w:val="00242AA9"/>
    <w:rsid w:val="002434A2"/>
    <w:rsid w:val="00243603"/>
    <w:rsid w:val="002448BA"/>
    <w:rsid w:val="00244AF6"/>
    <w:rsid w:val="002455E9"/>
    <w:rsid w:val="0024696B"/>
    <w:rsid w:val="00246F1B"/>
    <w:rsid w:val="0025168C"/>
    <w:rsid w:val="0025282F"/>
    <w:rsid w:val="00252840"/>
    <w:rsid w:val="00253196"/>
    <w:rsid w:val="002544B7"/>
    <w:rsid w:val="00254698"/>
    <w:rsid w:val="00254F9B"/>
    <w:rsid w:val="0025576F"/>
    <w:rsid w:val="0025795D"/>
    <w:rsid w:val="00257E91"/>
    <w:rsid w:val="0026056E"/>
    <w:rsid w:val="00261C2B"/>
    <w:rsid w:val="002631B5"/>
    <w:rsid w:val="00263B1E"/>
    <w:rsid w:val="00264AFE"/>
    <w:rsid w:val="002653A6"/>
    <w:rsid w:val="0026682D"/>
    <w:rsid w:val="002672F6"/>
    <w:rsid w:val="002676BA"/>
    <w:rsid w:val="00272EE1"/>
    <w:rsid w:val="00273AC8"/>
    <w:rsid w:val="00273D1C"/>
    <w:rsid w:val="00273F25"/>
    <w:rsid w:val="00274468"/>
    <w:rsid w:val="0027743C"/>
    <w:rsid w:val="00277A8A"/>
    <w:rsid w:val="0028003F"/>
    <w:rsid w:val="0028093C"/>
    <w:rsid w:val="0028096C"/>
    <w:rsid w:val="00284077"/>
    <w:rsid w:val="0028665F"/>
    <w:rsid w:val="00287F22"/>
    <w:rsid w:val="002909D5"/>
    <w:rsid w:val="0029488D"/>
    <w:rsid w:val="002961C1"/>
    <w:rsid w:val="002961CB"/>
    <w:rsid w:val="002A1E25"/>
    <w:rsid w:val="002A2128"/>
    <w:rsid w:val="002A3CAA"/>
    <w:rsid w:val="002A4FBA"/>
    <w:rsid w:val="002A50EB"/>
    <w:rsid w:val="002A5457"/>
    <w:rsid w:val="002A5D33"/>
    <w:rsid w:val="002B0719"/>
    <w:rsid w:val="002B1382"/>
    <w:rsid w:val="002B24FF"/>
    <w:rsid w:val="002B25BF"/>
    <w:rsid w:val="002B3802"/>
    <w:rsid w:val="002B5511"/>
    <w:rsid w:val="002B6267"/>
    <w:rsid w:val="002B6A3F"/>
    <w:rsid w:val="002B6BAF"/>
    <w:rsid w:val="002B7200"/>
    <w:rsid w:val="002C046C"/>
    <w:rsid w:val="002C0B74"/>
    <w:rsid w:val="002C3F01"/>
    <w:rsid w:val="002C60AA"/>
    <w:rsid w:val="002C7691"/>
    <w:rsid w:val="002D092A"/>
    <w:rsid w:val="002D208D"/>
    <w:rsid w:val="002D297D"/>
    <w:rsid w:val="002D2EC9"/>
    <w:rsid w:val="002D36EB"/>
    <w:rsid w:val="002D69D1"/>
    <w:rsid w:val="002D77BC"/>
    <w:rsid w:val="002E2690"/>
    <w:rsid w:val="002E3736"/>
    <w:rsid w:val="002E3E1B"/>
    <w:rsid w:val="002E5BE0"/>
    <w:rsid w:val="002E5FFF"/>
    <w:rsid w:val="002E60FC"/>
    <w:rsid w:val="002F0861"/>
    <w:rsid w:val="002F08B2"/>
    <w:rsid w:val="002F1E6E"/>
    <w:rsid w:val="002F2A97"/>
    <w:rsid w:val="002F2F04"/>
    <w:rsid w:val="002F3B47"/>
    <w:rsid w:val="002F40CD"/>
    <w:rsid w:val="002F4284"/>
    <w:rsid w:val="002F5A7E"/>
    <w:rsid w:val="002F6692"/>
    <w:rsid w:val="00300078"/>
    <w:rsid w:val="00301A7C"/>
    <w:rsid w:val="003021E3"/>
    <w:rsid w:val="00303009"/>
    <w:rsid w:val="00303609"/>
    <w:rsid w:val="00305B31"/>
    <w:rsid w:val="003073B2"/>
    <w:rsid w:val="00310DBC"/>
    <w:rsid w:val="00311886"/>
    <w:rsid w:val="00311CA3"/>
    <w:rsid w:val="00312196"/>
    <w:rsid w:val="003145C9"/>
    <w:rsid w:val="00314EAF"/>
    <w:rsid w:val="00315CC7"/>
    <w:rsid w:val="003202B8"/>
    <w:rsid w:val="0032046E"/>
    <w:rsid w:val="003206DE"/>
    <w:rsid w:val="00320855"/>
    <w:rsid w:val="0032434A"/>
    <w:rsid w:val="003257C7"/>
    <w:rsid w:val="003275E6"/>
    <w:rsid w:val="00327697"/>
    <w:rsid w:val="003277DE"/>
    <w:rsid w:val="00327E45"/>
    <w:rsid w:val="003301D9"/>
    <w:rsid w:val="00330F3C"/>
    <w:rsid w:val="00331C6E"/>
    <w:rsid w:val="00332391"/>
    <w:rsid w:val="00334DC0"/>
    <w:rsid w:val="00334FCB"/>
    <w:rsid w:val="00335397"/>
    <w:rsid w:val="00335856"/>
    <w:rsid w:val="00335E5F"/>
    <w:rsid w:val="00336D09"/>
    <w:rsid w:val="00340956"/>
    <w:rsid w:val="00340DCF"/>
    <w:rsid w:val="00342D70"/>
    <w:rsid w:val="00345267"/>
    <w:rsid w:val="00351AFB"/>
    <w:rsid w:val="0035390F"/>
    <w:rsid w:val="00353EAA"/>
    <w:rsid w:val="0035788D"/>
    <w:rsid w:val="00360380"/>
    <w:rsid w:val="00360662"/>
    <w:rsid w:val="003610F9"/>
    <w:rsid w:val="00364C97"/>
    <w:rsid w:val="00365209"/>
    <w:rsid w:val="00365545"/>
    <w:rsid w:val="003664DA"/>
    <w:rsid w:val="003667B5"/>
    <w:rsid w:val="003674B5"/>
    <w:rsid w:val="0037195C"/>
    <w:rsid w:val="00372679"/>
    <w:rsid w:val="0037410A"/>
    <w:rsid w:val="00381AAE"/>
    <w:rsid w:val="00381BB6"/>
    <w:rsid w:val="0038226C"/>
    <w:rsid w:val="00382926"/>
    <w:rsid w:val="00384698"/>
    <w:rsid w:val="00387EAF"/>
    <w:rsid w:val="00391A44"/>
    <w:rsid w:val="00396E1F"/>
    <w:rsid w:val="0039741B"/>
    <w:rsid w:val="00397D8F"/>
    <w:rsid w:val="003A0F54"/>
    <w:rsid w:val="003A38BB"/>
    <w:rsid w:val="003A4B7B"/>
    <w:rsid w:val="003A57FB"/>
    <w:rsid w:val="003A61E4"/>
    <w:rsid w:val="003A6E49"/>
    <w:rsid w:val="003B206E"/>
    <w:rsid w:val="003B2A1E"/>
    <w:rsid w:val="003B374A"/>
    <w:rsid w:val="003B3C69"/>
    <w:rsid w:val="003B47A2"/>
    <w:rsid w:val="003B49F9"/>
    <w:rsid w:val="003B5259"/>
    <w:rsid w:val="003B5549"/>
    <w:rsid w:val="003B5960"/>
    <w:rsid w:val="003B5A18"/>
    <w:rsid w:val="003B6D58"/>
    <w:rsid w:val="003B7BDF"/>
    <w:rsid w:val="003C073A"/>
    <w:rsid w:val="003C1158"/>
    <w:rsid w:val="003C194A"/>
    <w:rsid w:val="003C3578"/>
    <w:rsid w:val="003C41F2"/>
    <w:rsid w:val="003C43B9"/>
    <w:rsid w:val="003C4F52"/>
    <w:rsid w:val="003C6AB4"/>
    <w:rsid w:val="003C6F92"/>
    <w:rsid w:val="003C7A13"/>
    <w:rsid w:val="003C7E16"/>
    <w:rsid w:val="003D3EDA"/>
    <w:rsid w:val="003E0F7C"/>
    <w:rsid w:val="003E1A7B"/>
    <w:rsid w:val="003E1CDF"/>
    <w:rsid w:val="003E40D7"/>
    <w:rsid w:val="003E43DF"/>
    <w:rsid w:val="003E5783"/>
    <w:rsid w:val="003E65B9"/>
    <w:rsid w:val="003E757D"/>
    <w:rsid w:val="003E774A"/>
    <w:rsid w:val="003E7B06"/>
    <w:rsid w:val="003F0E1B"/>
    <w:rsid w:val="003F1DAA"/>
    <w:rsid w:val="003F3243"/>
    <w:rsid w:val="003F4A2D"/>
    <w:rsid w:val="00401467"/>
    <w:rsid w:val="00401A11"/>
    <w:rsid w:val="00402117"/>
    <w:rsid w:val="004056BF"/>
    <w:rsid w:val="0040728B"/>
    <w:rsid w:val="00407F62"/>
    <w:rsid w:val="00410E1D"/>
    <w:rsid w:val="004112CD"/>
    <w:rsid w:val="00411552"/>
    <w:rsid w:val="00413143"/>
    <w:rsid w:val="00413A9D"/>
    <w:rsid w:val="00414301"/>
    <w:rsid w:val="0041553B"/>
    <w:rsid w:val="00416BDF"/>
    <w:rsid w:val="00417D23"/>
    <w:rsid w:val="00422E98"/>
    <w:rsid w:val="00423FFB"/>
    <w:rsid w:val="00426B19"/>
    <w:rsid w:val="00427188"/>
    <w:rsid w:val="0043031E"/>
    <w:rsid w:val="004308B9"/>
    <w:rsid w:val="004315C0"/>
    <w:rsid w:val="00431D3D"/>
    <w:rsid w:val="00432A25"/>
    <w:rsid w:val="00432FD6"/>
    <w:rsid w:val="00433A35"/>
    <w:rsid w:val="00436B33"/>
    <w:rsid w:val="004415FB"/>
    <w:rsid w:val="00442425"/>
    <w:rsid w:val="00443B28"/>
    <w:rsid w:val="004449ED"/>
    <w:rsid w:val="00444C40"/>
    <w:rsid w:val="004458D5"/>
    <w:rsid w:val="004476D0"/>
    <w:rsid w:val="00450B30"/>
    <w:rsid w:val="00451322"/>
    <w:rsid w:val="00451C47"/>
    <w:rsid w:val="00452509"/>
    <w:rsid w:val="00452879"/>
    <w:rsid w:val="004528BC"/>
    <w:rsid w:val="00454FDE"/>
    <w:rsid w:val="0045503A"/>
    <w:rsid w:val="004557D4"/>
    <w:rsid w:val="004566CE"/>
    <w:rsid w:val="004567A3"/>
    <w:rsid w:val="004600A6"/>
    <w:rsid w:val="00461D4C"/>
    <w:rsid w:val="004622EC"/>
    <w:rsid w:val="0046259A"/>
    <w:rsid w:val="00462A55"/>
    <w:rsid w:val="004659E1"/>
    <w:rsid w:val="00466F66"/>
    <w:rsid w:val="00467D79"/>
    <w:rsid w:val="00475426"/>
    <w:rsid w:val="0047675D"/>
    <w:rsid w:val="00477185"/>
    <w:rsid w:val="00481017"/>
    <w:rsid w:val="00481DEE"/>
    <w:rsid w:val="0048248F"/>
    <w:rsid w:val="00482F5B"/>
    <w:rsid w:val="00483095"/>
    <w:rsid w:val="0048459E"/>
    <w:rsid w:val="004863B9"/>
    <w:rsid w:val="00486AEE"/>
    <w:rsid w:val="00487741"/>
    <w:rsid w:val="00490C99"/>
    <w:rsid w:val="00490F25"/>
    <w:rsid w:val="00492C8D"/>
    <w:rsid w:val="00493301"/>
    <w:rsid w:val="00495357"/>
    <w:rsid w:val="00495BFC"/>
    <w:rsid w:val="0049645D"/>
    <w:rsid w:val="004972E7"/>
    <w:rsid w:val="00497EE0"/>
    <w:rsid w:val="004A3FEA"/>
    <w:rsid w:val="004A52D1"/>
    <w:rsid w:val="004A7349"/>
    <w:rsid w:val="004B059A"/>
    <w:rsid w:val="004B1394"/>
    <w:rsid w:val="004B1E7B"/>
    <w:rsid w:val="004B6D12"/>
    <w:rsid w:val="004B771C"/>
    <w:rsid w:val="004C01B0"/>
    <w:rsid w:val="004C1667"/>
    <w:rsid w:val="004C433D"/>
    <w:rsid w:val="004C4574"/>
    <w:rsid w:val="004C4829"/>
    <w:rsid w:val="004C4A88"/>
    <w:rsid w:val="004D0475"/>
    <w:rsid w:val="004D0C82"/>
    <w:rsid w:val="004D0D06"/>
    <w:rsid w:val="004D151F"/>
    <w:rsid w:val="004D1B17"/>
    <w:rsid w:val="004D1F68"/>
    <w:rsid w:val="004D247D"/>
    <w:rsid w:val="004D2E35"/>
    <w:rsid w:val="004D4296"/>
    <w:rsid w:val="004D444F"/>
    <w:rsid w:val="004D5EA3"/>
    <w:rsid w:val="004D7426"/>
    <w:rsid w:val="004E07F8"/>
    <w:rsid w:val="004E1E6F"/>
    <w:rsid w:val="004E3667"/>
    <w:rsid w:val="004E3A07"/>
    <w:rsid w:val="004E562F"/>
    <w:rsid w:val="004E5B07"/>
    <w:rsid w:val="004F0D81"/>
    <w:rsid w:val="004F4807"/>
    <w:rsid w:val="004F4A92"/>
    <w:rsid w:val="004F61D0"/>
    <w:rsid w:val="004F7462"/>
    <w:rsid w:val="004F78F1"/>
    <w:rsid w:val="00500574"/>
    <w:rsid w:val="00501A99"/>
    <w:rsid w:val="00502947"/>
    <w:rsid w:val="005046BD"/>
    <w:rsid w:val="0050523A"/>
    <w:rsid w:val="0050527E"/>
    <w:rsid w:val="00505488"/>
    <w:rsid w:val="00507F56"/>
    <w:rsid w:val="00511D31"/>
    <w:rsid w:val="00514388"/>
    <w:rsid w:val="00515948"/>
    <w:rsid w:val="005179B2"/>
    <w:rsid w:val="0052083D"/>
    <w:rsid w:val="00520F9A"/>
    <w:rsid w:val="005232BC"/>
    <w:rsid w:val="00523C90"/>
    <w:rsid w:val="00526405"/>
    <w:rsid w:val="00527641"/>
    <w:rsid w:val="00530694"/>
    <w:rsid w:val="00533752"/>
    <w:rsid w:val="00533DF3"/>
    <w:rsid w:val="00533E21"/>
    <w:rsid w:val="00534975"/>
    <w:rsid w:val="00536269"/>
    <w:rsid w:val="005414E3"/>
    <w:rsid w:val="00541AA9"/>
    <w:rsid w:val="00541D3B"/>
    <w:rsid w:val="005421F3"/>
    <w:rsid w:val="005423FD"/>
    <w:rsid w:val="005443C9"/>
    <w:rsid w:val="00546285"/>
    <w:rsid w:val="005467D0"/>
    <w:rsid w:val="005476C5"/>
    <w:rsid w:val="00550257"/>
    <w:rsid w:val="005506A8"/>
    <w:rsid w:val="00551146"/>
    <w:rsid w:val="005515C3"/>
    <w:rsid w:val="005527E5"/>
    <w:rsid w:val="00560682"/>
    <w:rsid w:val="00563022"/>
    <w:rsid w:val="005634FC"/>
    <w:rsid w:val="005652F0"/>
    <w:rsid w:val="00565949"/>
    <w:rsid w:val="00565F47"/>
    <w:rsid w:val="00566675"/>
    <w:rsid w:val="00567B92"/>
    <w:rsid w:val="00567DD2"/>
    <w:rsid w:val="00570BA1"/>
    <w:rsid w:val="00571995"/>
    <w:rsid w:val="00572573"/>
    <w:rsid w:val="00573DD5"/>
    <w:rsid w:val="00577BF4"/>
    <w:rsid w:val="00577FD7"/>
    <w:rsid w:val="00581534"/>
    <w:rsid w:val="005824FD"/>
    <w:rsid w:val="00583853"/>
    <w:rsid w:val="00586D1F"/>
    <w:rsid w:val="00587936"/>
    <w:rsid w:val="00587B58"/>
    <w:rsid w:val="00591784"/>
    <w:rsid w:val="005920A8"/>
    <w:rsid w:val="00592520"/>
    <w:rsid w:val="00594D33"/>
    <w:rsid w:val="00595650"/>
    <w:rsid w:val="005A25CC"/>
    <w:rsid w:val="005A35FA"/>
    <w:rsid w:val="005A4CA4"/>
    <w:rsid w:val="005A5B43"/>
    <w:rsid w:val="005A7124"/>
    <w:rsid w:val="005B0873"/>
    <w:rsid w:val="005B0AF1"/>
    <w:rsid w:val="005B1497"/>
    <w:rsid w:val="005B24ED"/>
    <w:rsid w:val="005B3BB4"/>
    <w:rsid w:val="005B4DC8"/>
    <w:rsid w:val="005B6352"/>
    <w:rsid w:val="005B7EB0"/>
    <w:rsid w:val="005C0341"/>
    <w:rsid w:val="005C102D"/>
    <w:rsid w:val="005C230C"/>
    <w:rsid w:val="005C2ED7"/>
    <w:rsid w:val="005C32FE"/>
    <w:rsid w:val="005C3C77"/>
    <w:rsid w:val="005C3E9A"/>
    <w:rsid w:val="005C4341"/>
    <w:rsid w:val="005C4449"/>
    <w:rsid w:val="005C4E13"/>
    <w:rsid w:val="005C522E"/>
    <w:rsid w:val="005D072F"/>
    <w:rsid w:val="005D1D22"/>
    <w:rsid w:val="005D36AD"/>
    <w:rsid w:val="005D3C0A"/>
    <w:rsid w:val="005D3F72"/>
    <w:rsid w:val="005D44FA"/>
    <w:rsid w:val="005D5DC6"/>
    <w:rsid w:val="005D64B5"/>
    <w:rsid w:val="005D6B83"/>
    <w:rsid w:val="005E0AD6"/>
    <w:rsid w:val="005E26F2"/>
    <w:rsid w:val="005E3552"/>
    <w:rsid w:val="005E72C3"/>
    <w:rsid w:val="005F1609"/>
    <w:rsid w:val="005F184F"/>
    <w:rsid w:val="005F21A4"/>
    <w:rsid w:val="005F2C0E"/>
    <w:rsid w:val="005F3B1D"/>
    <w:rsid w:val="005F3F15"/>
    <w:rsid w:val="006024B3"/>
    <w:rsid w:val="0060391A"/>
    <w:rsid w:val="00604BAA"/>
    <w:rsid w:val="00605381"/>
    <w:rsid w:val="00607CD7"/>
    <w:rsid w:val="0061081A"/>
    <w:rsid w:val="00610B17"/>
    <w:rsid w:val="00611D70"/>
    <w:rsid w:val="00611F01"/>
    <w:rsid w:val="00612834"/>
    <w:rsid w:val="00612D67"/>
    <w:rsid w:val="00612F98"/>
    <w:rsid w:val="00614FBB"/>
    <w:rsid w:val="0061780C"/>
    <w:rsid w:val="00622E2C"/>
    <w:rsid w:val="00625724"/>
    <w:rsid w:val="00625E52"/>
    <w:rsid w:val="0062617E"/>
    <w:rsid w:val="00627471"/>
    <w:rsid w:val="0063072D"/>
    <w:rsid w:val="00632645"/>
    <w:rsid w:val="00634E86"/>
    <w:rsid w:val="00641057"/>
    <w:rsid w:val="00641361"/>
    <w:rsid w:val="006445FB"/>
    <w:rsid w:val="006447CA"/>
    <w:rsid w:val="00645A66"/>
    <w:rsid w:val="0064654D"/>
    <w:rsid w:val="006470C3"/>
    <w:rsid w:val="00652762"/>
    <w:rsid w:val="00652790"/>
    <w:rsid w:val="006529D4"/>
    <w:rsid w:val="006530BB"/>
    <w:rsid w:val="006536E6"/>
    <w:rsid w:val="00653881"/>
    <w:rsid w:val="00655C33"/>
    <w:rsid w:val="00656163"/>
    <w:rsid w:val="00657CF1"/>
    <w:rsid w:val="006629EF"/>
    <w:rsid w:val="006633F9"/>
    <w:rsid w:val="00663414"/>
    <w:rsid w:val="00665761"/>
    <w:rsid w:val="00666C92"/>
    <w:rsid w:val="006714C5"/>
    <w:rsid w:val="00671B18"/>
    <w:rsid w:val="0067308D"/>
    <w:rsid w:val="0067332E"/>
    <w:rsid w:val="006741EF"/>
    <w:rsid w:val="00674356"/>
    <w:rsid w:val="006810F3"/>
    <w:rsid w:val="00681847"/>
    <w:rsid w:val="00681D17"/>
    <w:rsid w:val="00685E0A"/>
    <w:rsid w:val="00685EF7"/>
    <w:rsid w:val="00691215"/>
    <w:rsid w:val="006930B1"/>
    <w:rsid w:val="006955DC"/>
    <w:rsid w:val="006A02C8"/>
    <w:rsid w:val="006A1557"/>
    <w:rsid w:val="006A40BC"/>
    <w:rsid w:val="006A46D2"/>
    <w:rsid w:val="006A4C8B"/>
    <w:rsid w:val="006A5096"/>
    <w:rsid w:val="006A54D5"/>
    <w:rsid w:val="006A6AE8"/>
    <w:rsid w:val="006A6F68"/>
    <w:rsid w:val="006A74EB"/>
    <w:rsid w:val="006A7CE5"/>
    <w:rsid w:val="006B0B01"/>
    <w:rsid w:val="006B1AAE"/>
    <w:rsid w:val="006B1F6A"/>
    <w:rsid w:val="006B2570"/>
    <w:rsid w:val="006B37E6"/>
    <w:rsid w:val="006B49FB"/>
    <w:rsid w:val="006B4B02"/>
    <w:rsid w:val="006B5916"/>
    <w:rsid w:val="006B6354"/>
    <w:rsid w:val="006C1F55"/>
    <w:rsid w:val="006C2086"/>
    <w:rsid w:val="006C2EFD"/>
    <w:rsid w:val="006C3C65"/>
    <w:rsid w:val="006C49DB"/>
    <w:rsid w:val="006C5AA4"/>
    <w:rsid w:val="006C5DA3"/>
    <w:rsid w:val="006C6A4A"/>
    <w:rsid w:val="006C6CD7"/>
    <w:rsid w:val="006D1604"/>
    <w:rsid w:val="006D19EE"/>
    <w:rsid w:val="006D2854"/>
    <w:rsid w:val="006D3D45"/>
    <w:rsid w:val="006D3FBB"/>
    <w:rsid w:val="006D435B"/>
    <w:rsid w:val="006D4AB3"/>
    <w:rsid w:val="006E058A"/>
    <w:rsid w:val="006E0C85"/>
    <w:rsid w:val="006E1446"/>
    <w:rsid w:val="006E19A8"/>
    <w:rsid w:val="006E1B58"/>
    <w:rsid w:val="006E3284"/>
    <w:rsid w:val="006E41AA"/>
    <w:rsid w:val="006E6E14"/>
    <w:rsid w:val="006F0D9A"/>
    <w:rsid w:val="006F1347"/>
    <w:rsid w:val="006F167F"/>
    <w:rsid w:val="006F2448"/>
    <w:rsid w:val="006F2BD3"/>
    <w:rsid w:val="006F3FC8"/>
    <w:rsid w:val="007000F4"/>
    <w:rsid w:val="00701571"/>
    <w:rsid w:val="0070312E"/>
    <w:rsid w:val="007039E9"/>
    <w:rsid w:val="007057D8"/>
    <w:rsid w:val="00705E1B"/>
    <w:rsid w:val="00706027"/>
    <w:rsid w:val="007060BD"/>
    <w:rsid w:val="00706C15"/>
    <w:rsid w:val="0071027D"/>
    <w:rsid w:val="00711D0D"/>
    <w:rsid w:val="007121BC"/>
    <w:rsid w:val="00712399"/>
    <w:rsid w:val="00712D1B"/>
    <w:rsid w:val="00714E9C"/>
    <w:rsid w:val="00716245"/>
    <w:rsid w:val="00717992"/>
    <w:rsid w:val="00721A37"/>
    <w:rsid w:val="007229B0"/>
    <w:rsid w:val="00723380"/>
    <w:rsid w:val="00724649"/>
    <w:rsid w:val="00726CB9"/>
    <w:rsid w:val="00727C66"/>
    <w:rsid w:val="00727EA2"/>
    <w:rsid w:val="007300BE"/>
    <w:rsid w:val="007318C9"/>
    <w:rsid w:val="0073262D"/>
    <w:rsid w:val="00733440"/>
    <w:rsid w:val="00733FB8"/>
    <w:rsid w:val="007349D0"/>
    <w:rsid w:val="007358CE"/>
    <w:rsid w:val="00735F2E"/>
    <w:rsid w:val="0073617A"/>
    <w:rsid w:val="00736646"/>
    <w:rsid w:val="00736AB1"/>
    <w:rsid w:val="00736D62"/>
    <w:rsid w:val="0074153C"/>
    <w:rsid w:val="007417B9"/>
    <w:rsid w:val="0074186E"/>
    <w:rsid w:val="007428FB"/>
    <w:rsid w:val="00744D7D"/>
    <w:rsid w:val="00744FF6"/>
    <w:rsid w:val="007463FE"/>
    <w:rsid w:val="007509F1"/>
    <w:rsid w:val="00750B75"/>
    <w:rsid w:val="00751AB8"/>
    <w:rsid w:val="007525FA"/>
    <w:rsid w:val="0075514C"/>
    <w:rsid w:val="00757331"/>
    <w:rsid w:val="00761878"/>
    <w:rsid w:val="00761DC2"/>
    <w:rsid w:val="00762B94"/>
    <w:rsid w:val="007650B8"/>
    <w:rsid w:val="00765391"/>
    <w:rsid w:val="00767317"/>
    <w:rsid w:val="00767DA3"/>
    <w:rsid w:val="00772457"/>
    <w:rsid w:val="00774535"/>
    <w:rsid w:val="007746BE"/>
    <w:rsid w:val="007758F4"/>
    <w:rsid w:val="007766C3"/>
    <w:rsid w:val="00776E21"/>
    <w:rsid w:val="00776EF9"/>
    <w:rsid w:val="0077707A"/>
    <w:rsid w:val="007771B9"/>
    <w:rsid w:val="00777474"/>
    <w:rsid w:val="00780629"/>
    <w:rsid w:val="00782EA8"/>
    <w:rsid w:val="00786F2D"/>
    <w:rsid w:val="0079111D"/>
    <w:rsid w:val="00791E30"/>
    <w:rsid w:val="00791F85"/>
    <w:rsid w:val="00793E67"/>
    <w:rsid w:val="00793EF9"/>
    <w:rsid w:val="00794B4A"/>
    <w:rsid w:val="00797AFA"/>
    <w:rsid w:val="00797B4A"/>
    <w:rsid w:val="007A34DB"/>
    <w:rsid w:val="007A3925"/>
    <w:rsid w:val="007A3CF1"/>
    <w:rsid w:val="007A3DEF"/>
    <w:rsid w:val="007A46FA"/>
    <w:rsid w:val="007A4C0E"/>
    <w:rsid w:val="007A4D73"/>
    <w:rsid w:val="007A5097"/>
    <w:rsid w:val="007A6403"/>
    <w:rsid w:val="007A65BC"/>
    <w:rsid w:val="007B0ECF"/>
    <w:rsid w:val="007B278A"/>
    <w:rsid w:val="007B471E"/>
    <w:rsid w:val="007B4925"/>
    <w:rsid w:val="007B4E26"/>
    <w:rsid w:val="007B572B"/>
    <w:rsid w:val="007B5994"/>
    <w:rsid w:val="007B5E87"/>
    <w:rsid w:val="007B6695"/>
    <w:rsid w:val="007B66CF"/>
    <w:rsid w:val="007C154C"/>
    <w:rsid w:val="007C2331"/>
    <w:rsid w:val="007C3DD7"/>
    <w:rsid w:val="007C515A"/>
    <w:rsid w:val="007C6182"/>
    <w:rsid w:val="007D1E27"/>
    <w:rsid w:val="007D2D2B"/>
    <w:rsid w:val="007D3145"/>
    <w:rsid w:val="007D4503"/>
    <w:rsid w:val="007D4C03"/>
    <w:rsid w:val="007D5DB2"/>
    <w:rsid w:val="007D7B36"/>
    <w:rsid w:val="007D7D45"/>
    <w:rsid w:val="007D7E73"/>
    <w:rsid w:val="007E0C86"/>
    <w:rsid w:val="007E1875"/>
    <w:rsid w:val="007E2D8C"/>
    <w:rsid w:val="007E3613"/>
    <w:rsid w:val="007E44C7"/>
    <w:rsid w:val="007E5D1D"/>
    <w:rsid w:val="007F05EE"/>
    <w:rsid w:val="007F0DE6"/>
    <w:rsid w:val="007F0E04"/>
    <w:rsid w:val="007F2389"/>
    <w:rsid w:val="007F4999"/>
    <w:rsid w:val="007F6265"/>
    <w:rsid w:val="007F62E8"/>
    <w:rsid w:val="007F7037"/>
    <w:rsid w:val="007F743C"/>
    <w:rsid w:val="008003F8"/>
    <w:rsid w:val="0080097B"/>
    <w:rsid w:val="008026FD"/>
    <w:rsid w:val="0080318D"/>
    <w:rsid w:val="00815145"/>
    <w:rsid w:val="00815A8E"/>
    <w:rsid w:val="00815FD6"/>
    <w:rsid w:val="00816220"/>
    <w:rsid w:val="00817810"/>
    <w:rsid w:val="0082049A"/>
    <w:rsid w:val="00823B0C"/>
    <w:rsid w:val="00823DDA"/>
    <w:rsid w:val="0082680A"/>
    <w:rsid w:val="008278EC"/>
    <w:rsid w:val="0083138F"/>
    <w:rsid w:val="0083316D"/>
    <w:rsid w:val="0083610F"/>
    <w:rsid w:val="00836816"/>
    <w:rsid w:val="00836DE5"/>
    <w:rsid w:val="00840875"/>
    <w:rsid w:val="00842DBC"/>
    <w:rsid w:val="00842E65"/>
    <w:rsid w:val="00842FD0"/>
    <w:rsid w:val="00844611"/>
    <w:rsid w:val="00844D11"/>
    <w:rsid w:val="00844DF3"/>
    <w:rsid w:val="00845801"/>
    <w:rsid w:val="00845B00"/>
    <w:rsid w:val="008463B2"/>
    <w:rsid w:val="00850DAA"/>
    <w:rsid w:val="00850EAA"/>
    <w:rsid w:val="00850F01"/>
    <w:rsid w:val="00851476"/>
    <w:rsid w:val="008530F4"/>
    <w:rsid w:val="0085342F"/>
    <w:rsid w:val="00854969"/>
    <w:rsid w:val="00855AF8"/>
    <w:rsid w:val="00857DED"/>
    <w:rsid w:val="00862B1C"/>
    <w:rsid w:val="0086352A"/>
    <w:rsid w:val="008708A7"/>
    <w:rsid w:val="00870AF1"/>
    <w:rsid w:val="008713E9"/>
    <w:rsid w:val="00871818"/>
    <w:rsid w:val="00871D6B"/>
    <w:rsid w:val="008726F8"/>
    <w:rsid w:val="008729C9"/>
    <w:rsid w:val="008735E1"/>
    <w:rsid w:val="00875398"/>
    <w:rsid w:val="00875B1A"/>
    <w:rsid w:val="00875F0E"/>
    <w:rsid w:val="008778D1"/>
    <w:rsid w:val="0088364A"/>
    <w:rsid w:val="008836C7"/>
    <w:rsid w:val="00883922"/>
    <w:rsid w:val="0088454C"/>
    <w:rsid w:val="0088468D"/>
    <w:rsid w:val="008848FC"/>
    <w:rsid w:val="0088513F"/>
    <w:rsid w:val="00887403"/>
    <w:rsid w:val="00890B6B"/>
    <w:rsid w:val="00895218"/>
    <w:rsid w:val="008958EB"/>
    <w:rsid w:val="008A1360"/>
    <w:rsid w:val="008A2D85"/>
    <w:rsid w:val="008A444D"/>
    <w:rsid w:val="008A5070"/>
    <w:rsid w:val="008A5B0F"/>
    <w:rsid w:val="008A680B"/>
    <w:rsid w:val="008B085C"/>
    <w:rsid w:val="008B0A81"/>
    <w:rsid w:val="008B0B33"/>
    <w:rsid w:val="008B1111"/>
    <w:rsid w:val="008B2416"/>
    <w:rsid w:val="008B6002"/>
    <w:rsid w:val="008B67A6"/>
    <w:rsid w:val="008B7352"/>
    <w:rsid w:val="008B79B8"/>
    <w:rsid w:val="008C1E6F"/>
    <w:rsid w:val="008C318F"/>
    <w:rsid w:val="008C4D19"/>
    <w:rsid w:val="008D0BD0"/>
    <w:rsid w:val="008D1545"/>
    <w:rsid w:val="008D417D"/>
    <w:rsid w:val="008D4E4B"/>
    <w:rsid w:val="008D4E67"/>
    <w:rsid w:val="008D73CC"/>
    <w:rsid w:val="008D74E2"/>
    <w:rsid w:val="008D75C9"/>
    <w:rsid w:val="008E11B2"/>
    <w:rsid w:val="008E4138"/>
    <w:rsid w:val="008E53C2"/>
    <w:rsid w:val="008E6649"/>
    <w:rsid w:val="008E6E27"/>
    <w:rsid w:val="008E7789"/>
    <w:rsid w:val="008F053D"/>
    <w:rsid w:val="008F142B"/>
    <w:rsid w:val="008F50A2"/>
    <w:rsid w:val="008F620E"/>
    <w:rsid w:val="008F64FC"/>
    <w:rsid w:val="008F766F"/>
    <w:rsid w:val="009007CB"/>
    <w:rsid w:val="00900D66"/>
    <w:rsid w:val="00902059"/>
    <w:rsid w:val="009039AE"/>
    <w:rsid w:val="00906D51"/>
    <w:rsid w:val="0090773A"/>
    <w:rsid w:val="00910B97"/>
    <w:rsid w:val="00911941"/>
    <w:rsid w:val="00914A36"/>
    <w:rsid w:val="00914C31"/>
    <w:rsid w:val="00915766"/>
    <w:rsid w:val="00915B35"/>
    <w:rsid w:val="00916332"/>
    <w:rsid w:val="009202B5"/>
    <w:rsid w:val="00921E4B"/>
    <w:rsid w:val="00922962"/>
    <w:rsid w:val="0092309F"/>
    <w:rsid w:val="00924F0D"/>
    <w:rsid w:val="009324BE"/>
    <w:rsid w:val="00933970"/>
    <w:rsid w:val="00933E26"/>
    <w:rsid w:val="00936AF2"/>
    <w:rsid w:val="009414AF"/>
    <w:rsid w:val="0094151E"/>
    <w:rsid w:val="009417AF"/>
    <w:rsid w:val="00942378"/>
    <w:rsid w:val="00945268"/>
    <w:rsid w:val="00945B4A"/>
    <w:rsid w:val="00950EE5"/>
    <w:rsid w:val="0095138D"/>
    <w:rsid w:val="00951961"/>
    <w:rsid w:val="009519C6"/>
    <w:rsid w:val="00951D56"/>
    <w:rsid w:val="009551A3"/>
    <w:rsid w:val="00956608"/>
    <w:rsid w:val="009572DA"/>
    <w:rsid w:val="00961FCD"/>
    <w:rsid w:val="009629F5"/>
    <w:rsid w:val="0096689A"/>
    <w:rsid w:val="0096694A"/>
    <w:rsid w:val="00967917"/>
    <w:rsid w:val="00967EA1"/>
    <w:rsid w:val="00970AF9"/>
    <w:rsid w:val="00971706"/>
    <w:rsid w:val="00972072"/>
    <w:rsid w:val="00972427"/>
    <w:rsid w:val="009734F3"/>
    <w:rsid w:val="00974245"/>
    <w:rsid w:val="00974330"/>
    <w:rsid w:val="00974CF2"/>
    <w:rsid w:val="00976576"/>
    <w:rsid w:val="00976B78"/>
    <w:rsid w:val="00977A80"/>
    <w:rsid w:val="00982236"/>
    <w:rsid w:val="00982982"/>
    <w:rsid w:val="00982A37"/>
    <w:rsid w:val="00982E97"/>
    <w:rsid w:val="009830D5"/>
    <w:rsid w:val="00983E4B"/>
    <w:rsid w:val="00983FE9"/>
    <w:rsid w:val="00985371"/>
    <w:rsid w:val="00987877"/>
    <w:rsid w:val="00990D21"/>
    <w:rsid w:val="0099318B"/>
    <w:rsid w:val="0099397A"/>
    <w:rsid w:val="009956CF"/>
    <w:rsid w:val="00996666"/>
    <w:rsid w:val="009975DC"/>
    <w:rsid w:val="009979C2"/>
    <w:rsid w:val="009979DC"/>
    <w:rsid w:val="009A4521"/>
    <w:rsid w:val="009A6348"/>
    <w:rsid w:val="009B1BA6"/>
    <w:rsid w:val="009B28B3"/>
    <w:rsid w:val="009B5C98"/>
    <w:rsid w:val="009B6D90"/>
    <w:rsid w:val="009B750D"/>
    <w:rsid w:val="009C089C"/>
    <w:rsid w:val="009C1480"/>
    <w:rsid w:val="009C374A"/>
    <w:rsid w:val="009C577F"/>
    <w:rsid w:val="009D0B68"/>
    <w:rsid w:val="009D0FDA"/>
    <w:rsid w:val="009D267E"/>
    <w:rsid w:val="009D453F"/>
    <w:rsid w:val="009D4A1B"/>
    <w:rsid w:val="009E090D"/>
    <w:rsid w:val="009E2239"/>
    <w:rsid w:val="009E314A"/>
    <w:rsid w:val="009E369D"/>
    <w:rsid w:val="009E41F5"/>
    <w:rsid w:val="009F01ED"/>
    <w:rsid w:val="009F1B77"/>
    <w:rsid w:val="009F6F43"/>
    <w:rsid w:val="00A02608"/>
    <w:rsid w:val="00A059DC"/>
    <w:rsid w:val="00A05FF6"/>
    <w:rsid w:val="00A0621F"/>
    <w:rsid w:val="00A1048C"/>
    <w:rsid w:val="00A115CD"/>
    <w:rsid w:val="00A12256"/>
    <w:rsid w:val="00A14471"/>
    <w:rsid w:val="00A15655"/>
    <w:rsid w:val="00A15E42"/>
    <w:rsid w:val="00A16552"/>
    <w:rsid w:val="00A17C6A"/>
    <w:rsid w:val="00A21198"/>
    <w:rsid w:val="00A211F8"/>
    <w:rsid w:val="00A21C6C"/>
    <w:rsid w:val="00A240D9"/>
    <w:rsid w:val="00A24D9F"/>
    <w:rsid w:val="00A301B9"/>
    <w:rsid w:val="00A30FAD"/>
    <w:rsid w:val="00A3387F"/>
    <w:rsid w:val="00A356EE"/>
    <w:rsid w:val="00A35730"/>
    <w:rsid w:val="00A36CC1"/>
    <w:rsid w:val="00A37696"/>
    <w:rsid w:val="00A404CB"/>
    <w:rsid w:val="00A408F8"/>
    <w:rsid w:val="00A40BF8"/>
    <w:rsid w:val="00A42141"/>
    <w:rsid w:val="00A43654"/>
    <w:rsid w:val="00A45535"/>
    <w:rsid w:val="00A47746"/>
    <w:rsid w:val="00A47825"/>
    <w:rsid w:val="00A50C5B"/>
    <w:rsid w:val="00A52C5B"/>
    <w:rsid w:val="00A554B1"/>
    <w:rsid w:val="00A56352"/>
    <w:rsid w:val="00A60205"/>
    <w:rsid w:val="00A60692"/>
    <w:rsid w:val="00A60974"/>
    <w:rsid w:val="00A617F8"/>
    <w:rsid w:val="00A618A2"/>
    <w:rsid w:val="00A65353"/>
    <w:rsid w:val="00A65620"/>
    <w:rsid w:val="00A6589F"/>
    <w:rsid w:val="00A65B3C"/>
    <w:rsid w:val="00A71154"/>
    <w:rsid w:val="00A71340"/>
    <w:rsid w:val="00A729FC"/>
    <w:rsid w:val="00A75F04"/>
    <w:rsid w:val="00A76EA4"/>
    <w:rsid w:val="00A77B07"/>
    <w:rsid w:val="00A819C8"/>
    <w:rsid w:val="00A84838"/>
    <w:rsid w:val="00A84ED8"/>
    <w:rsid w:val="00A858A9"/>
    <w:rsid w:val="00A86695"/>
    <w:rsid w:val="00A86D5D"/>
    <w:rsid w:val="00A872FE"/>
    <w:rsid w:val="00A876E6"/>
    <w:rsid w:val="00A942D4"/>
    <w:rsid w:val="00A96286"/>
    <w:rsid w:val="00A964CC"/>
    <w:rsid w:val="00A96B56"/>
    <w:rsid w:val="00AA030D"/>
    <w:rsid w:val="00AA0906"/>
    <w:rsid w:val="00AA2A86"/>
    <w:rsid w:val="00AA3DEE"/>
    <w:rsid w:val="00AA7AA5"/>
    <w:rsid w:val="00AA7BB2"/>
    <w:rsid w:val="00AB0CF6"/>
    <w:rsid w:val="00AB0D86"/>
    <w:rsid w:val="00AB1150"/>
    <w:rsid w:val="00AB19C8"/>
    <w:rsid w:val="00AB2A8B"/>
    <w:rsid w:val="00AB4019"/>
    <w:rsid w:val="00AB4F8E"/>
    <w:rsid w:val="00AC0BF3"/>
    <w:rsid w:val="00AD3939"/>
    <w:rsid w:val="00AD4488"/>
    <w:rsid w:val="00AD45D2"/>
    <w:rsid w:val="00AD68DB"/>
    <w:rsid w:val="00AD75B3"/>
    <w:rsid w:val="00AE0D04"/>
    <w:rsid w:val="00AE2389"/>
    <w:rsid w:val="00AE3F8A"/>
    <w:rsid w:val="00AE5E50"/>
    <w:rsid w:val="00AF0B4A"/>
    <w:rsid w:val="00AF0C57"/>
    <w:rsid w:val="00AF1E89"/>
    <w:rsid w:val="00AF4988"/>
    <w:rsid w:val="00AF49E2"/>
    <w:rsid w:val="00AF6A04"/>
    <w:rsid w:val="00AF6C08"/>
    <w:rsid w:val="00B03A26"/>
    <w:rsid w:val="00B04B3F"/>
    <w:rsid w:val="00B05205"/>
    <w:rsid w:val="00B0733F"/>
    <w:rsid w:val="00B11326"/>
    <w:rsid w:val="00B11A8F"/>
    <w:rsid w:val="00B12584"/>
    <w:rsid w:val="00B1264C"/>
    <w:rsid w:val="00B2371B"/>
    <w:rsid w:val="00B248E2"/>
    <w:rsid w:val="00B30E4A"/>
    <w:rsid w:val="00B32845"/>
    <w:rsid w:val="00B33E24"/>
    <w:rsid w:val="00B357A4"/>
    <w:rsid w:val="00B409BC"/>
    <w:rsid w:val="00B42E9E"/>
    <w:rsid w:val="00B44EA2"/>
    <w:rsid w:val="00B51171"/>
    <w:rsid w:val="00B52DF5"/>
    <w:rsid w:val="00B564E1"/>
    <w:rsid w:val="00B56C9B"/>
    <w:rsid w:val="00B56DFB"/>
    <w:rsid w:val="00B57F61"/>
    <w:rsid w:val="00B617F0"/>
    <w:rsid w:val="00B641DB"/>
    <w:rsid w:val="00B6517C"/>
    <w:rsid w:val="00B66284"/>
    <w:rsid w:val="00B6670E"/>
    <w:rsid w:val="00B72365"/>
    <w:rsid w:val="00B7245E"/>
    <w:rsid w:val="00B73378"/>
    <w:rsid w:val="00B74E1A"/>
    <w:rsid w:val="00B75B1E"/>
    <w:rsid w:val="00B7703F"/>
    <w:rsid w:val="00B77EEF"/>
    <w:rsid w:val="00B811F3"/>
    <w:rsid w:val="00B81399"/>
    <w:rsid w:val="00B8202D"/>
    <w:rsid w:val="00B820AF"/>
    <w:rsid w:val="00B827E9"/>
    <w:rsid w:val="00B84BBF"/>
    <w:rsid w:val="00B84FEC"/>
    <w:rsid w:val="00B85317"/>
    <w:rsid w:val="00B87927"/>
    <w:rsid w:val="00B9021C"/>
    <w:rsid w:val="00B93089"/>
    <w:rsid w:val="00B932E8"/>
    <w:rsid w:val="00B94F8A"/>
    <w:rsid w:val="00B957C7"/>
    <w:rsid w:val="00B958C5"/>
    <w:rsid w:val="00B97DD3"/>
    <w:rsid w:val="00BA015B"/>
    <w:rsid w:val="00BA0BD9"/>
    <w:rsid w:val="00BA10DC"/>
    <w:rsid w:val="00BA3B65"/>
    <w:rsid w:val="00BA6282"/>
    <w:rsid w:val="00BA6926"/>
    <w:rsid w:val="00BA69FD"/>
    <w:rsid w:val="00BA6E0E"/>
    <w:rsid w:val="00BA7D98"/>
    <w:rsid w:val="00BB20E7"/>
    <w:rsid w:val="00BB2145"/>
    <w:rsid w:val="00BB23B1"/>
    <w:rsid w:val="00BB4900"/>
    <w:rsid w:val="00BC28A3"/>
    <w:rsid w:val="00BC315B"/>
    <w:rsid w:val="00BC38C5"/>
    <w:rsid w:val="00BC4C19"/>
    <w:rsid w:val="00BC54A8"/>
    <w:rsid w:val="00BC5E35"/>
    <w:rsid w:val="00BC6223"/>
    <w:rsid w:val="00BC62D5"/>
    <w:rsid w:val="00BC64BD"/>
    <w:rsid w:val="00BD13FE"/>
    <w:rsid w:val="00BD1B1D"/>
    <w:rsid w:val="00BD1CCD"/>
    <w:rsid w:val="00BD20CD"/>
    <w:rsid w:val="00BE0769"/>
    <w:rsid w:val="00BE42DF"/>
    <w:rsid w:val="00BE597B"/>
    <w:rsid w:val="00BE6C70"/>
    <w:rsid w:val="00BE6F50"/>
    <w:rsid w:val="00BE7166"/>
    <w:rsid w:val="00BF40EA"/>
    <w:rsid w:val="00BF43D7"/>
    <w:rsid w:val="00BF484E"/>
    <w:rsid w:val="00BF5C46"/>
    <w:rsid w:val="00BF6BD8"/>
    <w:rsid w:val="00BF782E"/>
    <w:rsid w:val="00C02366"/>
    <w:rsid w:val="00C04509"/>
    <w:rsid w:val="00C04E69"/>
    <w:rsid w:val="00C050E3"/>
    <w:rsid w:val="00C06720"/>
    <w:rsid w:val="00C077F7"/>
    <w:rsid w:val="00C121C5"/>
    <w:rsid w:val="00C1222F"/>
    <w:rsid w:val="00C13BDD"/>
    <w:rsid w:val="00C14B76"/>
    <w:rsid w:val="00C151F5"/>
    <w:rsid w:val="00C2072C"/>
    <w:rsid w:val="00C2083B"/>
    <w:rsid w:val="00C24A65"/>
    <w:rsid w:val="00C24E1B"/>
    <w:rsid w:val="00C2528B"/>
    <w:rsid w:val="00C25EBE"/>
    <w:rsid w:val="00C26BDE"/>
    <w:rsid w:val="00C27A4D"/>
    <w:rsid w:val="00C305DA"/>
    <w:rsid w:val="00C36A0B"/>
    <w:rsid w:val="00C36AF9"/>
    <w:rsid w:val="00C37A94"/>
    <w:rsid w:val="00C4224D"/>
    <w:rsid w:val="00C42990"/>
    <w:rsid w:val="00C42A8C"/>
    <w:rsid w:val="00C454A1"/>
    <w:rsid w:val="00C46885"/>
    <w:rsid w:val="00C47701"/>
    <w:rsid w:val="00C50A80"/>
    <w:rsid w:val="00C51C0F"/>
    <w:rsid w:val="00C538A9"/>
    <w:rsid w:val="00C53EAE"/>
    <w:rsid w:val="00C55B6C"/>
    <w:rsid w:val="00C601E0"/>
    <w:rsid w:val="00C613EE"/>
    <w:rsid w:val="00C61ED8"/>
    <w:rsid w:val="00C62DB5"/>
    <w:rsid w:val="00C648BD"/>
    <w:rsid w:val="00C6578C"/>
    <w:rsid w:val="00C67155"/>
    <w:rsid w:val="00C70D41"/>
    <w:rsid w:val="00C712F6"/>
    <w:rsid w:val="00C71F69"/>
    <w:rsid w:val="00C73C11"/>
    <w:rsid w:val="00C73FF0"/>
    <w:rsid w:val="00C754AB"/>
    <w:rsid w:val="00C75FB4"/>
    <w:rsid w:val="00C77885"/>
    <w:rsid w:val="00C77EC8"/>
    <w:rsid w:val="00C81D0F"/>
    <w:rsid w:val="00C848BF"/>
    <w:rsid w:val="00C905A5"/>
    <w:rsid w:val="00C918C7"/>
    <w:rsid w:val="00C91CA4"/>
    <w:rsid w:val="00C92239"/>
    <w:rsid w:val="00C93D24"/>
    <w:rsid w:val="00C954D2"/>
    <w:rsid w:val="00C95624"/>
    <w:rsid w:val="00C95F3E"/>
    <w:rsid w:val="00C963EE"/>
    <w:rsid w:val="00CA066B"/>
    <w:rsid w:val="00CA1703"/>
    <w:rsid w:val="00CA2569"/>
    <w:rsid w:val="00CA35D4"/>
    <w:rsid w:val="00CA39AD"/>
    <w:rsid w:val="00CA46B2"/>
    <w:rsid w:val="00CA5AD0"/>
    <w:rsid w:val="00CA5DFD"/>
    <w:rsid w:val="00CA6F54"/>
    <w:rsid w:val="00CA798A"/>
    <w:rsid w:val="00CB3BAB"/>
    <w:rsid w:val="00CB4FD5"/>
    <w:rsid w:val="00CB57DA"/>
    <w:rsid w:val="00CB5C30"/>
    <w:rsid w:val="00CB667D"/>
    <w:rsid w:val="00CB75D9"/>
    <w:rsid w:val="00CB7D94"/>
    <w:rsid w:val="00CC2143"/>
    <w:rsid w:val="00CC309F"/>
    <w:rsid w:val="00CC31D5"/>
    <w:rsid w:val="00CC399E"/>
    <w:rsid w:val="00CC4064"/>
    <w:rsid w:val="00CC434A"/>
    <w:rsid w:val="00CC47AE"/>
    <w:rsid w:val="00CC6015"/>
    <w:rsid w:val="00CD03C1"/>
    <w:rsid w:val="00CD060A"/>
    <w:rsid w:val="00CD1784"/>
    <w:rsid w:val="00CD1E0C"/>
    <w:rsid w:val="00CD2772"/>
    <w:rsid w:val="00CD4942"/>
    <w:rsid w:val="00CD49F8"/>
    <w:rsid w:val="00CD6AC9"/>
    <w:rsid w:val="00CD72CA"/>
    <w:rsid w:val="00CD7635"/>
    <w:rsid w:val="00CD76B0"/>
    <w:rsid w:val="00CD7DF3"/>
    <w:rsid w:val="00CE34FA"/>
    <w:rsid w:val="00CE573E"/>
    <w:rsid w:val="00CE65C4"/>
    <w:rsid w:val="00CE7398"/>
    <w:rsid w:val="00CE7DA7"/>
    <w:rsid w:val="00CF074C"/>
    <w:rsid w:val="00CF0F7F"/>
    <w:rsid w:val="00CF1AEE"/>
    <w:rsid w:val="00CF25AE"/>
    <w:rsid w:val="00CF2A4C"/>
    <w:rsid w:val="00CF3181"/>
    <w:rsid w:val="00CF3602"/>
    <w:rsid w:val="00CF78F9"/>
    <w:rsid w:val="00D02857"/>
    <w:rsid w:val="00D0396B"/>
    <w:rsid w:val="00D04C71"/>
    <w:rsid w:val="00D0571E"/>
    <w:rsid w:val="00D10D4F"/>
    <w:rsid w:val="00D10DEE"/>
    <w:rsid w:val="00D10E87"/>
    <w:rsid w:val="00D12A3B"/>
    <w:rsid w:val="00D12DF6"/>
    <w:rsid w:val="00D12E73"/>
    <w:rsid w:val="00D13082"/>
    <w:rsid w:val="00D170A4"/>
    <w:rsid w:val="00D1734F"/>
    <w:rsid w:val="00D21BAF"/>
    <w:rsid w:val="00D2461B"/>
    <w:rsid w:val="00D25B55"/>
    <w:rsid w:val="00D305A2"/>
    <w:rsid w:val="00D33117"/>
    <w:rsid w:val="00D34CA8"/>
    <w:rsid w:val="00D36892"/>
    <w:rsid w:val="00D36D2B"/>
    <w:rsid w:val="00D41749"/>
    <w:rsid w:val="00D428EB"/>
    <w:rsid w:val="00D43A94"/>
    <w:rsid w:val="00D50007"/>
    <w:rsid w:val="00D50410"/>
    <w:rsid w:val="00D50D1D"/>
    <w:rsid w:val="00D52A8A"/>
    <w:rsid w:val="00D52FA8"/>
    <w:rsid w:val="00D5371E"/>
    <w:rsid w:val="00D54199"/>
    <w:rsid w:val="00D560F7"/>
    <w:rsid w:val="00D57CBF"/>
    <w:rsid w:val="00D612BF"/>
    <w:rsid w:val="00D61342"/>
    <w:rsid w:val="00D61A8A"/>
    <w:rsid w:val="00D634B7"/>
    <w:rsid w:val="00D64F3B"/>
    <w:rsid w:val="00D653CD"/>
    <w:rsid w:val="00D65C7A"/>
    <w:rsid w:val="00D7048A"/>
    <w:rsid w:val="00D71441"/>
    <w:rsid w:val="00D723C8"/>
    <w:rsid w:val="00D735F6"/>
    <w:rsid w:val="00D74799"/>
    <w:rsid w:val="00D76FB3"/>
    <w:rsid w:val="00D77332"/>
    <w:rsid w:val="00D80AAC"/>
    <w:rsid w:val="00D81E17"/>
    <w:rsid w:val="00D84714"/>
    <w:rsid w:val="00D84EE2"/>
    <w:rsid w:val="00D85938"/>
    <w:rsid w:val="00D86BF8"/>
    <w:rsid w:val="00D8751A"/>
    <w:rsid w:val="00D908C0"/>
    <w:rsid w:val="00D90E7A"/>
    <w:rsid w:val="00D91572"/>
    <w:rsid w:val="00D9209E"/>
    <w:rsid w:val="00D94733"/>
    <w:rsid w:val="00D94DAE"/>
    <w:rsid w:val="00D96A74"/>
    <w:rsid w:val="00D97106"/>
    <w:rsid w:val="00D97DA2"/>
    <w:rsid w:val="00D97E59"/>
    <w:rsid w:val="00DA0CAA"/>
    <w:rsid w:val="00DA1BAA"/>
    <w:rsid w:val="00DA2097"/>
    <w:rsid w:val="00DA3CAB"/>
    <w:rsid w:val="00DA3ECC"/>
    <w:rsid w:val="00DA3EE4"/>
    <w:rsid w:val="00DA5132"/>
    <w:rsid w:val="00DA56A1"/>
    <w:rsid w:val="00DA6585"/>
    <w:rsid w:val="00DA70C4"/>
    <w:rsid w:val="00DA7BF1"/>
    <w:rsid w:val="00DB02ED"/>
    <w:rsid w:val="00DB0C2A"/>
    <w:rsid w:val="00DB2896"/>
    <w:rsid w:val="00DB4149"/>
    <w:rsid w:val="00DB6D43"/>
    <w:rsid w:val="00DC1DE4"/>
    <w:rsid w:val="00DC21DF"/>
    <w:rsid w:val="00DC2754"/>
    <w:rsid w:val="00DC289B"/>
    <w:rsid w:val="00DC3226"/>
    <w:rsid w:val="00DC35C6"/>
    <w:rsid w:val="00DC500D"/>
    <w:rsid w:val="00DC64BB"/>
    <w:rsid w:val="00DD00B0"/>
    <w:rsid w:val="00DD05BA"/>
    <w:rsid w:val="00DD0C53"/>
    <w:rsid w:val="00DD30A5"/>
    <w:rsid w:val="00DD3408"/>
    <w:rsid w:val="00DD460C"/>
    <w:rsid w:val="00DD56B2"/>
    <w:rsid w:val="00DD5902"/>
    <w:rsid w:val="00DD630F"/>
    <w:rsid w:val="00DD6C87"/>
    <w:rsid w:val="00DD76F2"/>
    <w:rsid w:val="00DE0737"/>
    <w:rsid w:val="00DE56DA"/>
    <w:rsid w:val="00DE6A20"/>
    <w:rsid w:val="00DE7A7E"/>
    <w:rsid w:val="00DE7CC3"/>
    <w:rsid w:val="00DF3FF9"/>
    <w:rsid w:val="00DF40B4"/>
    <w:rsid w:val="00DF5882"/>
    <w:rsid w:val="00DF5A50"/>
    <w:rsid w:val="00E01141"/>
    <w:rsid w:val="00E01313"/>
    <w:rsid w:val="00E05AEF"/>
    <w:rsid w:val="00E06098"/>
    <w:rsid w:val="00E07AB5"/>
    <w:rsid w:val="00E10056"/>
    <w:rsid w:val="00E1012B"/>
    <w:rsid w:val="00E1379E"/>
    <w:rsid w:val="00E14B3B"/>
    <w:rsid w:val="00E2053C"/>
    <w:rsid w:val="00E207F2"/>
    <w:rsid w:val="00E2278D"/>
    <w:rsid w:val="00E22AF0"/>
    <w:rsid w:val="00E23104"/>
    <w:rsid w:val="00E23C1E"/>
    <w:rsid w:val="00E24023"/>
    <w:rsid w:val="00E24DBE"/>
    <w:rsid w:val="00E25076"/>
    <w:rsid w:val="00E2557F"/>
    <w:rsid w:val="00E258C5"/>
    <w:rsid w:val="00E25E2C"/>
    <w:rsid w:val="00E300C1"/>
    <w:rsid w:val="00E3060E"/>
    <w:rsid w:val="00E318C2"/>
    <w:rsid w:val="00E32481"/>
    <w:rsid w:val="00E3326F"/>
    <w:rsid w:val="00E3334D"/>
    <w:rsid w:val="00E3371A"/>
    <w:rsid w:val="00E34524"/>
    <w:rsid w:val="00E3512F"/>
    <w:rsid w:val="00E35F76"/>
    <w:rsid w:val="00E37902"/>
    <w:rsid w:val="00E379AA"/>
    <w:rsid w:val="00E40EDC"/>
    <w:rsid w:val="00E4343C"/>
    <w:rsid w:val="00E44470"/>
    <w:rsid w:val="00E456BD"/>
    <w:rsid w:val="00E513E7"/>
    <w:rsid w:val="00E53A0F"/>
    <w:rsid w:val="00E54DB3"/>
    <w:rsid w:val="00E56A1A"/>
    <w:rsid w:val="00E579F0"/>
    <w:rsid w:val="00E57BD6"/>
    <w:rsid w:val="00E651DC"/>
    <w:rsid w:val="00E65824"/>
    <w:rsid w:val="00E669C2"/>
    <w:rsid w:val="00E679F0"/>
    <w:rsid w:val="00E7099F"/>
    <w:rsid w:val="00E70A4A"/>
    <w:rsid w:val="00E70AD8"/>
    <w:rsid w:val="00E726F2"/>
    <w:rsid w:val="00E733CA"/>
    <w:rsid w:val="00E77B3C"/>
    <w:rsid w:val="00E80CF0"/>
    <w:rsid w:val="00E81CF1"/>
    <w:rsid w:val="00E8432E"/>
    <w:rsid w:val="00E857FD"/>
    <w:rsid w:val="00E91B38"/>
    <w:rsid w:val="00E93783"/>
    <w:rsid w:val="00E953A7"/>
    <w:rsid w:val="00E95999"/>
    <w:rsid w:val="00E96464"/>
    <w:rsid w:val="00E97ECF"/>
    <w:rsid w:val="00EA38E4"/>
    <w:rsid w:val="00EA4F2C"/>
    <w:rsid w:val="00EA697E"/>
    <w:rsid w:val="00EA7180"/>
    <w:rsid w:val="00EB0B6D"/>
    <w:rsid w:val="00EB41E2"/>
    <w:rsid w:val="00EB42C0"/>
    <w:rsid w:val="00EB4682"/>
    <w:rsid w:val="00EB669D"/>
    <w:rsid w:val="00EB76CE"/>
    <w:rsid w:val="00EB778D"/>
    <w:rsid w:val="00EC1719"/>
    <w:rsid w:val="00EC1B71"/>
    <w:rsid w:val="00EC2539"/>
    <w:rsid w:val="00EC402B"/>
    <w:rsid w:val="00EC4B4C"/>
    <w:rsid w:val="00EC534E"/>
    <w:rsid w:val="00EC7657"/>
    <w:rsid w:val="00EC7714"/>
    <w:rsid w:val="00EC7B1C"/>
    <w:rsid w:val="00ED3C4E"/>
    <w:rsid w:val="00ED48B0"/>
    <w:rsid w:val="00ED5854"/>
    <w:rsid w:val="00ED59EC"/>
    <w:rsid w:val="00ED6A2C"/>
    <w:rsid w:val="00ED74C7"/>
    <w:rsid w:val="00EE06E2"/>
    <w:rsid w:val="00EE0C77"/>
    <w:rsid w:val="00EE17D4"/>
    <w:rsid w:val="00EE1FCF"/>
    <w:rsid w:val="00EE2A34"/>
    <w:rsid w:val="00EE2ECC"/>
    <w:rsid w:val="00EE3EE5"/>
    <w:rsid w:val="00EE4DB2"/>
    <w:rsid w:val="00EE6827"/>
    <w:rsid w:val="00EF136C"/>
    <w:rsid w:val="00EF3A8A"/>
    <w:rsid w:val="00EF3CB0"/>
    <w:rsid w:val="00EF4112"/>
    <w:rsid w:val="00EF4FEB"/>
    <w:rsid w:val="00EF55D4"/>
    <w:rsid w:val="00EF6689"/>
    <w:rsid w:val="00F00FDB"/>
    <w:rsid w:val="00F01F42"/>
    <w:rsid w:val="00F02190"/>
    <w:rsid w:val="00F021E4"/>
    <w:rsid w:val="00F044D5"/>
    <w:rsid w:val="00F066EC"/>
    <w:rsid w:val="00F068AF"/>
    <w:rsid w:val="00F07F97"/>
    <w:rsid w:val="00F101DF"/>
    <w:rsid w:val="00F11D03"/>
    <w:rsid w:val="00F1307C"/>
    <w:rsid w:val="00F132EA"/>
    <w:rsid w:val="00F141BB"/>
    <w:rsid w:val="00F14610"/>
    <w:rsid w:val="00F14A5D"/>
    <w:rsid w:val="00F14D0A"/>
    <w:rsid w:val="00F16BDC"/>
    <w:rsid w:val="00F20C8A"/>
    <w:rsid w:val="00F21300"/>
    <w:rsid w:val="00F21B81"/>
    <w:rsid w:val="00F21E0E"/>
    <w:rsid w:val="00F25EF3"/>
    <w:rsid w:val="00F272CA"/>
    <w:rsid w:val="00F319F9"/>
    <w:rsid w:val="00F32019"/>
    <w:rsid w:val="00F36282"/>
    <w:rsid w:val="00F36628"/>
    <w:rsid w:val="00F36C6B"/>
    <w:rsid w:val="00F40BE8"/>
    <w:rsid w:val="00F427BD"/>
    <w:rsid w:val="00F43981"/>
    <w:rsid w:val="00F44B2C"/>
    <w:rsid w:val="00F44FAF"/>
    <w:rsid w:val="00F45096"/>
    <w:rsid w:val="00F45EF4"/>
    <w:rsid w:val="00F465F4"/>
    <w:rsid w:val="00F4759A"/>
    <w:rsid w:val="00F50585"/>
    <w:rsid w:val="00F520F1"/>
    <w:rsid w:val="00F53011"/>
    <w:rsid w:val="00F54017"/>
    <w:rsid w:val="00F5645B"/>
    <w:rsid w:val="00F569DC"/>
    <w:rsid w:val="00F56B9C"/>
    <w:rsid w:val="00F56CAC"/>
    <w:rsid w:val="00F60888"/>
    <w:rsid w:val="00F6148A"/>
    <w:rsid w:val="00F64698"/>
    <w:rsid w:val="00F678AF"/>
    <w:rsid w:val="00F707D1"/>
    <w:rsid w:val="00F72B9D"/>
    <w:rsid w:val="00F72F37"/>
    <w:rsid w:val="00F74859"/>
    <w:rsid w:val="00F74C1B"/>
    <w:rsid w:val="00F77624"/>
    <w:rsid w:val="00F77E25"/>
    <w:rsid w:val="00F809A6"/>
    <w:rsid w:val="00F82694"/>
    <w:rsid w:val="00F84D4B"/>
    <w:rsid w:val="00F86D49"/>
    <w:rsid w:val="00F871B1"/>
    <w:rsid w:val="00F8780E"/>
    <w:rsid w:val="00F904CC"/>
    <w:rsid w:val="00F910AD"/>
    <w:rsid w:val="00F917A2"/>
    <w:rsid w:val="00F92210"/>
    <w:rsid w:val="00F92241"/>
    <w:rsid w:val="00F9241F"/>
    <w:rsid w:val="00F96C43"/>
    <w:rsid w:val="00F96EB0"/>
    <w:rsid w:val="00F97BF1"/>
    <w:rsid w:val="00F97C28"/>
    <w:rsid w:val="00FA0F47"/>
    <w:rsid w:val="00FA19B3"/>
    <w:rsid w:val="00FA579E"/>
    <w:rsid w:val="00FA5ADF"/>
    <w:rsid w:val="00FA6E6C"/>
    <w:rsid w:val="00FB1E47"/>
    <w:rsid w:val="00FB32A9"/>
    <w:rsid w:val="00FB41DF"/>
    <w:rsid w:val="00FB6FA2"/>
    <w:rsid w:val="00FB7F9E"/>
    <w:rsid w:val="00FC044C"/>
    <w:rsid w:val="00FC1495"/>
    <w:rsid w:val="00FC36C4"/>
    <w:rsid w:val="00FC392B"/>
    <w:rsid w:val="00FC4449"/>
    <w:rsid w:val="00FC4CB7"/>
    <w:rsid w:val="00FC4E38"/>
    <w:rsid w:val="00FC4EF0"/>
    <w:rsid w:val="00FC6B12"/>
    <w:rsid w:val="00FC708C"/>
    <w:rsid w:val="00FC75A8"/>
    <w:rsid w:val="00FD005C"/>
    <w:rsid w:val="00FD0AC4"/>
    <w:rsid w:val="00FD0D10"/>
    <w:rsid w:val="00FD32F8"/>
    <w:rsid w:val="00FD3822"/>
    <w:rsid w:val="00FD3B4C"/>
    <w:rsid w:val="00FD5007"/>
    <w:rsid w:val="00FD5FAC"/>
    <w:rsid w:val="00FD6251"/>
    <w:rsid w:val="00FD66D4"/>
    <w:rsid w:val="00FE27F2"/>
    <w:rsid w:val="00FE31BE"/>
    <w:rsid w:val="00FE3435"/>
    <w:rsid w:val="00FE458E"/>
    <w:rsid w:val="00FE6422"/>
    <w:rsid w:val="00FE6CFC"/>
    <w:rsid w:val="00FE6D38"/>
    <w:rsid w:val="00FE71B4"/>
    <w:rsid w:val="00FE7B05"/>
    <w:rsid w:val="00FF63B6"/>
    <w:rsid w:val="00FF72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99F8BB"/>
  <w15:docId w15:val="{16498AF4-78ED-C54F-BE99-FD3151767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en" w:eastAsia="en-US" w:bidi="ar-SA"/>
      </w:rPr>
    </w:rPrDefault>
    <w:pPrDefault>
      <w:pPr>
        <w:spacing w:after="240" w:line="360" w:lineRule="auto"/>
        <w:contextualSpacing/>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D1517"/>
  </w:style>
  <w:style w:type="paragraph" w:styleId="Heading1">
    <w:name w:val="heading 1"/>
    <w:basedOn w:val="Normal"/>
    <w:next w:val="Normal"/>
    <w:link w:val="Heading1Char"/>
    <w:uiPriority w:val="9"/>
    <w:qFormat/>
    <w:rsid w:val="00F44FAF"/>
    <w:pPr>
      <w:keepNext/>
      <w:keepLines/>
      <w:numPr>
        <w:numId w:val="32"/>
      </w:numPr>
      <w:spacing w:before="400" w:after="0"/>
      <w:contextualSpacing w:val="0"/>
      <w:outlineLvl w:val="0"/>
    </w:pPr>
    <w:rPr>
      <w:rFonts w:ascii="Arial" w:eastAsia="Arial" w:hAnsi="Arial" w:cs="Arial"/>
      <w:sz w:val="44"/>
      <w:szCs w:val="44"/>
    </w:rPr>
  </w:style>
  <w:style w:type="paragraph" w:styleId="Heading2">
    <w:name w:val="heading 2"/>
    <w:basedOn w:val="Normal"/>
    <w:next w:val="Normal"/>
    <w:uiPriority w:val="9"/>
    <w:unhideWhenUsed/>
    <w:qFormat/>
    <w:rsid w:val="00EB41E2"/>
    <w:pPr>
      <w:keepNext/>
      <w:keepLines/>
      <w:numPr>
        <w:ilvl w:val="1"/>
        <w:numId w:val="32"/>
      </w:numPr>
      <w:spacing w:before="360" w:after="0"/>
      <w:outlineLvl w:val="1"/>
    </w:pPr>
    <w:rPr>
      <w:rFonts w:ascii="Arial" w:eastAsia="Arial" w:hAnsi="Arial" w:cs="Arial"/>
      <w:sz w:val="36"/>
      <w:szCs w:val="32"/>
      <w:lang w:val="en-GB"/>
    </w:rPr>
  </w:style>
  <w:style w:type="paragraph" w:styleId="Heading3">
    <w:name w:val="heading 3"/>
    <w:basedOn w:val="Normal"/>
    <w:next w:val="Normal"/>
    <w:uiPriority w:val="9"/>
    <w:unhideWhenUsed/>
    <w:qFormat/>
    <w:rsid w:val="007A65BC"/>
    <w:pPr>
      <w:keepNext/>
      <w:keepLines/>
      <w:numPr>
        <w:ilvl w:val="2"/>
        <w:numId w:val="32"/>
      </w:numPr>
      <w:spacing w:before="200" w:after="0"/>
      <w:contextualSpacing w:val="0"/>
      <w:outlineLvl w:val="2"/>
    </w:pPr>
    <w:rPr>
      <w:rFonts w:ascii="Arial" w:eastAsia="Arial" w:hAnsi="Arial" w:cs="Arial"/>
      <w:color w:val="434343"/>
      <w:sz w:val="32"/>
      <w:szCs w:val="28"/>
    </w:rPr>
  </w:style>
  <w:style w:type="paragraph" w:styleId="Heading4">
    <w:name w:val="heading 4"/>
    <w:basedOn w:val="Normal"/>
    <w:next w:val="Normal"/>
    <w:uiPriority w:val="9"/>
    <w:unhideWhenUsed/>
    <w:qFormat/>
    <w:rsid w:val="007A65BC"/>
    <w:pPr>
      <w:keepNext/>
      <w:keepLines/>
      <w:numPr>
        <w:ilvl w:val="3"/>
        <w:numId w:val="32"/>
      </w:numPr>
      <w:spacing w:before="120" w:after="80"/>
      <w:outlineLvl w:val="3"/>
    </w:pPr>
    <w:rPr>
      <w:rFonts w:ascii="Arial" w:eastAsia="Arial" w:hAnsi="Arial" w:cs="Arial"/>
      <w:color w:val="666666"/>
      <w:sz w:val="28"/>
      <w:szCs w:val="24"/>
    </w:rPr>
  </w:style>
  <w:style w:type="paragraph" w:styleId="Heading5">
    <w:name w:val="heading 5"/>
    <w:basedOn w:val="Normal"/>
    <w:next w:val="Normal"/>
    <w:uiPriority w:val="9"/>
    <w:unhideWhenUsed/>
    <w:qFormat/>
    <w:rsid w:val="00F068AF"/>
    <w:pPr>
      <w:keepNext/>
      <w:keepLines/>
      <w:numPr>
        <w:ilvl w:val="4"/>
        <w:numId w:val="32"/>
      </w:numPr>
      <w:spacing w:before="240" w:after="80"/>
      <w:outlineLvl w:val="4"/>
    </w:pPr>
    <w:rPr>
      <w:rFonts w:ascii="Arial" w:hAnsi="Arial"/>
      <w:color w:val="666666"/>
      <w:sz w:val="24"/>
    </w:rPr>
  </w:style>
  <w:style w:type="paragraph" w:styleId="Heading6">
    <w:name w:val="heading 6"/>
    <w:basedOn w:val="Normal"/>
    <w:next w:val="Normal"/>
    <w:uiPriority w:val="9"/>
    <w:semiHidden/>
    <w:unhideWhenUsed/>
    <w:qFormat/>
    <w:pPr>
      <w:keepNext/>
      <w:keepLines/>
      <w:numPr>
        <w:ilvl w:val="5"/>
        <w:numId w:val="32"/>
      </w:numPr>
      <w:spacing w:before="240" w:after="80"/>
      <w:outlineLvl w:val="5"/>
    </w:pPr>
    <w:rPr>
      <w:i/>
      <w:color w:val="666666"/>
    </w:rPr>
  </w:style>
  <w:style w:type="paragraph" w:styleId="Heading7">
    <w:name w:val="heading 7"/>
    <w:basedOn w:val="Normal"/>
    <w:next w:val="Normal"/>
    <w:link w:val="Heading7Char"/>
    <w:uiPriority w:val="9"/>
    <w:semiHidden/>
    <w:unhideWhenUsed/>
    <w:qFormat/>
    <w:rsid w:val="00147D6C"/>
    <w:pPr>
      <w:keepNext/>
      <w:keepLines/>
      <w:numPr>
        <w:ilvl w:val="6"/>
        <w:numId w:val="32"/>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147D6C"/>
    <w:pPr>
      <w:keepNext/>
      <w:keepLines/>
      <w:numPr>
        <w:ilvl w:val="7"/>
        <w:numId w:val="3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47D6C"/>
    <w:pPr>
      <w:keepNext/>
      <w:keepLines/>
      <w:numPr>
        <w:ilvl w:val="8"/>
        <w:numId w:val="3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776E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6EF9"/>
  </w:style>
  <w:style w:type="paragraph" w:styleId="Footer">
    <w:name w:val="footer"/>
    <w:basedOn w:val="Normal"/>
    <w:link w:val="FooterChar"/>
    <w:uiPriority w:val="99"/>
    <w:unhideWhenUsed/>
    <w:rsid w:val="00776E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6EF9"/>
  </w:style>
  <w:style w:type="paragraph" w:styleId="BalloonText">
    <w:name w:val="Balloon Text"/>
    <w:basedOn w:val="Normal"/>
    <w:link w:val="BalloonTextChar"/>
    <w:uiPriority w:val="99"/>
    <w:semiHidden/>
    <w:unhideWhenUsed/>
    <w:rsid w:val="00776EF9"/>
    <w:pPr>
      <w:spacing w:after="0" w:line="240" w:lineRule="auto"/>
    </w:pPr>
    <w:rPr>
      <w:sz w:val="18"/>
      <w:szCs w:val="18"/>
    </w:rPr>
  </w:style>
  <w:style w:type="character" w:customStyle="1" w:styleId="BalloonTextChar">
    <w:name w:val="Balloon Text Char"/>
    <w:basedOn w:val="DefaultParagraphFont"/>
    <w:link w:val="BalloonText"/>
    <w:uiPriority w:val="99"/>
    <w:semiHidden/>
    <w:rsid w:val="00776EF9"/>
    <w:rPr>
      <w:sz w:val="18"/>
      <w:szCs w:val="18"/>
    </w:rPr>
  </w:style>
  <w:style w:type="character" w:styleId="Hyperlink">
    <w:name w:val="Hyperlink"/>
    <w:basedOn w:val="DefaultParagraphFont"/>
    <w:uiPriority w:val="99"/>
    <w:unhideWhenUsed/>
    <w:rsid w:val="00DE7A7E"/>
    <w:rPr>
      <w:color w:val="497DBF"/>
      <w:u w:val="single"/>
    </w:rPr>
  </w:style>
  <w:style w:type="character" w:styleId="UnresolvedMention">
    <w:name w:val="Unresolved Mention"/>
    <w:basedOn w:val="DefaultParagraphFont"/>
    <w:uiPriority w:val="99"/>
    <w:semiHidden/>
    <w:unhideWhenUsed/>
    <w:rsid w:val="000F649D"/>
    <w:rPr>
      <w:color w:val="605E5C"/>
      <w:shd w:val="clear" w:color="auto" w:fill="E1DFDD"/>
    </w:rPr>
  </w:style>
  <w:style w:type="paragraph" w:styleId="TOC1">
    <w:name w:val="toc 1"/>
    <w:basedOn w:val="Normal"/>
    <w:next w:val="Normal"/>
    <w:autoRedefine/>
    <w:uiPriority w:val="39"/>
    <w:unhideWhenUsed/>
    <w:rsid w:val="004C01B0"/>
    <w:pPr>
      <w:tabs>
        <w:tab w:val="left" w:pos="440"/>
        <w:tab w:val="right" w:leader="dot" w:pos="8493"/>
      </w:tabs>
      <w:spacing w:before="120" w:after="0"/>
    </w:pPr>
    <w:rPr>
      <w:b/>
      <w:bCs/>
      <w:iCs/>
      <w:sz w:val="24"/>
      <w:szCs w:val="24"/>
    </w:rPr>
  </w:style>
  <w:style w:type="paragraph" w:styleId="TOC2">
    <w:name w:val="toc 2"/>
    <w:basedOn w:val="Normal"/>
    <w:next w:val="Normal"/>
    <w:autoRedefine/>
    <w:uiPriority w:val="39"/>
    <w:unhideWhenUsed/>
    <w:rsid w:val="00844611"/>
    <w:pPr>
      <w:tabs>
        <w:tab w:val="right" w:leader="dot" w:pos="8505"/>
      </w:tabs>
      <w:spacing w:after="0"/>
      <w:ind w:left="221"/>
    </w:pPr>
    <w:rPr>
      <w:bCs/>
    </w:rPr>
  </w:style>
  <w:style w:type="paragraph" w:styleId="TOC3">
    <w:name w:val="toc 3"/>
    <w:basedOn w:val="Normal"/>
    <w:next w:val="Normal"/>
    <w:autoRedefine/>
    <w:uiPriority w:val="39"/>
    <w:unhideWhenUsed/>
    <w:rsid w:val="00844611"/>
    <w:pPr>
      <w:tabs>
        <w:tab w:val="right" w:leader="dot" w:pos="8493"/>
      </w:tabs>
      <w:spacing w:after="0"/>
      <w:ind w:left="440"/>
    </w:pPr>
    <w:rPr>
      <w:sz w:val="20"/>
      <w:szCs w:val="20"/>
    </w:rPr>
  </w:style>
  <w:style w:type="paragraph" w:styleId="TOC4">
    <w:name w:val="toc 4"/>
    <w:basedOn w:val="Normal"/>
    <w:next w:val="Normal"/>
    <w:autoRedefine/>
    <w:uiPriority w:val="39"/>
    <w:unhideWhenUsed/>
    <w:rsid w:val="00F72F37"/>
    <w:pPr>
      <w:tabs>
        <w:tab w:val="right" w:leader="dot" w:pos="8493"/>
      </w:tabs>
      <w:spacing w:after="0"/>
      <w:ind w:left="660"/>
    </w:pPr>
    <w:rPr>
      <w:sz w:val="20"/>
      <w:szCs w:val="20"/>
    </w:rPr>
  </w:style>
  <w:style w:type="paragraph" w:styleId="TOCHeading">
    <w:name w:val="TOC Heading"/>
    <w:basedOn w:val="Heading1"/>
    <w:next w:val="Normal"/>
    <w:uiPriority w:val="39"/>
    <w:unhideWhenUsed/>
    <w:qFormat/>
    <w:rsid w:val="00534975"/>
    <w:pPr>
      <w:spacing w:before="480" w:line="276" w:lineRule="auto"/>
      <w:outlineLvl w:val="9"/>
    </w:pPr>
    <w:rPr>
      <w:rFonts w:asciiTheme="majorHAnsi" w:eastAsiaTheme="majorEastAsia" w:hAnsiTheme="majorHAnsi" w:cstheme="majorBidi"/>
      <w:b/>
      <w:bCs/>
      <w:color w:val="365F91" w:themeColor="accent1" w:themeShade="BF"/>
      <w:sz w:val="28"/>
      <w:szCs w:val="28"/>
      <w:lang w:val="en-US"/>
    </w:rPr>
  </w:style>
  <w:style w:type="paragraph" w:styleId="TOC5">
    <w:name w:val="toc 5"/>
    <w:basedOn w:val="Normal"/>
    <w:next w:val="Normal"/>
    <w:autoRedefine/>
    <w:uiPriority w:val="39"/>
    <w:unhideWhenUsed/>
    <w:rsid w:val="008530F4"/>
    <w:pPr>
      <w:spacing w:after="0"/>
      <w:ind w:left="880"/>
    </w:pPr>
    <w:rPr>
      <w:sz w:val="20"/>
      <w:szCs w:val="20"/>
    </w:rPr>
  </w:style>
  <w:style w:type="paragraph" w:styleId="TOC6">
    <w:name w:val="toc 6"/>
    <w:basedOn w:val="Normal"/>
    <w:next w:val="Normal"/>
    <w:autoRedefine/>
    <w:uiPriority w:val="39"/>
    <w:unhideWhenUsed/>
    <w:rsid w:val="00534975"/>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534975"/>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534975"/>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534975"/>
    <w:pPr>
      <w:spacing w:after="0"/>
      <w:ind w:left="1760"/>
    </w:pPr>
    <w:rPr>
      <w:rFonts w:asciiTheme="minorHAnsi" w:hAnsiTheme="minorHAnsi"/>
      <w:sz w:val="20"/>
      <w:szCs w:val="20"/>
    </w:rPr>
  </w:style>
  <w:style w:type="character" w:customStyle="1" w:styleId="Heading1Char">
    <w:name w:val="Heading 1 Char"/>
    <w:basedOn w:val="DefaultParagraphFont"/>
    <w:link w:val="Heading1"/>
    <w:uiPriority w:val="9"/>
    <w:rsid w:val="00F44FAF"/>
    <w:rPr>
      <w:rFonts w:ascii="Arial" w:eastAsia="Arial" w:hAnsi="Arial" w:cs="Arial"/>
      <w:sz w:val="44"/>
      <w:szCs w:val="44"/>
    </w:rPr>
  </w:style>
  <w:style w:type="character" w:customStyle="1" w:styleId="Heading7Char">
    <w:name w:val="Heading 7 Char"/>
    <w:basedOn w:val="DefaultParagraphFont"/>
    <w:link w:val="Heading7"/>
    <w:uiPriority w:val="9"/>
    <w:semiHidden/>
    <w:rsid w:val="00147D6C"/>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147D6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47D6C"/>
    <w:rPr>
      <w:rFonts w:asciiTheme="majorHAnsi" w:eastAsiaTheme="majorEastAsia" w:hAnsiTheme="majorHAnsi" w:cstheme="majorBidi"/>
      <w:i/>
      <w:iCs/>
      <w:color w:val="272727" w:themeColor="text1" w:themeTint="D8"/>
      <w:sz w:val="21"/>
      <w:szCs w:val="21"/>
    </w:rPr>
  </w:style>
  <w:style w:type="character" w:styleId="PageNumber">
    <w:name w:val="page number"/>
    <w:basedOn w:val="DefaultParagraphFont"/>
    <w:uiPriority w:val="99"/>
    <w:semiHidden/>
    <w:unhideWhenUsed/>
    <w:rsid w:val="002E60FC"/>
  </w:style>
  <w:style w:type="numbering" w:customStyle="1" w:styleId="Style1">
    <w:name w:val="Style1"/>
    <w:uiPriority w:val="99"/>
    <w:rsid w:val="00EB41E2"/>
    <w:pPr>
      <w:numPr>
        <w:numId w:val="1"/>
      </w:numPr>
    </w:pPr>
  </w:style>
  <w:style w:type="numbering" w:customStyle="1" w:styleId="Style2">
    <w:name w:val="Style2"/>
    <w:uiPriority w:val="99"/>
    <w:rsid w:val="00EB41E2"/>
    <w:pPr>
      <w:numPr>
        <w:numId w:val="2"/>
      </w:numPr>
    </w:pPr>
  </w:style>
  <w:style w:type="paragraph" w:styleId="ListParagraph">
    <w:name w:val="List Paragraph"/>
    <w:basedOn w:val="Normal"/>
    <w:uiPriority w:val="34"/>
    <w:qFormat/>
    <w:rsid w:val="008713E9"/>
    <w:pPr>
      <w:ind w:left="720"/>
    </w:pPr>
  </w:style>
  <w:style w:type="numbering" w:customStyle="1" w:styleId="Style3">
    <w:name w:val="Style3"/>
    <w:uiPriority w:val="99"/>
    <w:rsid w:val="00F068AF"/>
    <w:pPr>
      <w:numPr>
        <w:numId w:val="7"/>
      </w:numPr>
    </w:pPr>
  </w:style>
  <w:style w:type="paragraph" w:styleId="Caption">
    <w:name w:val="caption"/>
    <w:basedOn w:val="Normal"/>
    <w:next w:val="Normal"/>
    <w:uiPriority w:val="35"/>
    <w:unhideWhenUsed/>
    <w:qFormat/>
    <w:rsid w:val="00EB778D"/>
    <w:pPr>
      <w:spacing w:after="200" w:line="240" w:lineRule="auto"/>
    </w:pPr>
    <w:rPr>
      <w:b/>
      <w:iCs/>
      <w:color w:val="000000" w:themeColor="text1"/>
      <w:szCs w:val="18"/>
    </w:rPr>
  </w:style>
  <w:style w:type="paragraph" w:styleId="CommentSubject">
    <w:name w:val="annotation subject"/>
    <w:basedOn w:val="CommentText"/>
    <w:next w:val="CommentText"/>
    <w:link w:val="CommentSubjectChar"/>
    <w:uiPriority w:val="99"/>
    <w:semiHidden/>
    <w:unhideWhenUsed/>
    <w:rsid w:val="00840875"/>
    <w:rPr>
      <w:b/>
      <w:bCs/>
    </w:rPr>
  </w:style>
  <w:style w:type="character" w:customStyle="1" w:styleId="CommentSubjectChar">
    <w:name w:val="Comment Subject Char"/>
    <w:basedOn w:val="CommentTextChar"/>
    <w:link w:val="CommentSubject"/>
    <w:uiPriority w:val="99"/>
    <w:semiHidden/>
    <w:rsid w:val="00840875"/>
    <w:rPr>
      <w:b/>
      <w:bCs/>
      <w:sz w:val="20"/>
      <w:szCs w:val="20"/>
    </w:rPr>
  </w:style>
  <w:style w:type="paragraph" w:styleId="Revision">
    <w:name w:val="Revision"/>
    <w:hidden/>
    <w:uiPriority w:val="99"/>
    <w:semiHidden/>
    <w:rsid w:val="00840875"/>
    <w:pPr>
      <w:spacing w:after="0" w:line="240" w:lineRule="auto"/>
      <w:contextualSpacing w:val="0"/>
    </w:pPr>
  </w:style>
  <w:style w:type="paragraph" w:styleId="NoSpacing">
    <w:name w:val="No Spacing"/>
    <w:uiPriority w:val="1"/>
    <w:qFormat/>
    <w:rsid w:val="00BD1B1D"/>
    <w:pPr>
      <w:spacing w:after="40" w:line="240" w:lineRule="auto"/>
    </w:pPr>
  </w:style>
  <w:style w:type="paragraph" w:styleId="TableofFigures">
    <w:name w:val="table of figures"/>
    <w:basedOn w:val="Normal"/>
    <w:next w:val="Normal"/>
    <w:uiPriority w:val="99"/>
    <w:unhideWhenUsed/>
    <w:rsid w:val="00505488"/>
    <w:pPr>
      <w:spacing w:after="0"/>
    </w:pPr>
  </w:style>
  <w:style w:type="table" w:styleId="TableGrid">
    <w:name w:val="Table Grid"/>
    <w:basedOn w:val="TableNormal"/>
    <w:uiPriority w:val="39"/>
    <w:rsid w:val="00982E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0CF0"/>
    <w:rPr>
      <w:b/>
      <w:bCs/>
    </w:rPr>
  </w:style>
  <w:style w:type="character" w:styleId="FollowedHyperlink">
    <w:name w:val="FollowedHyperlink"/>
    <w:basedOn w:val="DefaultParagraphFont"/>
    <w:uiPriority w:val="99"/>
    <w:semiHidden/>
    <w:unhideWhenUsed/>
    <w:rsid w:val="00DE7A7E"/>
    <w:rPr>
      <w:color w:val="497DBF"/>
      <w:u w:val="single"/>
    </w:rPr>
  </w:style>
  <w:style w:type="paragraph" w:customStyle="1" w:styleId="AppendixCaption">
    <w:name w:val="Appendix Caption"/>
    <w:basedOn w:val="Caption"/>
    <w:qFormat/>
    <w:rsid w:val="00F72F37"/>
    <w:pPr>
      <w:jc w:val="center"/>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552399">
      <w:bodyDiv w:val="1"/>
      <w:marLeft w:val="0"/>
      <w:marRight w:val="0"/>
      <w:marTop w:val="0"/>
      <w:marBottom w:val="0"/>
      <w:divBdr>
        <w:top w:val="none" w:sz="0" w:space="0" w:color="auto"/>
        <w:left w:val="none" w:sz="0" w:space="0" w:color="auto"/>
        <w:bottom w:val="none" w:sz="0" w:space="0" w:color="auto"/>
        <w:right w:val="none" w:sz="0" w:space="0" w:color="auto"/>
      </w:divBdr>
    </w:div>
    <w:div w:id="274020467">
      <w:bodyDiv w:val="1"/>
      <w:marLeft w:val="0"/>
      <w:marRight w:val="0"/>
      <w:marTop w:val="0"/>
      <w:marBottom w:val="0"/>
      <w:divBdr>
        <w:top w:val="none" w:sz="0" w:space="0" w:color="auto"/>
        <w:left w:val="none" w:sz="0" w:space="0" w:color="auto"/>
        <w:bottom w:val="none" w:sz="0" w:space="0" w:color="auto"/>
        <w:right w:val="none" w:sz="0" w:space="0" w:color="auto"/>
      </w:divBdr>
    </w:div>
    <w:div w:id="301733985">
      <w:bodyDiv w:val="1"/>
      <w:marLeft w:val="0"/>
      <w:marRight w:val="0"/>
      <w:marTop w:val="0"/>
      <w:marBottom w:val="0"/>
      <w:divBdr>
        <w:top w:val="none" w:sz="0" w:space="0" w:color="auto"/>
        <w:left w:val="none" w:sz="0" w:space="0" w:color="auto"/>
        <w:bottom w:val="none" w:sz="0" w:space="0" w:color="auto"/>
        <w:right w:val="none" w:sz="0" w:space="0" w:color="auto"/>
      </w:divBdr>
    </w:div>
    <w:div w:id="542330177">
      <w:bodyDiv w:val="1"/>
      <w:marLeft w:val="0"/>
      <w:marRight w:val="0"/>
      <w:marTop w:val="0"/>
      <w:marBottom w:val="0"/>
      <w:divBdr>
        <w:top w:val="none" w:sz="0" w:space="0" w:color="auto"/>
        <w:left w:val="none" w:sz="0" w:space="0" w:color="auto"/>
        <w:bottom w:val="none" w:sz="0" w:space="0" w:color="auto"/>
        <w:right w:val="none" w:sz="0" w:space="0" w:color="auto"/>
      </w:divBdr>
    </w:div>
    <w:div w:id="560870920">
      <w:bodyDiv w:val="1"/>
      <w:marLeft w:val="0"/>
      <w:marRight w:val="0"/>
      <w:marTop w:val="0"/>
      <w:marBottom w:val="0"/>
      <w:divBdr>
        <w:top w:val="none" w:sz="0" w:space="0" w:color="auto"/>
        <w:left w:val="none" w:sz="0" w:space="0" w:color="auto"/>
        <w:bottom w:val="none" w:sz="0" w:space="0" w:color="auto"/>
        <w:right w:val="none" w:sz="0" w:space="0" w:color="auto"/>
      </w:divBdr>
    </w:div>
    <w:div w:id="591546519">
      <w:bodyDiv w:val="1"/>
      <w:marLeft w:val="0"/>
      <w:marRight w:val="0"/>
      <w:marTop w:val="0"/>
      <w:marBottom w:val="0"/>
      <w:divBdr>
        <w:top w:val="none" w:sz="0" w:space="0" w:color="auto"/>
        <w:left w:val="none" w:sz="0" w:space="0" w:color="auto"/>
        <w:bottom w:val="none" w:sz="0" w:space="0" w:color="auto"/>
        <w:right w:val="none" w:sz="0" w:space="0" w:color="auto"/>
      </w:divBdr>
    </w:div>
    <w:div w:id="646132523">
      <w:bodyDiv w:val="1"/>
      <w:marLeft w:val="0"/>
      <w:marRight w:val="0"/>
      <w:marTop w:val="0"/>
      <w:marBottom w:val="0"/>
      <w:divBdr>
        <w:top w:val="none" w:sz="0" w:space="0" w:color="auto"/>
        <w:left w:val="none" w:sz="0" w:space="0" w:color="auto"/>
        <w:bottom w:val="none" w:sz="0" w:space="0" w:color="auto"/>
        <w:right w:val="none" w:sz="0" w:space="0" w:color="auto"/>
      </w:divBdr>
    </w:div>
    <w:div w:id="986586540">
      <w:bodyDiv w:val="1"/>
      <w:marLeft w:val="0"/>
      <w:marRight w:val="0"/>
      <w:marTop w:val="0"/>
      <w:marBottom w:val="0"/>
      <w:divBdr>
        <w:top w:val="none" w:sz="0" w:space="0" w:color="auto"/>
        <w:left w:val="none" w:sz="0" w:space="0" w:color="auto"/>
        <w:bottom w:val="none" w:sz="0" w:space="0" w:color="auto"/>
        <w:right w:val="none" w:sz="0" w:space="0" w:color="auto"/>
      </w:divBdr>
    </w:div>
    <w:div w:id="1087534328">
      <w:bodyDiv w:val="1"/>
      <w:marLeft w:val="0"/>
      <w:marRight w:val="0"/>
      <w:marTop w:val="0"/>
      <w:marBottom w:val="0"/>
      <w:divBdr>
        <w:top w:val="none" w:sz="0" w:space="0" w:color="auto"/>
        <w:left w:val="none" w:sz="0" w:space="0" w:color="auto"/>
        <w:bottom w:val="none" w:sz="0" w:space="0" w:color="auto"/>
        <w:right w:val="none" w:sz="0" w:space="0" w:color="auto"/>
      </w:divBdr>
    </w:div>
    <w:div w:id="1288658153">
      <w:bodyDiv w:val="1"/>
      <w:marLeft w:val="0"/>
      <w:marRight w:val="0"/>
      <w:marTop w:val="0"/>
      <w:marBottom w:val="0"/>
      <w:divBdr>
        <w:top w:val="none" w:sz="0" w:space="0" w:color="auto"/>
        <w:left w:val="none" w:sz="0" w:space="0" w:color="auto"/>
        <w:bottom w:val="none" w:sz="0" w:space="0" w:color="auto"/>
        <w:right w:val="none" w:sz="0" w:space="0" w:color="auto"/>
      </w:divBdr>
    </w:div>
    <w:div w:id="1320115391">
      <w:bodyDiv w:val="1"/>
      <w:marLeft w:val="0"/>
      <w:marRight w:val="0"/>
      <w:marTop w:val="0"/>
      <w:marBottom w:val="0"/>
      <w:divBdr>
        <w:top w:val="none" w:sz="0" w:space="0" w:color="auto"/>
        <w:left w:val="none" w:sz="0" w:space="0" w:color="auto"/>
        <w:bottom w:val="none" w:sz="0" w:space="0" w:color="auto"/>
        <w:right w:val="none" w:sz="0" w:space="0" w:color="auto"/>
      </w:divBdr>
    </w:div>
    <w:div w:id="1326517457">
      <w:bodyDiv w:val="1"/>
      <w:marLeft w:val="0"/>
      <w:marRight w:val="0"/>
      <w:marTop w:val="0"/>
      <w:marBottom w:val="0"/>
      <w:divBdr>
        <w:top w:val="none" w:sz="0" w:space="0" w:color="auto"/>
        <w:left w:val="none" w:sz="0" w:space="0" w:color="auto"/>
        <w:bottom w:val="none" w:sz="0" w:space="0" w:color="auto"/>
        <w:right w:val="none" w:sz="0" w:space="0" w:color="auto"/>
      </w:divBdr>
    </w:div>
    <w:div w:id="1385326265">
      <w:bodyDiv w:val="1"/>
      <w:marLeft w:val="0"/>
      <w:marRight w:val="0"/>
      <w:marTop w:val="0"/>
      <w:marBottom w:val="0"/>
      <w:divBdr>
        <w:top w:val="none" w:sz="0" w:space="0" w:color="auto"/>
        <w:left w:val="none" w:sz="0" w:space="0" w:color="auto"/>
        <w:bottom w:val="none" w:sz="0" w:space="0" w:color="auto"/>
        <w:right w:val="none" w:sz="0" w:space="0" w:color="auto"/>
      </w:divBdr>
    </w:div>
    <w:div w:id="1448157762">
      <w:bodyDiv w:val="1"/>
      <w:marLeft w:val="0"/>
      <w:marRight w:val="0"/>
      <w:marTop w:val="0"/>
      <w:marBottom w:val="0"/>
      <w:divBdr>
        <w:top w:val="none" w:sz="0" w:space="0" w:color="auto"/>
        <w:left w:val="none" w:sz="0" w:space="0" w:color="auto"/>
        <w:bottom w:val="none" w:sz="0" w:space="0" w:color="auto"/>
        <w:right w:val="none" w:sz="0" w:space="0" w:color="auto"/>
      </w:divBdr>
    </w:div>
    <w:div w:id="1700617416">
      <w:bodyDiv w:val="1"/>
      <w:marLeft w:val="0"/>
      <w:marRight w:val="0"/>
      <w:marTop w:val="0"/>
      <w:marBottom w:val="0"/>
      <w:divBdr>
        <w:top w:val="none" w:sz="0" w:space="0" w:color="auto"/>
        <w:left w:val="none" w:sz="0" w:space="0" w:color="auto"/>
        <w:bottom w:val="none" w:sz="0" w:space="0" w:color="auto"/>
        <w:right w:val="none" w:sz="0" w:space="0" w:color="auto"/>
      </w:divBdr>
    </w:div>
    <w:div w:id="1722363313">
      <w:bodyDiv w:val="1"/>
      <w:marLeft w:val="0"/>
      <w:marRight w:val="0"/>
      <w:marTop w:val="0"/>
      <w:marBottom w:val="0"/>
      <w:divBdr>
        <w:top w:val="none" w:sz="0" w:space="0" w:color="auto"/>
        <w:left w:val="none" w:sz="0" w:space="0" w:color="auto"/>
        <w:bottom w:val="none" w:sz="0" w:space="0" w:color="auto"/>
        <w:right w:val="none" w:sz="0" w:space="0" w:color="auto"/>
      </w:divBdr>
    </w:div>
    <w:div w:id="1849980876">
      <w:bodyDiv w:val="1"/>
      <w:marLeft w:val="0"/>
      <w:marRight w:val="0"/>
      <w:marTop w:val="0"/>
      <w:marBottom w:val="0"/>
      <w:divBdr>
        <w:top w:val="none" w:sz="0" w:space="0" w:color="auto"/>
        <w:left w:val="none" w:sz="0" w:space="0" w:color="auto"/>
        <w:bottom w:val="none" w:sz="0" w:space="0" w:color="auto"/>
        <w:right w:val="none" w:sz="0" w:space="0" w:color="auto"/>
      </w:divBdr>
    </w:div>
    <w:div w:id="20800099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emf"/><Relationship Id="rId21" Type="http://schemas.openxmlformats.org/officeDocument/2006/relationships/header" Target="header1.xml"/><Relationship Id="rId63" Type="http://schemas.openxmlformats.org/officeDocument/2006/relationships/image" Target="media/image16.emf"/><Relationship Id="rId159" Type="http://schemas.openxmlformats.org/officeDocument/2006/relationships/image" Target="media/image90.emf"/><Relationship Id="rId170" Type="http://schemas.openxmlformats.org/officeDocument/2006/relationships/image" Target="media/image101.emf"/><Relationship Id="rId226" Type="http://schemas.openxmlformats.org/officeDocument/2006/relationships/image" Target="media/image157.emf"/><Relationship Id="rId268" Type="http://schemas.openxmlformats.org/officeDocument/2006/relationships/image" Target="media/image199.emf"/><Relationship Id="rId32" Type="http://schemas.openxmlformats.org/officeDocument/2006/relationships/hyperlink" Target="http://www.ebi.ac.uk/gwas/home" TargetMode="External"/><Relationship Id="rId74" Type="http://schemas.openxmlformats.org/officeDocument/2006/relationships/image" Target="media/image23.emf"/><Relationship Id="rId128" Type="http://schemas.openxmlformats.org/officeDocument/2006/relationships/hyperlink" Target="http://amp.pharm.mssm.edu/Enrichr/enrich?dataset=8gl7c" TargetMode="External"/><Relationship Id="rId5" Type="http://schemas.openxmlformats.org/officeDocument/2006/relationships/webSettings" Target="webSettings.xml"/><Relationship Id="rId181" Type="http://schemas.openxmlformats.org/officeDocument/2006/relationships/image" Target="media/image112.jpeg"/><Relationship Id="rId237" Type="http://schemas.openxmlformats.org/officeDocument/2006/relationships/image" Target="media/image168.emf"/><Relationship Id="rId279" Type="http://schemas.openxmlformats.org/officeDocument/2006/relationships/image" Target="media/image210.emf"/><Relationship Id="rId43" Type="http://schemas.openxmlformats.org/officeDocument/2006/relationships/image" Target="media/image6.emf"/><Relationship Id="rId139" Type="http://schemas.openxmlformats.org/officeDocument/2006/relationships/image" Target="media/image71.emf"/><Relationship Id="rId85" Type="http://schemas.openxmlformats.org/officeDocument/2006/relationships/hyperlink" Target="https://gemini.readthedocs.io/en/latest/" TargetMode="External"/><Relationship Id="rId150" Type="http://schemas.openxmlformats.org/officeDocument/2006/relationships/image" Target="media/image81.emf"/><Relationship Id="rId171" Type="http://schemas.openxmlformats.org/officeDocument/2006/relationships/image" Target="media/image102.emf"/><Relationship Id="rId192" Type="http://schemas.openxmlformats.org/officeDocument/2006/relationships/image" Target="media/image123.emf"/><Relationship Id="rId206" Type="http://schemas.openxmlformats.org/officeDocument/2006/relationships/image" Target="media/image137.emf"/><Relationship Id="rId227" Type="http://schemas.openxmlformats.org/officeDocument/2006/relationships/image" Target="media/image158.emf"/><Relationship Id="rId248" Type="http://schemas.openxmlformats.org/officeDocument/2006/relationships/image" Target="media/image179.jpeg"/><Relationship Id="rId269" Type="http://schemas.openxmlformats.org/officeDocument/2006/relationships/image" Target="media/image200.jpeg"/><Relationship Id="rId12" Type="http://schemas.openxmlformats.org/officeDocument/2006/relationships/hyperlink" Target="file:////Users/clairegreen/Documents/PhD/Thesis/Correction_Experiments/ClaireGreenThesis_Corrections.docx" TargetMode="External"/><Relationship Id="rId33" Type="http://schemas.openxmlformats.org/officeDocument/2006/relationships/hyperlink" Target="http://www.genome.jp/kegg" TargetMode="External"/><Relationship Id="rId108" Type="http://schemas.openxmlformats.org/officeDocument/2006/relationships/image" Target="media/image46.emf"/><Relationship Id="rId129" Type="http://schemas.openxmlformats.org/officeDocument/2006/relationships/hyperlink" Target="http://amp.pharm.mssm.edu/Enrichr/enrich?dataset=8gl7f" TargetMode="External"/><Relationship Id="rId280" Type="http://schemas.openxmlformats.org/officeDocument/2006/relationships/image" Target="media/image211.emf"/><Relationship Id="rId54" Type="http://schemas.openxmlformats.org/officeDocument/2006/relationships/image" Target="media/image11.emf"/><Relationship Id="rId75" Type="http://schemas.openxmlformats.org/officeDocument/2006/relationships/hyperlink" Target="http://amp.pharm.mssm.edu/Enrichr/enrich?dataset=8gl6w" TargetMode="External"/><Relationship Id="rId96" Type="http://schemas.openxmlformats.org/officeDocument/2006/relationships/hyperlink" Target="https://www.ebi.ac.uk/gwas/efotraits/EFO_0002508" TargetMode="External"/><Relationship Id="rId140" Type="http://schemas.openxmlformats.org/officeDocument/2006/relationships/image" Target="media/image72.emf"/><Relationship Id="rId161" Type="http://schemas.openxmlformats.org/officeDocument/2006/relationships/image" Target="media/image92.emf"/><Relationship Id="rId182" Type="http://schemas.openxmlformats.org/officeDocument/2006/relationships/image" Target="media/image113.emf"/><Relationship Id="rId217" Type="http://schemas.openxmlformats.org/officeDocument/2006/relationships/image" Target="media/image148.emf"/><Relationship Id="rId6" Type="http://schemas.openxmlformats.org/officeDocument/2006/relationships/footnotes" Target="footnotes.xml"/><Relationship Id="rId238" Type="http://schemas.openxmlformats.org/officeDocument/2006/relationships/image" Target="media/image169.jpeg"/><Relationship Id="rId259" Type="http://schemas.openxmlformats.org/officeDocument/2006/relationships/image" Target="media/image190.emf"/><Relationship Id="rId23" Type="http://schemas.openxmlformats.org/officeDocument/2006/relationships/footer" Target="footer1.xml"/><Relationship Id="rId119" Type="http://schemas.openxmlformats.org/officeDocument/2006/relationships/image" Target="media/image56.emf"/><Relationship Id="rId270" Type="http://schemas.openxmlformats.org/officeDocument/2006/relationships/image" Target="media/image201.jpeg"/><Relationship Id="rId44" Type="http://schemas.openxmlformats.org/officeDocument/2006/relationships/image" Target="media/image7.emf"/><Relationship Id="rId65" Type="http://schemas.openxmlformats.org/officeDocument/2006/relationships/hyperlink" Target="https://www.uniprot.org/" TargetMode="External"/><Relationship Id="rId86" Type="http://schemas.openxmlformats.org/officeDocument/2006/relationships/hyperlink" Target="https://endeavour.esat.kuleuven.be/" TargetMode="External"/><Relationship Id="rId130" Type="http://schemas.openxmlformats.org/officeDocument/2006/relationships/image" Target="media/image63.emf"/><Relationship Id="rId151" Type="http://schemas.openxmlformats.org/officeDocument/2006/relationships/image" Target="media/image82.emf"/><Relationship Id="rId172" Type="http://schemas.openxmlformats.org/officeDocument/2006/relationships/image" Target="media/image103.jpeg"/><Relationship Id="rId193" Type="http://schemas.openxmlformats.org/officeDocument/2006/relationships/image" Target="media/image124.emf"/><Relationship Id="rId207" Type="http://schemas.openxmlformats.org/officeDocument/2006/relationships/image" Target="media/image138.jpeg"/><Relationship Id="rId228" Type="http://schemas.openxmlformats.org/officeDocument/2006/relationships/image" Target="media/image159.jpeg"/><Relationship Id="rId249" Type="http://schemas.openxmlformats.org/officeDocument/2006/relationships/image" Target="media/image180.emf"/><Relationship Id="rId13" Type="http://schemas.openxmlformats.org/officeDocument/2006/relationships/hyperlink" Target="file:////Users/clairegreen/Documents/PhD/Thesis/Correction_Experiments/ClaireGreenThesis_Corrections.docx" TargetMode="External"/><Relationship Id="rId109" Type="http://schemas.openxmlformats.org/officeDocument/2006/relationships/image" Target="media/image47.emf"/><Relationship Id="rId260" Type="http://schemas.openxmlformats.org/officeDocument/2006/relationships/image" Target="media/image191.jpeg"/><Relationship Id="rId281" Type="http://schemas.openxmlformats.org/officeDocument/2006/relationships/image" Target="media/image212.emf"/><Relationship Id="rId34" Type="http://schemas.openxmlformats.org/officeDocument/2006/relationships/hyperlink" Target="http://www.wikipathways.org/index.php/WikiPathways" TargetMode="External"/><Relationship Id="rId55" Type="http://schemas.openxmlformats.org/officeDocument/2006/relationships/image" Target="media/image12.emf"/><Relationship Id="rId76" Type="http://schemas.openxmlformats.org/officeDocument/2006/relationships/image" Target="media/image24.emf"/><Relationship Id="rId97" Type="http://schemas.openxmlformats.org/officeDocument/2006/relationships/hyperlink" Target="http://www.ppmi-info.org/" TargetMode="External"/><Relationship Id="rId120" Type="http://schemas.openxmlformats.org/officeDocument/2006/relationships/image" Target="media/image57.emf"/><Relationship Id="rId141" Type="http://schemas.openxmlformats.org/officeDocument/2006/relationships/image" Target="media/image73.emf"/><Relationship Id="rId7" Type="http://schemas.openxmlformats.org/officeDocument/2006/relationships/endnotes" Target="endnotes.xml"/><Relationship Id="rId162" Type="http://schemas.openxmlformats.org/officeDocument/2006/relationships/image" Target="media/image93.emf"/><Relationship Id="rId183" Type="http://schemas.openxmlformats.org/officeDocument/2006/relationships/image" Target="media/image114.emf"/><Relationship Id="rId218" Type="http://schemas.openxmlformats.org/officeDocument/2006/relationships/image" Target="media/image149.emf"/><Relationship Id="rId239" Type="http://schemas.openxmlformats.org/officeDocument/2006/relationships/image" Target="media/image170.emf"/><Relationship Id="rId250" Type="http://schemas.openxmlformats.org/officeDocument/2006/relationships/image" Target="media/image181.jpeg"/><Relationship Id="rId271" Type="http://schemas.openxmlformats.org/officeDocument/2006/relationships/image" Target="media/image202.emf"/><Relationship Id="rId24" Type="http://schemas.openxmlformats.org/officeDocument/2006/relationships/footer" Target="footer2.xml"/><Relationship Id="rId45" Type="http://schemas.openxmlformats.org/officeDocument/2006/relationships/image" Target="media/image8.emf"/><Relationship Id="rId66" Type="http://schemas.openxmlformats.org/officeDocument/2006/relationships/hyperlink" Target="http://www.cytoscape.org" TargetMode="External"/><Relationship Id="rId87" Type="http://schemas.openxmlformats.org/officeDocument/2006/relationships/image" Target="media/image31.emf"/><Relationship Id="rId110" Type="http://schemas.openxmlformats.org/officeDocument/2006/relationships/image" Target="media/image48.emf"/><Relationship Id="rId131" Type="http://schemas.openxmlformats.org/officeDocument/2006/relationships/image" Target="media/image64.emf"/><Relationship Id="rId152" Type="http://schemas.openxmlformats.org/officeDocument/2006/relationships/image" Target="media/image83.emf"/><Relationship Id="rId173" Type="http://schemas.openxmlformats.org/officeDocument/2006/relationships/image" Target="media/image104.emf"/><Relationship Id="rId194" Type="http://schemas.openxmlformats.org/officeDocument/2006/relationships/image" Target="media/image125.jpeg"/><Relationship Id="rId208" Type="http://schemas.openxmlformats.org/officeDocument/2006/relationships/image" Target="media/image139.emf"/><Relationship Id="rId229" Type="http://schemas.openxmlformats.org/officeDocument/2006/relationships/image" Target="media/image160.jpeg"/><Relationship Id="rId240" Type="http://schemas.openxmlformats.org/officeDocument/2006/relationships/image" Target="media/image171.jpeg"/><Relationship Id="rId261" Type="http://schemas.openxmlformats.org/officeDocument/2006/relationships/image" Target="media/image192.emf"/><Relationship Id="rId14" Type="http://schemas.openxmlformats.org/officeDocument/2006/relationships/hyperlink" Target="file:////Users/clairegreen/Documents/PhD/Thesis/Correction_Experiments/ClaireGreenThesis_Corrections.docx" TargetMode="External"/><Relationship Id="rId35" Type="http://schemas.openxmlformats.org/officeDocument/2006/relationships/hyperlink" Target="https://reactome.org/" TargetMode="External"/><Relationship Id="rId56" Type="http://schemas.openxmlformats.org/officeDocument/2006/relationships/image" Target="media/image13.emf"/><Relationship Id="rId77" Type="http://schemas.openxmlformats.org/officeDocument/2006/relationships/image" Target="media/image25.emf"/><Relationship Id="rId100" Type="http://schemas.openxmlformats.org/officeDocument/2006/relationships/image" Target="media/image41.emf"/><Relationship Id="rId282" Type="http://schemas.openxmlformats.org/officeDocument/2006/relationships/image" Target="media/image213.emf"/><Relationship Id="rId8" Type="http://schemas.openxmlformats.org/officeDocument/2006/relationships/image" Target="media/image1.emf"/><Relationship Id="rId98" Type="http://schemas.openxmlformats.org/officeDocument/2006/relationships/image" Target="media/image39.emf"/><Relationship Id="rId121" Type="http://schemas.openxmlformats.org/officeDocument/2006/relationships/image" Target="media/image58.emf"/><Relationship Id="rId142" Type="http://schemas.openxmlformats.org/officeDocument/2006/relationships/image" Target="media/image74.emf"/><Relationship Id="rId163" Type="http://schemas.openxmlformats.org/officeDocument/2006/relationships/image" Target="media/image94.emf"/><Relationship Id="rId184" Type="http://schemas.openxmlformats.org/officeDocument/2006/relationships/image" Target="media/image115.jpeg"/><Relationship Id="rId219" Type="http://schemas.openxmlformats.org/officeDocument/2006/relationships/image" Target="media/image150.jpeg"/><Relationship Id="rId230" Type="http://schemas.openxmlformats.org/officeDocument/2006/relationships/image" Target="media/image161.jpeg"/><Relationship Id="rId251" Type="http://schemas.openxmlformats.org/officeDocument/2006/relationships/image" Target="media/image182.emf"/><Relationship Id="rId25" Type="http://schemas.openxmlformats.org/officeDocument/2006/relationships/header" Target="header3.xml"/><Relationship Id="rId46" Type="http://schemas.openxmlformats.org/officeDocument/2006/relationships/hyperlink" Target="https://www.r-project.org/" TargetMode="External"/><Relationship Id="rId67" Type="http://schemas.openxmlformats.org/officeDocument/2006/relationships/hyperlink" Target="http://amp.pharm.mssm.edu/Enrichr/enrich?dataset=8gl6g" TargetMode="External"/><Relationship Id="rId272" Type="http://schemas.openxmlformats.org/officeDocument/2006/relationships/image" Target="media/image203.emf"/><Relationship Id="rId88" Type="http://schemas.openxmlformats.org/officeDocument/2006/relationships/image" Target="media/image32.png"/><Relationship Id="rId111" Type="http://schemas.openxmlformats.org/officeDocument/2006/relationships/image" Target="media/image49.emf"/><Relationship Id="rId132" Type="http://schemas.openxmlformats.org/officeDocument/2006/relationships/image" Target="media/image65.emf"/><Relationship Id="rId153" Type="http://schemas.openxmlformats.org/officeDocument/2006/relationships/image" Target="media/image84.emf"/><Relationship Id="rId174" Type="http://schemas.openxmlformats.org/officeDocument/2006/relationships/image" Target="media/image105.emf"/><Relationship Id="rId195" Type="http://schemas.openxmlformats.org/officeDocument/2006/relationships/image" Target="media/image126.emf"/><Relationship Id="rId209" Type="http://schemas.openxmlformats.org/officeDocument/2006/relationships/image" Target="media/image140.emf"/><Relationship Id="rId220" Type="http://schemas.openxmlformats.org/officeDocument/2006/relationships/image" Target="media/image151.emf"/><Relationship Id="rId241" Type="http://schemas.openxmlformats.org/officeDocument/2006/relationships/image" Target="media/image172.emf"/><Relationship Id="rId15" Type="http://schemas.openxmlformats.org/officeDocument/2006/relationships/hyperlink" Target="file:////Users/clairegreen/Documents/PhD/Thesis/Correction_Experiments/ClaireGreenThesis_Corrections.docx" TargetMode="External"/><Relationship Id="rId36" Type="http://schemas.openxmlformats.org/officeDocument/2006/relationships/hyperlink" Target="http://www.geneontology.org/" TargetMode="External"/><Relationship Id="rId57" Type="http://schemas.openxmlformats.org/officeDocument/2006/relationships/hyperlink" Target="http://www.bioconductor.org/packages/release/bioc/html/pathprint.html" TargetMode="External"/><Relationship Id="rId262" Type="http://schemas.openxmlformats.org/officeDocument/2006/relationships/image" Target="media/image193.emf"/><Relationship Id="rId283" Type="http://schemas.openxmlformats.org/officeDocument/2006/relationships/footer" Target="footer4.xml"/><Relationship Id="rId78" Type="http://schemas.openxmlformats.org/officeDocument/2006/relationships/image" Target="media/image26.emf"/><Relationship Id="rId99" Type="http://schemas.openxmlformats.org/officeDocument/2006/relationships/image" Target="media/image40.emf"/><Relationship Id="rId101" Type="http://schemas.openxmlformats.org/officeDocument/2006/relationships/hyperlink" Target="http://amp.pharm.mssm.edu/Enrichr/enrich?dataset=8gl6z" TargetMode="External"/><Relationship Id="rId122" Type="http://schemas.openxmlformats.org/officeDocument/2006/relationships/image" Target="media/image59.emf"/><Relationship Id="rId143" Type="http://schemas.openxmlformats.org/officeDocument/2006/relationships/image" Target="media/image75.emf"/><Relationship Id="rId164" Type="http://schemas.openxmlformats.org/officeDocument/2006/relationships/image" Target="media/image95.emf"/><Relationship Id="rId185" Type="http://schemas.openxmlformats.org/officeDocument/2006/relationships/image" Target="media/image116.jpeg"/><Relationship Id="rId9" Type="http://schemas.openxmlformats.org/officeDocument/2006/relationships/image" Target="media/image2.jpeg"/><Relationship Id="rId210" Type="http://schemas.openxmlformats.org/officeDocument/2006/relationships/image" Target="media/image141.jpeg"/><Relationship Id="rId26" Type="http://schemas.openxmlformats.org/officeDocument/2006/relationships/footer" Target="footer3.xml"/><Relationship Id="rId231" Type="http://schemas.openxmlformats.org/officeDocument/2006/relationships/image" Target="media/image162.emf"/><Relationship Id="rId252" Type="http://schemas.openxmlformats.org/officeDocument/2006/relationships/image" Target="media/image183.emf"/><Relationship Id="rId273" Type="http://schemas.openxmlformats.org/officeDocument/2006/relationships/image" Target="media/image204.jpeg"/><Relationship Id="rId47" Type="http://schemas.openxmlformats.org/officeDocument/2006/relationships/hyperlink" Target="https://github.com/AnalytiClaire" TargetMode="External"/><Relationship Id="rId68" Type="http://schemas.openxmlformats.org/officeDocument/2006/relationships/image" Target="media/image17.emf"/><Relationship Id="rId89" Type="http://schemas.openxmlformats.org/officeDocument/2006/relationships/image" Target="media/image33.png"/><Relationship Id="rId112" Type="http://schemas.openxmlformats.org/officeDocument/2006/relationships/image" Target="media/image50.emf"/><Relationship Id="rId133" Type="http://schemas.openxmlformats.org/officeDocument/2006/relationships/image" Target="media/image66.emf"/><Relationship Id="rId154" Type="http://schemas.openxmlformats.org/officeDocument/2006/relationships/image" Target="media/image85.emf"/><Relationship Id="rId175" Type="http://schemas.openxmlformats.org/officeDocument/2006/relationships/image" Target="media/image106.jpeg"/><Relationship Id="rId196" Type="http://schemas.openxmlformats.org/officeDocument/2006/relationships/image" Target="media/image127.emf"/><Relationship Id="rId200" Type="http://schemas.openxmlformats.org/officeDocument/2006/relationships/image" Target="media/image131.emf"/><Relationship Id="rId16" Type="http://schemas.openxmlformats.org/officeDocument/2006/relationships/hyperlink" Target="file:////Users/clairegreen/Documents/PhD/Thesis/Correction_Experiments/ClaireGreenThesis_Corrections.docx" TargetMode="External"/><Relationship Id="rId221" Type="http://schemas.openxmlformats.org/officeDocument/2006/relationships/image" Target="media/image152.emf"/><Relationship Id="rId242" Type="http://schemas.openxmlformats.org/officeDocument/2006/relationships/image" Target="media/image173.jpeg"/><Relationship Id="rId263" Type="http://schemas.openxmlformats.org/officeDocument/2006/relationships/image" Target="media/image194.jpeg"/><Relationship Id="rId284" Type="http://schemas.openxmlformats.org/officeDocument/2006/relationships/fontTable" Target="fontTable.xml"/><Relationship Id="rId37" Type="http://schemas.openxmlformats.org/officeDocument/2006/relationships/hyperlink" Target="http://coxpresdb.jp/" TargetMode="External"/><Relationship Id="rId58" Type="http://schemas.openxmlformats.org/officeDocument/2006/relationships/image" Target="media/image14.emf"/><Relationship Id="rId79" Type="http://schemas.openxmlformats.org/officeDocument/2006/relationships/image" Target="media/image27.emf"/><Relationship Id="rId102" Type="http://schemas.openxmlformats.org/officeDocument/2006/relationships/hyperlink" Target="http://amp.pharm.mssm.edu/Enrichr/enrich?dataset=8gl71" TargetMode="External"/><Relationship Id="rId123" Type="http://schemas.openxmlformats.org/officeDocument/2006/relationships/image" Target="media/image60.emf"/><Relationship Id="rId144" Type="http://schemas.openxmlformats.org/officeDocument/2006/relationships/image" Target="media/image76.emf"/><Relationship Id="rId90" Type="http://schemas.openxmlformats.org/officeDocument/2006/relationships/image" Target="media/image34.png"/><Relationship Id="rId165" Type="http://schemas.openxmlformats.org/officeDocument/2006/relationships/image" Target="media/image96.emf"/><Relationship Id="rId186" Type="http://schemas.openxmlformats.org/officeDocument/2006/relationships/image" Target="media/image117.emf"/><Relationship Id="rId211" Type="http://schemas.openxmlformats.org/officeDocument/2006/relationships/image" Target="media/image142.emf"/><Relationship Id="rId232" Type="http://schemas.openxmlformats.org/officeDocument/2006/relationships/image" Target="media/image163.emf"/><Relationship Id="rId253" Type="http://schemas.openxmlformats.org/officeDocument/2006/relationships/image" Target="media/image184.emf"/><Relationship Id="rId274" Type="http://schemas.openxmlformats.org/officeDocument/2006/relationships/image" Target="media/image205.emf"/><Relationship Id="rId27" Type="http://schemas.openxmlformats.org/officeDocument/2006/relationships/image" Target="media/image4.emf"/><Relationship Id="rId48" Type="http://schemas.openxmlformats.org/officeDocument/2006/relationships/hyperlink" Target="https://www.ncbi.nlm.nih.gov/geo/" TargetMode="External"/><Relationship Id="rId69" Type="http://schemas.openxmlformats.org/officeDocument/2006/relationships/image" Target="media/image18.emf"/><Relationship Id="rId113" Type="http://schemas.openxmlformats.org/officeDocument/2006/relationships/image" Target="media/image51.emf"/><Relationship Id="rId134" Type="http://schemas.openxmlformats.org/officeDocument/2006/relationships/image" Target="media/image67.emf"/><Relationship Id="rId80" Type="http://schemas.openxmlformats.org/officeDocument/2006/relationships/image" Target="media/image28.emf"/><Relationship Id="rId155" Type="http://schemas.openxmlformats.org/officeDocument/2006/relationships/image" Target="media/image86.emf"/><Relationship Id="rId176" Type="http://schemas.openxmlformats.org/officeDocument/2006/relationships/image" Target="media/image107.emf"/><Relationship Id="rId197" Type="http://schemas.openxmlformats.org/officeDocument/2006/relationships/image" Target="media/image128.emf"/><Relationship Id="rId201" Type="http://schemas.openxmlformats.org/officeDocument/2006/relationships/image" Target="media/image132.emf"/><Relationship Id="rId222" Type="http://schemas.openxmlformats.org/officeDocument/2006/relationships/image" Target="media/image153.jpeg"/><Relationship Id="rId243" Type="http://schemas.openxmlformats.org/officeDocument/2006/relationships/image" Target="media/image174.emf"/><Relationship Id="rId264" Type="http://schemas.openxmlformats.org/officeDocument/2006/relationships/image" Target="media/image195.emf"/><Relationship Id="rId285" Type="http://schemas.openxmlformats.org/officeDocument/2006/relationships/theme" Target="theme/theme1.xml"/><Relationship Id="rId17" Type="http://schemas.openxmlformats.org/officeDocument/2006/relationships/hyperlink" Target="file:////Users/clairegreen/Documents/PhD/Thesis/Correction_Experiments/ClaireGreenThesis_Corrections.docx" TargetMode="External"/><Relationship Id="rId38" Type="http://schemas.openxmlformats.org/officeDocument/2006/relationships/hyperlink" Target="https://genemania.org/" TargetMode="External"/><Relationship Id="rId59" Type="http://schemas.openxmlformats.org/officeDocument/2006/relationships/hyperlink" Target="http://amp.pharm.mssm.edu/Enrichr/" TargetMode="External"/><Relationship Id="rId103" Type="http://schemas.openxmlformats.org/officeDocument/2006/relationships/image" Target="media/image42.emf"/><Relationship Id="rId124" Type="http://schemas.openxmlformats.org/officeDocument/2006/relationships/image" Target="media/image61.emf"/><Relationship Id="rId70" Type="http://schemas.openxmlformats.org/officeDocument/2006/relationships/image" Target="media/image19.emf"/><Relationship Id="rId91" Type="http://schemas.openxmlformats.org/officeDocument/2006/relationships/image" Target="media/image35.emf"/><Relationship Id="rId145" Type="http://schemas.openxmlformats.org/officeDocument/2006/relationships/image" Target="media/image77.emf"/><Relationship Id="rId166" Type="http://schemas.openxmlformats.org/officeDocument/2006/relationships/image" Target="media/image97.emf"/><Relationship Id="rId187" Type="http://schemas.openxmlformats.org/officeDocument/2006/relationships/image" Target="media/image118.emf"/><Relationship Id="rId1" Type="http://schemas.openxmlformats.org/officeDocument/2006/relationships/customXml" Target="../customXml/item1.xml"/><Relationship Id="rId212" Type="http://schemas.openxmlformats.org/officeDocument/2006/relationships/image" Target="media/image143.emf"/><Relationship Id="rId233" Type="http://schemas.openxmlformats.org/officeDocument/2006/relationships/image" Target="media/image164.emf"/><Relationship Id="rId254" Type="http://schemas.openxmlformats.org/officeDocument/2006/relationships/image" Target="media/image185.emf"/><Relationship Id="rId28" Type="http://schemas.openxmlformats.org/officeDocument/2006/relationships/hyperlink" Target="https://www.ebi.ac.uk/arrayexpress" TargetMode="External"/><Relationship Id="rId49" Type="http://schemas.openxmlformats.org/officeDocument/2006/relationships/image" Target="media/image9.emf"/><Relationship Id="rId114" Type="http://schemas.openxmlformats.org/officeDocument/2006/relationships/hyperlink" Target="http://amp.pharm.mssm.edu/Enrichr/enrich?dataset=8gl7a" TargetMode="External"/><Relationship Id="rId275" Type="http://schemas.openxmlformats.org/officeDocument/2006/relationships/image" Target="media/image206.jpeg"/><Relationship Id="rId60" Type="http://schemas.openxmlformats.org/officeDocument/2006/relationships/hyperlink" Target="http://amp.pharm.mssm.edu/Enrichr/enrich?dataset=8gl6q" TargetMode="External"/><Relationship Id="rId81" Type="http://schemas.openxmlformats.org/officeDocument/2006/relationships/hyperlink" Target="http://www.ebi.ac.uk/gwas/home" TargetMode="External"/><Relationship Id="rId135" Type="http://schemas.openxmlformats.org/officeDocument/2006/relationships/hyperlink" Target="http://amp.pharm.mssm.edu/Enrichr/enrich?dataset=8gl7i" TargetMode="External"/><Relationship Id="rId156" Type="http://schemas.openxmlformats.org/officeDocument/2006/relationships/image" Target="media/image87.png"/><Relationship Id="rId177" Type="http://schemas.openxmlformats.org/officeDocument/2006/relationships/image" Target="media/image108.emf"/><Relationship Id="rId198" Type="http://schemas.openxmlformats.org/officeDocument/2006/relationships/image" Target="media/image129.emf"/><Relationship Id="rId202" Type="http://schemas.openxmlformats.org/officeDocument/2006/relationships/image" Target="media/image133.emf"/><Relationship Id="rId223" Type="http://schemas.openxmlformats.org/officeDocument/2006/relationships/image" Target="media/image154.emf"/><Relationship Id="rId244" Type="http://schemas.openxmlformats.org/officeDocument/2006/relationships/image" Target="media/image175.jpeg"/><Relationship Id="rId18" Type="http://schemas.openxmlformats.org/officeDocument/2006/relationships/hyperlink" Target="file:////Users/clairegreen/Documents/PhD/Thesis/Correction_Experiments/ClaireGreenThesis_Corrections.docx" TargetMode="External"/><Relationship Id="rId39" Type="http://schemas.openxmlformats.org/officeDocument/2006/relationships/hyperlink" Target="https://www.networkanalyst.ca/" TargetMode="External"/><Relationship Id="rId265" Type="http://schemas.openxmlformats.org/officeDocument/2006/relationships/image" Target="media/image196.emf"/><Relationship Id="rId50" Type="http://schemas.openxmlformats.org/officeDocument/2006/relationships/hyperlink" Target="https://cran.r-project.org/web/packages/dendroextras/index.html" TargetMode="External"/><Relationship Id="rId104" Type="http://schemas.openxmlformats.org/officeDocument/2006/relationships/image" Target="media/image43.emf"/><Relationship Id="rId125" Type="http://schemas.openxmlformats.org/officeDocument/2006/relationships/hyperlink" Target="https://www.malacards.org/card/rheumatoid_arthritis" TargetMode="External"/><Relationship Id="rId146" Type="http://schemas.openxmlformats.org/officeDocument/2006/relationships/hyperlink" Target="http://amp.pharm.mssm.edu/Enrichr/enrich?dataset=8gl6c" TargetMode="External"/><Relationship Id="rId167" Type="http://schemas.openxmlformats.org/officeDocument/2006/relationships/image" Target="media/image98.emf"/><Relationship Id="rId188" Type="http://schemas.openxmlformats.org/officeDocument/2006/relationships/image" Target="media/image119.jpeg"/><Relationship Id="rId71" Type="http://schemas.openxmlformats.org/officeDocument/2006/relationships/image" Target="media/image20.emf"/><Relationship Id="rId92" Type="http://schemas.openxmlformats.org/officeDocument/2006/relationships/image" Target="media/image36.emf"/><Relationship Id="rId213" Type="http://schemas.openxmlformats.org/officeDocument/2006/relationships/image" Target="media/image144.jpeg"/><Relationship Id="rId234" Type="http://schemas.openxmlformats.org/officeDocument/2006/relationships/image" Target="media/image165.jpeg"/><Relationship Id="rId2" Type="http://schemas.openxmlformats.org/officeDocument/2006/relationships/numbering" Target="numbering.xml"/><Relationship Id="rId29" Type="http://schemas.openxmlformats.org/officeDocument/2006/relationships/hyperlink" Target="http://www.ncbi.nlm.nih.gov/sites/GDSbrowser" TargetMode="External"/><Relationship Id="rId255" Type="http://schemas.openxmlformats.org/officeDocument/2006/relationships/image" Target="media/image186.emf"/><Relationship Id="rId276" Type="http://schemas.openxmlformats.org/officeDocument/2006/relationships/image" Target="media/image207.emf"/><Relationship Id="rId40" Type="http://schemas.openxmlformats.org/officeDocument/2006/relationships/hyperlink" Target="https://endeavour.esat.kuleuven.be/" TargetMode="External"/><Relationship Id="rId115" Type="http://schemas.openxmlformats.org/officeDocument/2006/relationships/image" Target="media/image52.emf"/><Relationship Id="rId136" Type="http://schemas.openxmlformats.org/officeDocument/2006/relationships/image" Target="media/image68.emf"/><Relationship Id="rId157" Type="http://schemas.openxmlformats.org/officeDocument/2006/relationships/image" Target="media/image88.png"/><Relationship Id="rId178" Type="http://schemas.openxmlformats.org/officeDocument/2006/relationships/image" Target="media/image109.jpeg"/><Relationship Id="rId61" Type="http://schemas.openxmlformats.org/officeDocument/2006/relationships/hyperlink" Target="http://amp.pharm.mssm.edu/Enrichr/enrich?dataset=8gl6r" TargetMode="External"/><Relationship Id="rId82" Type="http://schemas.openxmlformats.org/officeDocument/2006/relationships/image" Target="media/image29.emf"/><Relationship Id="rId199" Type="http://schemas.openxmlformats.org/officeDocument/2006/relationships/image" Target="media/image130.emf"/><Relationship Id="rId203" Type="http://schemas.openxmlformats.org/officeDocument/2006/relationships/image" Target="media/image134.emf"/><Relationship Id="rId19" Type="http://schemas.openxmlformats.org/officeDocument/2006/relationships/hyperlink" Target="file:////Users/clairegreen/Documents/PhD/Thesis/Correction_Experiments/ClaireGreenThesis_Corrections.docx" TargetMode="External"/><Relationship Id="rId224" Type="http://schemas.openxmlformats.org/officeDocument/2006/relationships/image" Target="media/image155.emf"/><Relationship Id="rId245" Type="http://schemas.openxmlformats.org/officeDocument/2006/relationships/image" Target="media/image176.emf"/><Relationship Id="rId266" Type="http://schemas.openxmlformats.org/officeDocument/2006/relationships/image" Target="media/image197.jpeg"/><Relationship Id="rId30" Type="http://schemas.openxmlformats.org/officeDocument/2006/relationships/image" Target="media/image5.emf"/><Relationship Id="rId105" Type="http://schemas.openxmlformats.org/officeDocument/2006/relationships/image" Target="media/image44.emf"/><Relationship Id="rId126" Type="http://schemas.openxmlformats.org/officeDocument/2006/relationships/hyperlink" Target="https://www.malacards.org/card/psoriatic_arthritis" TargetMode="External"/><Relationship Id="rId147" Type="http://schemas.openxmlformats.org/officeDocument/2006/relationships/image" Target="media/image78.emf"/><Relationship Id="rId168" Type="http://schemas.openxmlformats.org/officeDocument/2006/relationships/image" Target="media/image99.emf"/><Relationship Id="rId51" Type="http://schemas.openxmlformats.org/officeDocument/2006/relationships/hyperlink" Target="https://bioconductor.org/packages/release/bioc/html/affy.html" TargetMode="External"/><Relationship Id="rId72" Type="http://schemas.openxmlformats.org/officeDocument/2006/relationships/image" Target="media/image21.emf"/><Relationship Id="rId93" Type="http://schemas.openxmlformats.org/officeDocument/2006/relationships/image" Target="media/image37.emf"/><Relationship Id="rId189" Type="http://schemas.openxmlformats.org/officeDocument/2006/relationships/image" Target="media/image120.jpeg"/><Relationship Id="rId3" Type="http://schemas.openxmlformats.org/officeDocument/2006/relationships/styles" Target="styles.xml"/><Relationship Id="rId214" Type="http://schemas.openxmlformats.org/officeDocument/2006/relationships/image" Target="media/image145.emf"/><Relationship Id="rId235" Type="http://schemas.openxmlformats.org/officeDocument/2006/relationships/image" Target="media/image166.emf"/><Relationship Id="rId256" Type="http://schemas.openxmlformats.org/officeDocument/2006/relationships/image" Target="media/image187.emf"/><Relationship Id="rId277" Type="http://schemas.openxmlformats.org/officeDocument/2006/relationships/image" Target="media/image208.jpeg"/><Relationship Id="rId116" Type="http://schemas.openxmlformats.org/officeDocument/2006/relationships/image" Target="media/image53.emf"/><Relationship Id="rId137" Type="http://schemas.openxmlformats.org/officeDocument/2006/relationships/image" Target="media/image69.emf"/><Relationship Id="rId158" Type="http://schemas.openxmlformats.org/officeDocument/2006/relationships/image" Target="media/image89.emf"/><Relationship Id="rId20" Type="http://schemas.openxmlformats.org/officeDocument/2006/relationships/image" Target="media/image3.emf"/><Relationship Id="rId41" Type="http://schemas.openxmlformats.org/officeDocument/2006/relationships/hyperlink" Target="https://www.qiagenbioinformatics.com/products/ingenuity-pathway-analysis/" TargetMode="External"/><Relationship Id="rId62" Type="http://schemas.openxmlformats.org/officeDocument/2006/relationships/image" Target="media/image15.emf"/><Relationship Id="rId83" Type="http://schemas.openxmlformats.org/officeDocument/2006/relationships/image" Target="media/image30.emf"/><Relationship Id="rId179" Type="http://schemas.openxmlformats.org/officeDocument/2006/relationships/image" Target="media/image110.emf"/><Relationship Id="rId190" Type="http://schemas.openxmlformats.org/officeDocument/2006/relationships/image" Target="media/image121.jpeg"/><Relationship Id="rId204" Type="http://schemas.openxmlformats.org/officeDocument/2006/relationships/image" Target="media/image135.jpeg"/><Relationship Id="rId225" Type="http://schemas.openxmlformats.org/officeDocument/2006/relationships/image" Target="media/image156.jpeg"/><Relationship Id="rId246" Type="http://schemas.openxmlformats.org/officeDocument/2006/relationships/image" Target="media/image177.jpeg"/><Relationship Id="rId267" Type="http://schemas.openxmlformats.org/officeDocument/2006/relationships/image" Target="media/image198.emf"/><Relationship Id="rId106" Type="http://schemas.openxmlformats.org/officeDocument/2006/relationships/hyperlink" Target="http://amp.pharm.mssm.edu/Enrichr/enrich?dataset=8gl75" TargetMode="External"/><Relationship Id="rId127" Type="http://schemas.openxmlformats.org/officeDocument/2006/relationships/image" Target="media/image62.emf"/><Relationship Id="rId10" Type="http://schemas.openxmlformats.org/officeDocument/2006/relationships/hyperlink" Target="file:////Users/clairegreen/Documents/PhD/Thesis/Correction_Experiments/ClaireGreenThesis_Corrections.docx" TargetMode="External"/><Relationship Id="rId31" Type="http://schemas.openxmlformats.org/officeDocument/2006/relationships/hyperlink" Target="http://alsod.iop.kcl.ac.uk/" TargetMode="External"/><Relationship Id="rId52" Type="http://schemas.openxmlformats.org/officeDocument/2006/relationships/hyperlink" Target="https://bcbio-nextgen.readthedocs.io/en/latest/index.html" TargetMode="External"/><Relationship Id="rId73" Type="http://schemas.openxmlformats.org/officeDocument/2006/relationships/image" Target="media/image22.emf"/><Relationship Id="rId94" Type="http://schemas.openxmlformats.org/officeDocument/2006/relationships/image" Target="media/image38.emf"/><Relationship Id="rId148" Type="http://schemas.openxmlformats.org/officeDocument/2006/relationships/image" Target="media/image79.emf"/><Relationship Id="rId169" Type="http://schemas.openxmlformats.org/officeDocument/2006/relationships/image" Target="media/image100.emf"/><Relationship Id="rId4" Type="http://schemas.openxmlformats.org/officeDocument/2006/relationships/settings" Target="settings.xml"/><Relationship Id="rId180" Type="http://schemas.openxmlformats.org/officeDocument/2006/relationships/image" Target="media/image111.emf"/><Relationship Id="rId215" Type="http://schemas.openxmlformats.org/officeDocument/2006/relationships/image" Target="media/image146.emf"/><Relationship Id="rId236" Type="http://schemas.openxmlformats.org/officeDocument/2006/relationships/image" Target="media/image167.jpeg"/><Relationship Id="rId257" Type="http://schemas.openxmlformats.org/officeDocument/2006/relationships/image" Target="media/image188.jpeg"/><Relationship Id="rId278" Type="http://schemas.openxmlformats.org/officeDocument/2006/relationships/image" Target="media/image209.emf"/><Relationship Id="rId42" Type="http://schemas.openxmlformats.org/officeDocument/2006/relationships/hyperlink" Target="http://genexplain.com/" TargetMode="External"/><Relationship Id="rId84" Type="http://schemas.openxmlformats.org/officeDocument/2006/relationships/hyperlink" Target="https://www.projectmine.com/" TargetMode="External"/><Relationship Id="rId138" Type="http://schemas.openxmlformats.org/officeDocument/2006/relationships/image" Target="media/image70.emf"/><Relationship Id="rId191" Type="http://schemas.openxmlformats.org/officeDocument/2006/relationships/image" Target="media/image122.emf"/><Relationship Id="rId205" Type="http://schemas.openxmlformats.org/officeDocument/2006/relationships/image" Target="media/image136.emf"/><Relationship Id="rId247" Type="http://schemas.openxmlformats.org/officeDocument/2006/relationships/image" Target="media/image178.emf"/><Relationship Id="rId107" Type="http://schemas.openxmlformats.org/officeDocument/2006/relationships/image" Target="media/image45.emf"/><Relationship Id="rId11" Type="http://schemas.openxmlformats.org/officeDocument/2006/relationships/hyperlink" Target="file:////Users/clairegreen/Documents/PhD/Thesis/Correction_Experiments/ClaireGreenThesis_Corrections.docx" TargetMode="External"/><Relationship Id="rId53" Type="http://schemas.openxmlformats.org/officeDocument/2006/relationships/image" Target="media/image10.emf"/><Relationship Id="rId149" Type="http://schemas.openxmlformats.org/officeDocument/2006/relationships/image" Target="media/image80.emf"/><Relationship Id="rId95" Type="http://schemas.openxmlformats.org/officeDocument/2006/relationships/hyperlink" Target="http://www.malacards.org/card/parkinson_disease_late_onset" TargetMode="External"/><Relationship Id="rId160" Type="http://schemas.openxmlformats.org/officeDocument/2006/relationships/image" Target="media/image91.emf"/><Relationship Id="rId216" Type="http://schemas.openxmlformats.org/officeDocument/2006/relationships/image" Target="media/image147.jpeg"/><Relationship Id="rId258" Type="http://schemas.openxmlformats.org/officeDocument/2006/relationships/image" Target="media/image189.emf"/><Relationship Id="rId22" Type="http://schemas.openxmlformats.org/officeDocument/2006/relationships/header" Target="header2.xml"/><Relationship Id="rId64" Type="http://schemas.openxmlformats.org/officeDocument/2006/relationships/hyperlink" Target="https://bioconductor.org/packages/release/bioc/html/biomaRt.html" TargetMode="External"/><Relationship Id="rId118" Type="http://schemas.openxmlformats.org/officeDocument/2006/relationships/image" Target="media/image5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80BAC289-0AED-F744-B4A8-85F15FA99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1876</TotalTime>
  <Pages>252</Pages>
  <Words>278164</Words>
  <Characters>1585541</Characters>
  <Application>Microsoft Office Word</Application>
  <DocSecurity>0</DocSecurity>
  <Lines>13212</Lines>
  <Paragraphs>3719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1859986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Green</dc:creator>
  <cp:keywords/>
  <dc:description/>
  <cp:lastModifiedBy>Claire Green</cp:lastModifiedBy>
  <cp:revision>18</cp:revision>
  <cp:lastPrinted>2019-02-08T14:06:00Z</cp:lastPrinted>
  <dcterms:created xsi:type="dcterms:W3CDTF">2019-02-06T11:10:00Z</dcterms:created>
  <dcterms:modified xsi:type="dcterms:W3CDTF">2019-03-25T09:27:00Z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Citation Style_1">
    <vt:lpwstr>http://www.zotero.org/styles/american-medical-association</vt:lpwstr>
  </property>
  <property fmtid="{D5CDD505-2E9C-101B-9397-08002B2CF9AE}" pid="23" name="Mendeley Document_1">
    <vt:lpwstr>True</vt:lpwstr>
  </property>
  <property fmtid="{D5CDD505-2E9C-101B-9397-08002B2CF9AE}" pid="24" name="Mendeley Unique User Id_1">
    <vt:lpwstr>953c006d-3715-3bdd-854c-707b9ad009cc</vt:lpwstr>
  </property>
</Properties>
</file>